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10B79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需求分析</w:t>
      </w:r>
    </w:p>
    <w:p w14:paraId="16C5946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项目为一个基于命令行界面的计算个人所得税程序，面向的用户为需向执行累进所得税制度实体纳税的个人实体。程序根据用户设置的具体税收规则进行需纳税款的计算，该税收规则应当包括：个人所得税的起征点、税率分级数、每级税收的具体税率、适用的应纳税所得额范围等。且</w:t>
      </w:r>
      <w:r>
        <w:rPr>
          <w:rFonts w:ascii="宋体" w:hAnsi="宋体" w:eastAsia="宋体" w:cs="宋体"/>
          <w:sz w:val="28"/>
          <w:szCs w:val="28"/>
        </w:rPr>
        <w:t>为适应未来个人所得税法的可能变化（历史上曾有不同城市执行不同标准的情况，也曾发生过立法修改个人所得税起征基数），该程序应支持对个人所得税起征点进行调整的功能， 并且个人所得税各级税率也允许修改。</w:t>
      </w:r>
    </w:p>
    <w:p w14:paraId="2C3C3619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除了以上功能性需求外，程序还应实现以下</w:t>
      </w:r>
      <w:r>
        <w:rPr>
          <w:rFonts w:ascii="宋体" w:hAnsi="宋体" w:eastAsia="宋体" w:cs="宋体"/>
          <w:sz w:val="28"/>
          <w:szCs w:val="28"/>
        </w:rPr>
        <w:t>非功能性需求：</w:t>
      </w:r>
    </w:p>
    <w:p w14:paraId="7AF58A9F">
      <w:pPr>
        <w:widowControl w:val="0"/>
        <w:numPr>
          <w:ilvl w:val="0"/>
          <w:numId w:val="0"/>
        </w:numPr>
        <w:ind w:firstLine="420" w:firstLineChars="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- 健壮性：程序应当对非法输入（如负数起征点、超出范围的税率、非数字输入）给出明确的错误提示 </w:t>
      </w:r>
    </w:p>
    <w:p w14:paraId="7A0F939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- 可扩展性：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未来要扩展其他功能时，程序应易于修改。</w:t>
      </w:r>
    </w:p>
    <w:p w14:paraId="6A5609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- 可测试性：核心计算逻辑应当与交互逻辑分离，便于单元测试</w:t>
      </w:r>
    </w:p>
    <w:p w14:paraId="2386AC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</w:p>
    <w:p w14:paraId="3BAF8A2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本项目具有以下用例：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1、配置计算器</w:t>
      </w:r>
    </w:p>
    <w:p w14:paraId="0B074D0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参与者：用户</w:t>
      </w:r>
    </w:p>
    <w:p w14:paraId="566479E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目标：解析用户输入，得到税收规则并配置个人所得税计算器</w:t>
      </w:r>
    </w:p>
    <w:p w14:paraId="045A800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主要流程： </w:t>
      </w:r>
    </w:p>
    <w:p w14:paraId="3B6B27A1">
      <w:pPr>
        <w:widowControl w:val="0"/>
        <w:numPr>
          <w:ilvl w:val="0"/>
          <w:numId w:val="2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用户输入起征点 </w:t>
      </w:r>
    </w:p>
    <w:p w14:paraId="746D9986">
      <w:pPr>
        <w:widowControl w:val="0"/>
        <w:numPr>
          <w:ilvl w:val="0"/>
          <w:numId w:val="2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用户输入税率分级数 </w:t>
      </w:r>
    </w:p>
    <w:p w14:paraId="0F19F802">
      <w:pPr>
        <w:widowControl w:val="0"/>
        <w:numPr>
          <w:ilvl w:val="0"/>
          <w:numId w:val="2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程序引导</w:t>
      </w:r>
      <w:r>
        <w:rPr>
          <w:rFonts w:ascii="宋体" w:hAnsi="宋体" w:eastAsia="宋体" w:cs="宋体"/>
          <w:sz w:val="24"/>
          <w:szCs w:val="24"/>
        </w:rPr>
        <w:t xml:space="preserve">用户依次输入每级的应纳税所得额上界和税率 </w:t>
      </w:r>
    </w:p>
    <w:p w14:paraId="5FF1BFF8">
      <w:pPr>
        <w:widowControl w:val="0"/>
        <w:numPr>
          <w:ilvl w:val="0"/>
          <w:numId w:val="2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程序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利用得到的税收规则配置计算器</w:t>
      </w:r>
    </w:p>
    <w:p w14:paraId="48DDABF7">
      <w:pPr>
        <w:widowControl w:val="0"/>
        <w:numPr>
          <w:ilvl w:val="0"/>
          <w:numId w:val="0"/>
        </w:numPr>
        <w:ind w:left="840"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异常流程： </w:t>
      </w:r>
    </w:p>
    <w:p w14:paraId="01956CCE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eastAsia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- 输入非法值时程序提示错误并重新开始配置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非法值包括当前应纳税所得额上界比上一级的要小、税率不在(0,1]范围内等</w:t>
      </w:r>
    </w:p>
    <w:p w14:paraId="10BE08D3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打印当前税收规则</w:t>
      </w:r>
    </w:p>
    <w:p w14:paraId="6E92F87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参与者：用户</w:t>
      </w:r>
    </w:p>
    <w:p w14:paraId="13A9DB3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目标：接收用户打印税收规则的请求，根据计算器的配置进行规则打印。</w:t>
      </w:r>
    </w:p>
    <w:p w14:paraId="232AADB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前置条件: 计算器已完成配置</w:t>
      </w:r>
    </w:p>
    <w:p w14:paraId="00308B16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主要流程： </w:t>
      </w:r>
    </w:p>
    <w:p w14:paraId="356743A2">
      <w:pPr>
        <w:widowControl w:val="0"/>
        <w:numPr>
          <w:ilvl w:val="0"/>
          <w:numId w:val="4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用户输入configure指令 </w:t>
      </w:r>
    </w:p>
    <w:p w14:paraId="70234259">
      <w:pPr>
        <w:widowControl w:val="0"/>
        <w:numPr>
          <w:ilvl w:val="0"/>
          <w:numId w:val="4"/>
        </w:numPr>
        <w:ind w:left="84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程序打印当前起征点、税级数和税表</w:t>
      </w:r>
    </w:p>
    <w:p w14:paraId="7E343688">
      <w:pPr>
        <w:widowControl w:val="0"/>
        <w:numPr>
          <w:ilvl w:val="0"/>
          <w:numId w:val="3"/>
        </w:numPr>
        <w:ind w:left="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计算需纳税额</w:t>
      </w:r>
    </w:p>
    <w:p w14:paraId="1718175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参与者：用户</w:t>
      </w:r>
    </w:p>
    <w:p w14:paraId="317CE48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目标：接收用户输入的薪资，根据当前计算器的配置进行需纳税额的计算。</w:t>
      </w:r>
    </w:p>
    <w:p w14:paraId="43EA345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前置条件：计算器已完成配置</w:t>
      </w:r>
    </w:p>
    <w:p w14:paraId="74CCA4D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主要流程： </w:t>
      </w:r>
    </w:p>
    <w:p w14:paraId="016223F1">
      <w:pPr>
        <w:widowControl w:val="0"/>
        <w:numPr>
          <w:ilvl w:val="0"/>
          <w:numId w:val="5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用户输入月薪资 </w:t>
      </w:r>
    </w:p>
    <w:p w14:paraId="0BA68F1B">
      <w:pPr>
        <w:widowControl w:val="0"/>
        <w:numPr>
          <w:ilvl w:val="0"/>
          <w:numId w:val="5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程序计算并打印应纳税款 </w:t>
      </w:r>
    </w:p>
    <w:p w14:paraId="61701D58">
      <w:pPr>
        <w:widowControl w:val="0"/>
        <w:numPr>
          <w:ilvl w:val="0"/>
          <w:numId w:val="0"/>
        </w:numPr>
        <w:ind w:left="840"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异常流程：</w:t>
      </w:r>
    </w:p>
    <w:p w14:paraId="27AEFE1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- 薪资为负数或零时提示错误</w:t>
      </w:r>
    </w:p>
    <w:p w14:paraId="0051316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</w:p>
    <w:p w14:paraId="4E3ABE0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4、重置计算器配置</w:t>
      </w:r>
    </w:p>
    <w:p w14:paraId="707AEB2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参与者：用户</w:t>
      </w:r>
    </w:p>
    <w:p w14:paraId="5B3184A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目标：清除当前配置，重新开始配置流程</w:t>
      </w:r>
    </w:p>
    <w:p w14:paraId="76652D9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主要流程：</w:t>
      </w:r>
    </w:p>
    <w:p w14:paraId="5EEDF5D2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用户输入reset指令</w:t>
      </w:r>
    </w:p>
    <w:p w14:paraId="0D6C6AE7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程序重新进入配置流程</w:t>
      </w:r>
    </w:p>
    <w:p w14:paraId="110C1DD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异常流程和用例1相同。</w:t>
      </w:r>
    </w:p>
    <w:p w14:paraId="18A3B2EF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A7021E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核心类分析</w:t>
      </w:r>
    </w:p>
    <w:p w14:paraId="7F0EAFA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每个类对应的具体说明可见doc目录下由javadoc生成的说明性文档或代码文件。该部分仅大致说明每个类的结构以及设计意图。</w:t>
      </w:r>
    </w:p>
    <w:p w14:paraId="20EF0BF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为了具备较高的可扩展性，项目进行模块化开发，遵从“高内聚，低耦合”的面向对象设计思想，将用户交互逻辑集中到Main类进行处理，将计算逻辑、配置存储等交由TaxCal类实现。</w:t>
      </w:r>
    </w:p>
    <w:p w14:paraId="1CB60510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Main类</w:t>
      </w:r>
    </w:p>
    <w:p w14:paraId="1181D00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该类用于处理与用户交互逻辑，详细结构请阅读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"Main.html"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Main.html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4D5F0E0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核心成员方法：</w:t>
      </w:r>
    </w:p>
    <w:p w14:paraId="24B50F2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- nextBigDecimalOrCMD(scanner: Scanner): 读取用户输入，识别exit/reset/configure指令并作出相应处理，否则将输入转换为BigDecimal返回。</w:t>
      </w:r>
    </w:p>
    <w:p w14:paraId="739A24E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- nextIntOrCMD(scanner: Scanner): 同上，转换为int返回。</w:t>
      </w:r>
    </w:p>
    <w:p w14:paraId="3CAE475C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setCal(taxCal: TaxCal, scanner: Scanner): 引导用户输入税务规则并在最后设置taxCal的参数。能识别用户的非法输入并抛出异常给main处理。虽然TaxCal中设置参数的方法内也含有异常检测，但setCal中提前检测异常能够及时对用户非法输入进行反馈，提高用户体验。</w:t>
      </w:r>
    </w:p>
    <w:p w14:paraId="7960E113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runCalculation(taxCal: TaxCal, scanner: Scanner): 引导用户输入薪资并根据当前计算器的配置进行应纳税款计算。能识别用户查看税收规则的请求并调用printConfig方法进行打印, reset请求则向上抛出到main进行处理</w:t>
      </w:r>
    </w:p>
    <w:p w14:paraId="37196FEF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- printConfig(taxCal: TaxCal): 打印当前税收规则，包括起征点、税率分级数和 级数-应纳税所得额范围-税率 表。</w:t>
      </w:r>
    </w:p>
    <w:p w14:paraId="513E4CF4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</w:p>
    <w:p w14:paraId="45F3939E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TaxCal类</w:t>
      </w:r>
    </w:p>
    <w:p w14:paraId="61C381E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该类用于处理计算逻辑和参数存储，详细结构请阅读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"TaxCal.html"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TaxCal.html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441F886C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核心成员变量：</w:t>
      </w:r>
    </w:p>
    <w:p w14:paraId="506D31F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 xml:space="preserve">- numLevel: private int </w:t>
      </w:r>
    </w:p>
    <w:p w14:paraId="749D8AEC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 xml:space="preserve">- threshold: private BigDecimal </w:t>
      </w:r>
    </w:p>
    <w:p w14:paraId="4744FE63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  <w:shd w:val="clear" w:color="FFFFFF" w:fill="D9D9D9"/>
          <w:lang w:val="en-US" w:eastAsia="zh-CN"/>
        </w:rPr>
        <w:t>- taxTable: private BigDecimal[][] 大小为numLevel*3，每行对应该级税收的应纳税所得额上界、税率和速算扣除数</w:t>
      </w:r>
    </w:p>
    <w:p w14:paraId="6E55A91A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这三个变量描述了用户设置的税收规则。Threshold和taxTable设计为BigDecimal类型是因为涉及金钱的领域应当用高精度的数据类型进行存储。使用private关键字进行访问控制，防止将来的开发者在外层直接修改参数。</w:t>
      </w:r>
    </w:p>
    <w:p w14:paraId="6454F2BC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</w:p>
    <w:p w14:paraId="4BA8B7FB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核心成员方法：</w:t>
      </w:r>
    </w:p>
    <w:p w14:paraId="63E06E9C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- setTaxTable(BigDecimal[][] taxTable): 外层传入的taxTable每一行应为[该级税收的应纳税所得额上界，税率]，由该方法计算速算扣除数后加以补全，并保存在成员taxTable内。</w:t>
      </w:r>
    </w:p>
    <w:p w14:paraId="39B56072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- calTax(BigDecimal salary): 接收外层传入的薪资，使用速算扣除数算法计算后，返回应纳税额。</w:t>
      </w:r>
    </w:p>
    <w:p w14:paraId="3C2AC85B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各成员方法都为public，暴露给外部，外部需要调用这些方法进行参数配置、税款计算等操作。尽管当前外部Main中会对用户输入进行异常检测后再传参，TaxCal中大部分方法内依然设计异常检测，这种设计是为了保证日后模块分离时TaxCal能独立检测出传参的异常，增强健壮性和可扩展性，以及面对未来变化的适应性。TaxCal中还设计了一个目前未使用到的含参构造子，其目的是支持程序日后扩展到Web界面或是实现配置本地持久化时，能够根据输入参数一次性完成所有配置，进一步增强了程序的可扩展性。</w:t>
      </w:r>
    </w:p>
    <w:p w14:paraId="1CA685C8">
      <w:pPr>
        <w:widowControl w:val="0"/>
        <w:numPr>
          <w:numId w:val="0"/>
        </w:numPr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</w:p>
    <w:p w14:paraId="102F25A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软件测试</w:t>
      </w:r>
    </w:p>
    <w:p w14:paraId="6D74BE58"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28"/>
          <w:szCs w:val="28"/>
          <w:shd w:val="clear" w:color="auto" w:fill="auto"/>
          <w:lang w:val="en-US" w:eastAsia="zh-CN"/>
        </w:rPr>
      </w:pPr>
      <w:r>
        <w:rPr>
          <w:rFonts w:hint="eastAsia"/>
          <w:sz w:val="28"/>
          <w:szCs w:val="28"/>
          <w:shd w:val="clear" w:color="auto" w:fill="auto"/>
          <w:lang w:val="en-US" w:eastAsia="zh-CN"/>
        </w:rPr>
        <w:t>本项目</w:t>
      </w:r>
      <w:bookmarkStart w:id="0" w:name="_GoBack"/>
      <w:bookmarkEnd w:id="0"/>
      <w:r>
        <w:rPr>
          <w:rFonts w:hint="eastAsia"/>
          <w:sz w:val="28"/>
          <w:szCs w:val="28"/>
          <w:shd w:val="clear" w:color="auto" w:fill="auto"/>
          <w:lang w:val="en-US" w:eastAsia="zh-CN"/>
        </w:rPr>
        <w:t>设计了多个测例，支持单元测试与回归测试。详情请见</w: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fldChar w:fldCharType="begin"/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instrText xml:space="preserve"> HYPERLINK "TaxCalTest.html" </w:instrTex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shd w:val="clear" w:color="auto" w:fill="auto"/>
          <w:lang w:val="en-US" w:eastAsia="zh-CN"/>
        </w:rPr>
        <w:t>TaxCalTest.html</w: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fldChar w:fldCharType="end"/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t>和</w: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fldChar w:fldCharType="begin"/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instrText xml:space="preserve"> HYPERLINK "MainTest.html" </w:instrTex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shd w:val="clear" w:color="auto" w:fill="auto"/>
          <w:lang w:val="en-US" w:eastAsia="zh-CN"/>
        </w:rPr>
        <w:t>MainTest.html</w:t>
      </w:r>
      <w:r>
        <w:rPr>
          <w:rFonts w:hint="eastAsia"/>
          <w:sz w:val="28"/>
          <w:szCs w:val="28"/>
          <w:shd w:val="clear" w:color="auto" w:fill="auto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EA50E"/>
    <w:multiLevelType w:val="singleLevel"/>
    <w:tmpl w:val="939EA50E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A971E112"/>
    <w:multiLevelType w:val="singleLevel"/>
    <w:tmpl w:val="A971E1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01AAD68"/>
    <w:multiLevelType w:val="singleLevel"/>
    <w:tmpl w:val="C01AAD68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>
    <w:nsid w:val="F13E0BCE"/>
    <w:multiLevelType w:val="singleLevel"/>
    <w:tmpl w:val="F13E0BC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8BE5621"/>
    <w:multiLevelType w:val="singleLevel"/>
    <w:tmpl w:val="38BE562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">
    <w:nsid w:val="7C49E49D"/>
    <w:multiLevelType w:val="singleLevel"/>
    <w:tmpl w:val="7C49E49D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21CD6"/>
    <w:rsid w:val="1FC35DD8"/>
    <w:rsid w:val="2D1E6D44"/>
    <w:rsid w:val="31E16592"/>
    <w:rsid w:val="44BE2E8F"/>
    <w:rsid w:val="5B3255E5"/>
    <w:rsid w:val="67387839"/>
    <w:rsid w:val="7A06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955</Words>
  <Characters>1212</Characters>
  <Lines>0</Lines>
  <Paragraphs>0</Paragraphs>
  <TotalTime>83</TotalTime>
  <ScaleCrop>false</ScaleCrop>
  <LinksUpToDate>false</LinksUpToDate>
  <CharactersWithSpaces>1256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2026-03-23T04:42:00Z</dcterms:created>
  <dc:creator>25367</dc:creator>
  <cp:lastModifiedBy>梁仲禧</cp:lastModifiedBy>
  <dcterms:modified xsi:type="dcterms:W3CDTF">2026-03-23T10:45:58Z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eyJoZGlkIjoiMmE4ODZhNzYyMGM0NWZkNDc1NzMzM2FmNWU5MWU5MzgiLCJ1c2VySWQiOiIxNjY3NDE1Nzg2In0=</vt:lpwstr>
  </property>
  <property fmtid="{D5CDD505-2E9C-101B-9397-08002B2CF9AE}" pid="4" name="ICV">
    <vt:lpwstr>56EADA2BBFD846129EC03F3D32CAD8C8_12</vt:lpwstr>
  </property>
</Properties>
</file>