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pPr>
        <w:spacing w:after="0" w:line="557" w:lineRule="exact"/>
      </w:pPr>
      <w:r>
        <w:rPr>
          <w:rFonts w:ascii="Chrom Sans OTF" w:hAnsi="Chrom Sans OTF" w:cs="Chrom Sans OTF"/>
          <w:sz w:val="48"/>
          <w:szCs w:val="48"/>
        </w:rPr>
        <w:t xml:space="preserve">PageOne</w:t>
      </w:r>
    </w:p>
    <w:p>
      <w:pPr>
        <w:pageBreakBefore/>
        <w:spacing w:after="0" w:line="557" w:lineRule="exact"/>
      </w:pPr>
      <w:r>
        <w:rPr>
          <w:rFonts w:ascii="Chrom Sans OTF" w:hAnsi="Chrom Sans OTF" w:cs="Chrom Sans OTF"/>
          <w:sz w:val="48"/>
          <w:szCs w:val="48"/>
        </w:rPr>
        <w:t xml:space="preserve">PageTwo</w:t>
      </w:r>
    </w:p>
    <w:p>
      <w:pPr>
        <w:pageBreakBefore/>
        <w:spacing w:after="0" w:line="557" w:lineRule="exact"/>
      </w:pPr>
      <w:r>
        <w:rPr>
          <w:rFonts w:ascii="Chrom Sans OTF" w:hAnsi="Chrom Sans OTF" w:cs="Chrom Sans OTF"/>
          <w:sz w:val="48"/>
          <w:szCs w:val="48"/>
        </w:rPr>
        <w:t xml:space="preserve">PageThree</w:t>
      </w:r>
    </w:p>
    <w:sectPr>
      <w:pgSz w:w="12240" w:h="15840"/>
      <w:pgMar w:top="1086" w:right="5875" w:bottom="1680" w:left="1001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szCs w:val="22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240" w:after="120"/>
      <w:outlineLvl w:val="0"/>
    </w:pPr>
    <w:rPr>
      <w:b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240" w:after="120"/>
      <w:outlineLvl w:val="1"/>
    </w:pPr>
    <w:rPr>
      <w:b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160" w:after="120"/>
      <w:outlineLvl w:val="2"/>
    </w:pPr>
    <w:rPr>
      <w:b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spacing w:before="160" w:after="12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160" w:after="12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160" w:after="120"/>
      <w:outlineLvl w:val="5"/>
    </w:pPr>
    <w:rPr>
      <w:b/>
      <w:sz w:val="22"/>
      <w:szCs w:val="22"/>
    </w:rPr>
  </w:style>
  <w:style w:type="paragraph" w:styleId="ListParagraph">
    <w:name w:val="List Paragraph"/>
    <w:basedOn w:val="Normal"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next w:val="Normal"/>
    <w:pPr>
      <w:spacing w:after="100"/>
    </w:pPr>
  </w:style>
  <w:style w:type="paragraph" w:styleId="TOC2">
    <w:name w:val="toc 2"/>
    <w:basedOn w:val="Normal"/>
    <w:next w:val="Normal"/>
    <w:pPr>
      <w:spacing w:after="100"/>
      <w:ind w:left="220"/>
    </w:pPr>
  </w:style>
  <w:style w:type="paragraph" w:styleId="TOC3">
    <w:name w:val="toc 3"/>
    <w:basedOn w:val="Normal"/>
    <w:next w:val="Normal"/>
    <w:pPr>
      <w:spacing w:after="100"/>
      <w:ind w:left="440"/>
    </w:pPr>
  </w:style>
  <w:style w:type="paragraph" w:styleId="TOC4">
    <w:name w:val="toc 4"/>
    <w:basedOn w:val="Normal"/>
    <w:next w:val="Normal"/>
    <w:pPr>
      <w:spacing w:after="100"/>
      <w:ind w:left="660"/>
    </w:pPr>
  </w:style>
  <w:style w:type="paragraph" w:styleId="TOC5">
    <w:name w:val="toc 5"/>
    <w:basedOn w:val="Normal"/>
    <w:next w:val="Normal"/>
    <w:pPr>
      <w:spacing w:after="100"/>
      <w:ind w:left="880"/>
    </w:pPr>
  </w:style>
  <w:style w:type="paragraph" w:styleId="TOC6">
    <w:name w:val="toc 6"/>
    <w:basedOn w:val="Normal"/>
    <w:next w:val="Normal"/>
    <w:pPr>
      <w:spacing w:after="100"/>
      <w:ind w:left="1100"/>
    </w:pPr>
  </w:style>
  <w:style w:type="paragraph" w:styleId="TOC7">
    <w:name w:val="toc 7"/>
    <w:basedOn w:val="Normal"/>
    <w:next w:val="Normal"/>
    <w:pPr>
      <w:spacing w:after="100"/>
      <w:ind w:left="1320"/>
    </w:pPr>
  </w:style>
  <w:style w:type="paragraph" w:styleId="TOC8">
    <w:name w:val="toc 8"/>
    <w:basedOn w:val="Normal"/>
    <w:next w:val="Normal"/>
    <w:pPr>
      <w:spacing w:after="100"/>
      <w:ind w:left="1540"/>
    </w:pPr>
  </w:style>
  <w:style w:type="paragraph" w:styleId="TOC9">
    <w:name w:val="toc 9"/>
    <w:basedOn w:val="Normal"/>
    <w:next w:val="Normal"/>
    <w:pPr>
      <w:spacing w:after="100"/>
      <w:ind w:left="1760"/>
    </w:p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