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供应风险处置手册</w:t>
      </w:r>
    </w:p>
    <w:p>
      <w:pPr>
        <w:pStyle w:val="Heading1"/>
      </w:pPr>
      <w:r>
        <w:t>资料定位</w:t>
      </w:r>
    </w:p>
    <w:p>
      <w:r>
        <w:t>本手册适用于供应风险处置手册。每项动作均需记录负责人、时间、商品范围和数据依据，避免把经验判断写成既成事实。</w:t>
      </w:r>
    </w:p>
    <w:p>
      <w:r>
        <w:t>涉及跨团队协作时，商品运营、采购、仓储、渠道运营和客服需各自确认职责范围；任何人不得跳过核验直接修改面向用户的承诺。</w:t>
      </w:r>
    </w:p>
    <w:p>
      <w:r>
        <w:t>规则执行后应记录实际结果、例外原因和复核时间。若发现资料与线上配置不一致，先发布修订版本并通知相关负责人，再恢复受影响的业务动作。</w:t>
      </w:r>
    </w:p>
    <w:p>
      <w:pPr>
        <w:pStyle w:val="Heading1"/>
      </w:pPr>
      <w:r>
        <w:t>核心控制要求</w:t>
      </w:r>
    </w:p>
    <w:p>
      <w:r>
        <w:t>供应商确认延期后，应重新评估活动商品范围和用户侧发货承诺。。本项控制编号为 供应风险-39，所有例外都需要在执行前确认并留下可追溯记录。</w:t>
      </w:r>
    </w:p>
    <w:p>
      <w:r>
        <w:t>涉及跨团队协作时，商品运营、采购、仓储、渠道运营和客服需各自确认职责范围；任何人不得跳过核验直接修改面向用户的承诺。</w:t>
      </w:r>
    </w:p>
    <w:p>
      <w:r>
        <w:t>规则执行后应记录实际结果、例外原因和复核时间。若发现资料与线上配置不一致，先发布修订版本并通知相关负责人，再恢复受影响的业务动作。</w:t>
      </w:r>
    </w:p>
    <w:p>
      <w:pPr>
        <w:pStyle w:val="Heading1"/>
      </w:pPr>
      <w:r>
        <w:t>上线前核验</w:t>
      </w:r>
    </w:p>
    <w:p>
      <w:r>
        <w:t>执行前依次检查商品状态、价格与成本、可用库存、在途确认、页面素材和客服说明。存在缺失或冲突时必须标记待确认，不能默认通过。</w:t>
      </w:r>
    </w:p>
    <w:p>
      <w:r>
        <w:t>涉及跨团队协作时，商品运营、采购、仓储、渠道运营和客服需各自确认职责范围；任何人不得跳过核验直接修改面向用户的承诺。</w:t>
      </w:r>
    </w:p>
    <w:p>
      <w:r>
        <w:t>规则执行后应记录实际结果、例外原因和复核时间。若发现资料与线上配置不一致，先发布修订版本并通知相关负责人，再恢复受影响的业务动作。</w:t>
      </w:r>
    </w:p>
    <w:p>
      <w:pPr>
        <w:pStyle w:val="Heading1"/>
      </w:pPr>
      <w:r>
        <w:t>执行中巡检</w:t>
      </w:r>
    </w:p>
    <w:p>
      <w:r>
        <w:t>每日按固定时间检查支付商品GMV、支付订单、退款、库存和渠道数据。若出现数据延迟，应标明缺口和补数计划，不把缺失值当作零。</w:t>
      </w:r>
    </w:p>
    <w:p>
      <w:r>
        <w:t>涉及跨团队协作时，商品运营、采购、仓储、渠道运营和客服需各自确认职责范围；任何人不得跳过核验直接修改面向用户的承诺。</w:t>
      </w:r>
    </w:p>
    <w:p>
      <w:r>
        <w:t>规则执行后应记录实际结果、例外原因和复核时间。若发现资料与线上配置不一致，先发布修订版本并通知相关负责人，再恢复受影响的业务动作。</w:t>
      </w:r>
    </w:p>
    <w:p>
      <w:pPr>
        <w:pStyle w:val="Heading1"/>
      </w:pPr>
      <w:r>
        <w:t>异常处置</w:t>
      </w:r>
    </w:p>
    <w:p>
      <w:r>
        <w:t>发现价格错误、断货、页面违规或物流风险时，先停止受影响入口，再保留证据、通知负责人并记录恢复条件。</w:t>
      </w:r>
    </w:p>
    <w:p>
      <w:r>
        <w:t>涉及跨团队协作时，商品运营、采购、仓储、渠道运营和客服需各自确认职责范围；任何人不得跳过核验直接修改面向用户的承诺。</w:t>
      </w:r>
    </w:p>
    <w:p>
      <w:r>
        <w:t>规则执行后应记录实际结果、例外原因和复核时间。若发现资料与线上配置不一致，先发布修订版本并通知相关负责人，再恢复受影响的业务动作。</w:t>
      </w:r>
    </w:p>
    <w:p>
      <w:pPr>
        <w:pStyle w:val="Heading1"/>
      </w:pPr>
      <w:r>
        <w:t>复盘与归档</w:t>
      </w:r>
    </w:p>
    <w:p>
      <w:r>
        <w:t>复盘要区分观察事实、计算结果和待验证原因；资料升级后保留版本与生效日期，以便追溯历史结论。</w:t>
      </w:r>
    </w:p>
    <w:p>
      <w:r>
        <w:t>涉及跨团队协作时，商品运营、采购、仓储、渠道运营和客服需各自确认职责范围；任何人不得跳过核验直接修改面向用户的承诺。</w:t>
      </w:r>
    </w:p>
    <w:p>
      <w:r>
        <w:t>规则执行后应记录实际结果、例外原因和复核时间。若发现资料与线上配置不一致，先发布修订版本并通知相关负责人，再恢复受影响的业务动作。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  <w:tc>
          <w:tcPr>
            <w:tcW w:type="dxa" w:w="2160"/>
          </w:tcPr>
          <w:p>
            <w:r>
              <w:t>完成条件</w:t>
            </w:r>
          </w:p>
        </w:tc>
        <w:tc>
          <w:tcPr>
            <w:tcW w:type="dxa" w:w="2160"/>
          </w:tcPr>
          <w:p>
            <w:r>
              <w:t>异常动作</w:t>
            </w:r>
          </w:p>
        </w:tc>
      </w:tr>
      <w:tr>
        <w:tc>
          <w:tcPr>
            <w:tcW w:type="dxa" w:w="2160"/>
          </w:tcPr>
          <w:p>
            <w:r>
              <w:t>准备</w:t>
            </w:r>
          </w:p>
        </w:tc>
        <w:tc>
          <w:tcPr>
            <w:tcW w:type="dxa" w:w="2160"/>
          </w:tcPr>
          <w:p>
            <w:r>
              <w:t>商品运营</w:t>
            </w:r>
          </w:p>
        </w:tc>
        <w:tc>
          <w:tcPr>
            <w:tcW w:type="dxa" w:w="2160"/>
          </w:tcPr>
          <w:p>
            <w:r>
              <w:t>资料与商品范围已核对</w:t>
            </w:r>
          </w:p>
        </w:tc>
        <w:tc>
          <w:tcPr>
            <w:tcW w:type="dxa" w:w="2160"/>
          </w:tcPr>
          <w:p>
            <w:r>
              <w:t>标记待确认项</w:t>
            </w:r>
          </w:p>
        </w:tc>
      </w:tr>
      <w:tr>
        <w:tc>
          <w:tcPr>
            <w:tcW w:type="dxa" w:w="2160"/>
          </w:tcPr>
          <w:p>
            <w:r>
              <w:t>执行</w:t>
            </w:r>
          </w:p>
        </w:tc>
        <w:tc>
          <w:tcPr>
            <w:tcW w:type="dxa" w:w="2160"/>
          </w:tcPr>
          <w:p>
            <w:r>
              <w:t>渠道运营</w:t>
            </w:r>
          </w:p>
        </w:tc>
        <w:tc>
          <w:tcPr>
            <w:tcW w:type="dxa" w:w="2160"/>
          </w:tcPr>
          <w:p>
            <w:r>
              <w:t>页面与配置一致</w:t>
            </w:r>
          </w:p>
        </w:tc>
        <w:tc>
          <w:tcPr>
            <w:tcW w:type="dxa" w:w="2160"/>
          </w:tcPr>
          <w:p>
            <w:r>
              <w:t>关闭异常入口</w:t>
            </w:r>
          </w:p>
        </w:tc>
      </w:tr>
      <w:tr>
        <w:tc>
          <w:tcPr>
            <w:tcW w:type="dxa" w:w="2160"/>
          </w:tcPr>
          <w:p>
            <w:r>
              <w:t>复盘</w:t>
            </w:r>
          </w:p>
        </w:tc>
        <w:tc>
          <w:tcPr>
            <w:tcW w:type="dxa" w:w="2160"/>
          </w:tcPr>
          <w:p>
            <w:r>
              <w:t>经营分析</w:t>
            </w:r>
          </w:p>
        </w:tc>
        <w:tc>
          <w:tcPr>
            <w:tcW w:type="dxa" w:w="2160"/>
          </w:tcPr>
          <w:p>
            <w:r>
              <w:t>证据与口径已说明</w:t>
            </w:r>
          </w:p>
        </w:tc>
        <w:tc>
          <w:tcPr>
            <w:tcW w:type="dxa" w:w="2160"/>
          </w:tcPr>
          <w:p>
            <w:r>
              <w:t>建立后续复核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