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双十一预热活动执行手册</w:t>
      </w:r>
    </w:p>
    <w:p>
      <w:r>
        <w:t>版本：2026 年秋季；适用范围：自营渠道、联盟渠道和内容渠道。本文用于检验长文、标题层级与原生表格解析。</w:t>
      </w:r>
    </w:p>
    <w:p>
      <w:pPr>
        <w:pStyle w:val="Heading1"/>
      </w:pPr>
      <w:r>
        <w:t>一、活动目标与边界</w:t>
      </w:r>
    </w:p>
    <w:p>
      <w:r>
        <w:t>本次预热以提升有效支付订单为目标，不以曝光量单独作为活动成功标准。所有价格、库存和赠品信息必须以活动配置和商品主数据为准。</w:t>
      </w:r>
    </w:p>
    <w:p>
      <w:r>
        <w:t>商品加入活动前，运营人员应核对可用库存、在途到货日期、成本、日常售价和近十四天支付销量。缺少任一项时，只能标记为待确认，不得默认商品可参加。</w:t>
      </w:r>
    </w:p>
    <w:p>
      <w:r>
        <w:t>活动页展示的优惠不得与未授权的店铺券叠加；涉及多渠道时，渠道素材可以不同，但商品价格和核心权益必须一致。</w:t>
      </w:r>
    </w:p>
    <w:p>
      <w:pPr>
        <w:pStyle w:val="Heading1"/>
      </w:pPr>
      <w:r>
        <w:t>二、上线前检查</w:t>
      </w:r>
    </w:p>
    <w:p>
      <w:r>
        <w:t>上线前两个工作日完成价格校验、库存校验、页面校验和客服话术校验。价格校验要同时检查商品详情页、活动会场和渠道落地页。</w:t>
      </w:r>
    </w:p>
    <w:p>
      <w:r>
        <w:t>若商品交期超过七天，活动页必须补充发货预期说明；若库存可售天数低于十天，商品运营应先给出补货或限量方案。</w:t>
      </w:r>
    </w:p>
    <w:p>
      <w:r>
        <w:t>发货时效以支付成功时间起算，不以用户下单或加入购物车时间起算。异常订单由客服在订单备注中记录原因和承诺时间。</w:t>
      </w:r>
    </w:p>
    <w:p>
      <w:pPr>
        <w:pStyle w:val="Heading1"/>
      </w:pPr>
      <w:r>
        <w:t>三、日常巡检</w:t>
      </w:r>
    </w:p>
    <w:p>
      <w:r>
        <w:t>活动期间每天十点检查支付商品GMV、支付订单数、退款申请数、可用库存和广告花费。每天十六点检查价格异常、断货风险和页面素材状态。</w:t>
      </w:r>
    </w:p>
    <w:p>
      <w:r>
        <w:t>渠道数据只能用于渠道表现判断；不能把多个渠道归因收入直接相加为实际成交额。实际成交额仍以订单支付数据为准。</w:t>
      </w:r>
    </w:p>
    <w:p>
      <w:r>
        <w:t>出现价格异常时，应先关闭对应商品入口，保留页面截图、发生时间和商品编号，再由活动运营确认恢复方案。</w:t>
      </w:r>
    </w:p>
    <w:p>
      <w:pPr>
        <w:pStyle w:val="Heading1"/>
      </w:pPr>
      <w:r>
        <w:t>四、复盘要求</w:t>
      </w:r>
    </w:p>
    <w:p>
      <w:r>
        <w:t>复盘按目标期与对比期比较支付商品GMV、订单数、退款到账额和主要渠道变化。结论需区分已验证事实、计算结果和待验证原因。</w:t>
      </w:r>
    </w:p>
    <w:p>
      <w:r>
        <w:t>复盘报告至少保留活动范围、数据截止日、关键证据链接、异常说明和后续负责人。无法归因的波动应明确写为待进一步验证。</w:t>
      </w:r>
    </w:p>
    <w:p>
      <w:pPr>
        <w:pStyle w:val="Heading1"/>
      </w:pPr>
      <w:r>
        <w:t>五、关键节点表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节点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完成条件</w:t>
            </w:r>
          </w:p>
        </w:tc>
        <w:tc>
          <w:tcPr>
            <w:tcW w:type="dxa" w:w="2160"/>
          </w:tcPr>
          <w:p>
            <w:r>
              <w:t>异常处理</w:t>
            </w:r>
          </w:p>
        </w:tc>
      </w:tr>
      <w:tr>
        <w:tc>
          <w:tcPr>
            <w:tcW w:type="dxa" w:w="2160"/>
          </w:tcPr>
          <w:p>
            <w:r>
              <w:t>活动前两日</w:t>
            </w:r>
          </w:p>
        </w:tc>
        <w:tc>
          <w:tcPr>
            <w:tcW w:type="dxa" w:w="2160"/>
          </w:tcPr>
          <w:p>
            <w:r>
              <w:t>商品运营</w:t>
            </w:r>
          </w:p>
        </w:tc>
        <w:tc>
          <w:tcPr>
            <w:tcW w:type="dxa" w:w="2160"/>
          </w:tcPr>
          <w:p>
            <w:r>
              <w:t>库存与成本完成核对</w:t>
            </w:r>
          </w:p>
        </w:tc>
        <w:tc>
          <w:tcPr>
            <w:tcW w:type="dxa" w:w="2160"/>
          </w:tcPr>
          <w:p>
            <w:r>
              <w:t>缺失数据标为待确认</w:t>
            </w:r>
          </w:p>
        </w:tc>
      </w:tr>
      <w:tr>
        <w:tc>
          <w:tcPr>
            <w:tcW w:type="dxa" w:w="2160"/>
          </w:tcPr>
          <w:p>
            <w:r>
              <w:t>活动前一日</w:t>
            </w:r>
          </w:p>
        </w:tc>
        <w:tc>
          <w:tcPr>
            <w:tcW w:type="dxa" w:w="2160"/>
          </w:tcPr>
          <w:p>
            <w:r>
              <w:t>活动运营</w:t>
            </w:r>
          </w:p>
        </w:tc>
        <w:tc>
          <w:tcPr>
            <w:tcW w:type="dxa" w:w="2160"/>
          </w:tcPr>
          <w:p>
            <w:r>
              <w:t>页面与价格校验完成</w:t>
            </w:r>
          </w:p>
        </w:tc>
        <w:tc>
          <w:tcPr>
            <w:tcW w:type="dxa" w:w="2160"/>
          </w:tcPr>
          <w:p>
            <w:r>
              <w:t>关闭异常商品入口</w:t>
            </w:r>
          </w:p>
        </w:tc>
      </w:tr>
      <w:tr>
        <w:tc>
          <w:tcPr>
            <w:tcW w:type="dxa" w:w="2160"/>
          </w:tcPr>
          <w:p>
            <w:r>
              <w:t>活动期间</w:t>
            </w:r>
          </w:p>
        </w:tc>
        <w:tc>
          <w:tcPr>
            <w:tcW w:type="dxa" w:w="2160"/>
          </w:tcPr>
          <w:p>
            <w:r>
              <w:t>渠道运营</w:t>
            </w:r>
          </w:p>
        </w:tc>
        <w:tc>
          <w:tcPr>
            <w:tcW w:type="dxa" w:w="2160"/>
          </w:tcPr>
          <w:p>
            <w:r>
              <w:t>每日两次巡检</w:t>
            </w:r>
          </w:p>
        </w:tc>
        <w:tc>
          <w:tcPr>
            <w:tcW w:type="dxa" w:w="2160"/>
          </w:tcPr>
          <w:p>
            <w:r>
              <w:t>记录时间、商品与处理人</w:t>
            </w:r>
          </w:p>
        </w:tc>
      </w:tr>
      <w:tr>
        <w:tc>
          <w:tcPr>
            <w:tcW w:type="dxa" w:w="2160"/>
          </w:tcPr>
          <w:p>
            <w:r>
              <w:t>活动结束后</w:t>
            </w:r>
          </w:p>
        </w:tc>
        <w:tc>
          <w:tcPr>
            <w:tcW w:type="dxa" w:w="2160"/>
          </w:tcPr>
          <w:p>
            <w:r>
              <w:t>经营分析</w:t>
            </w:r>
          </w:p>
        </w:tc>
        <w:tc>
          <w:tcPr>
            <w:tcW w:type="dxa" w:w="2160"/>
          </w:tcPr>
          <w:p>
            <w:r>
              <w:t>完成两期对比复盘</w:t>
            </w:r>
          </w:p>
        </w:tc>
        <w:tc>
          <w:tcPr>
            <w:tcW w:type="dxa" w:w="2160"/>
          </w:tcPr>
          <w:p>
            <w:r>
              <w:t>区分事实与推测</w:t>
            </w:r>
          </w:p>
        </w:tc>
      </w:tr>
    </w:tbl>
    <w:p>
      <w:pPr>
        <w:pStyle w:val="Heading1"/>
      </w:pPr>
      <w:r>
        <w:t>补充执行与复核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pPr>
        <w:pStyle w:val="Heading1"/>
      </w:pPr>
      <w:r>
        <w:t>补充执行与复核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pPr>
        <w:pStyle w:val="Heading1"/>
      </w:pPr>
      <w:r>
        <w:t>补充执行与复核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pPr>
        <w:pStyle w:val="Heading1"/>
      </w:pPr>
      <w:r>
        <w:t>补充执行与复核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p>
      <w:r>
        <w:t>执行前核对当前资料版本、商品范围、数据截止日和责任人；执行中保留配置、订单或页面依据；执行后区分已验证事实和待确认事项。出现异常时先关闭受影响入口，再记录处理人、时间和恢复条件。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