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跨仓调拨执行手册</w:t>
      </w:r>
    </w:p>
    <w:p>
      <w:pPr>
        <w:pStyle w:val="Heading1"/>
      </w:pPr>
      <w:r>
        <w:t>资料定位</w:t>
      </w:r>
    </w:p>
    <w:p>
      <w:r>
        <w:t>本手册适用于跨仓调拨执行手册。每项动作均需记录负责人、时间、商品范围和数据依据，避免把经验判断写成既成事实。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核心控制要求</w:t>
      </w:r>
    </w:p>
    <w:p>
      <w:r>
        <w:t>跨仓调拨在出库、在途和入库状态均确认前，不得重复计入可用库存。。本项控制编号为 跨仓调拨-40，所有例外都需要在执行前确认并留下可追溯记录。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上线前核验</w:t>
      </w:r>
    </w:p>
    <w:p>
      <w:r>
        <w:t>执行前依次检查商品状态、价格与成本、可用库存、在途确认、页面素材和客服说明。存在缺失或冲突时必须标记待确认，不能默认通过。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执行中巡检</w:t>
      </w:r>
    </w:p>
    <w:p>
      <w:r>
        <w:t>每日按固定时间检查支付商品GMV、支付订单、退款、库存和渠道数据。若出现数据延迟，应标明缺口和补数计划，不把缺失值当作零。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异常处置</w:t>
      </w:r>
    </w:p>
    <w:p>
      <w:r>
        <w:t>发现价格错误、断货、页面违规或物流风险时，先停止受影响入口，再保留证据、通知负责人并记录恢复条件。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复盘与归档</w:t>
      </w:r>
    </w:p>
    <w:p>
      <w:r>
        <w:t>复盘要区分观察事实、计算结果和待验证原因；资料升级后保留版本与生效日期，以便追溯历史结论。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完成条件</w:t>
            </w:r>
          </w:p>
        </w:tc>
        <w:tc>
          <w:tcPr>
            <w:tcW w:type="dxa" w:w="2160"/>
          </w:tcPr>
          <w:p>
            <w:r>
              <w:t>异常动作</w:t>
            </w:r>
          </w:p>
        </w:tc>
      </w:tr>
      <w:tr>
        <w:tc>
          <w:tcPr>
            <w:tcW w:type="dxa" w:w="2160"/>
          </w:tcPr>
          <w:p>
            <w:r>
              <w:t>准备</w:t>
            </w:r>
          </w:p>
        </w:tc>
        <w:tc>
          <w:tcPr>
            <w:tcW w:type="dxa" w:w="2160"/>
          </w:tcPr>
          <w:p>
            <w:r>
              <w:t>商品运营</w:t>
            </w:r>
          </w:p>
        </w:tc>
        <w:tc>
          <w:tcPr>
            <w:tcW w:type="dxa" w:w="2160"/>
          </w:tcPr>
          <w:p>
            <w:r>
              <w:t>资料与商品范围已核对</w:t>
            </w:r>
          </w:p>
        </w:tc>
        <w:tc>
          <w:tcPr>
            <w:tcW w:type="dxa" w:w="2160"/>
          </w:tcPr>
          <w:p>
            <w:r>
              <w:t>标记待确认项</w:t>
            </w:r>
          </w:p>
        </w:tc>
      </w:tr>
      <w:tr>
        <w:tc>
          <w:tcPr>
            <w:tcW w:type="dxa" w:w="2160"/>
          </w:tcPr>
          <w:p>
            <w:r>
              <w:t>执行</w:t>
            </w:r>
          </w:p>
        </w:tc>
        <w:tc>
          <w:tcPr>
            <w:tcW w:type="dxa" w:w="2160"/>
          </w:tcPr>
          <w:p>
            <w:r>
              <w:t>渠道运营</w:t>
            </w:r>
          </w:p>
        </w:tc>
        <w:tc>
          <w:tcPr>
            <w:tcW w:type="dxa" w:w="2160"/>
          </w:tcPr>
          <w:p>
            <w:r>
              <w:t>页面与配置一致</w:t>
            </w:r>
          </w:p>
        </w:tc>
        <w:tc>
          <w:tcPr>
            <w:tcW w:type="dxa" w:w="2160"/>
          </w:tcPr>
          <w:p>
            <w:r>
              <w:t>关闭异常入口</w:t>
            </w:r>
          </w:p>
        </w:tc>
      </w:tr>
      <w:tr>
        <w:tc>
          <w:tcPr>
            <w:tcW w:type="dxa" w:w="2160"/>
          </w:tcPr>
          <w:p>
            <w:r>
              <w:t>复盘</w:t>
            </w:r>
          </w:p>
        </w:tc>
        <w:tc>
          <w:tcPr>
            <w:tcW w:type="dxa" w:w="2160"/>
          </w:tcPr>
          <w:p>
            <w:r>
              <w:t>经营分析</w:t>
            </w:r>
          </w:p>
        </w:tc>
        <w:tc>
          <w:tcPr>
            <w:tcW w:type="dxa" w:w="2160"/>
          </w:tcPr>
          <w:p>
            <w:r>
              <w:t>证据与口径已说明</w:t>
            </w:r>
          </w:p>
        </w:tc>
        <w:tc>
          <w:tcPr>
            <w:tcW w:type="dxa" w:w="2160"/>
          </w:tcPr>
          <w:p>
            <w:r>
              <w:t>建立后续复核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