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36"/>
        </w:rPr>
        <w:t>Methodology and Conceptual Framework</w:t>
        <w:br/>
      </w:r>
      <w:r>
        <w:rPr>
          <w:rFonts w:ascii="Times New Roman" w:hAnsi="Times New Roman" w:eastAsia="SimSun"/>
          <w:sz w:val="26"/>
        </w:rPr>
        <w:t>AI Vibrancy, Economic Freedom, and AI Regulatory Framing</w:t>
      </w:r>
    </w:p>
    <w:p>
      <w:r>
        <w:rPr>
          <w:rFonts w:ascii="Times New Roman" w:hAnsi="Times New Roman" w:eastAsia="SimSun"/>
        </w:rPr>
        <w:t>This methodology describes how the study combines country-level AI ecosystem indicators, economic freedom measures, and sentence-level text analysis of national AI policy documents. The empirical design is exploratory because the cross-country correlation sample contains eight jurisdictions: the G7 countries plus China.</w:t>
      </w:r>
    </w:p>
    <w:p>
      <w:pPr>
        <w:pStyle w:val="Heading1"/>
      </w:pPr>
      <w:r>
        <w:rPr>
          <w:rFonts w:ascii="Times New Roman" w:hAnsi="Times New Roman" w:eastAsia="SimSun"/>
        </w:rPr>
        <w:t>1. Research Design</w:t>
      </w:r>
    </w:p>
    <w:p>
      <w:r>
        <w:rPr>
          <w:rFonts w:ascii="Times New Roman" w:hAnsi="Times New Roman" w:eastAsia="SimSun"/>
        </w:rPr>
        <w:t>The study uses a mixed quantitative text-analysis design. First, policy documents are segmented into sentences and labeled according to their regulatory framing. Second, country-level framing scores are merged with AI Vibrancy and Index of Economic Freedom indicators. Third, exploratory correlations and ordinary least squares models are used to assess whether national AI ecosystem strength and economic freedom are associated with innovation-oriented or risk-oriented AI policy discourse.</w:t>
      </w:r>
    </w:p>
    <w:p>
      <w:pPr>
        <w:pStyle w:val="ListBullet"/>
      </w:pPr>
      <w:r>
        <w:rPr>
          <w:rFonts w:ascii="Times New Roman" w:hAnsi="Times New Roman" w:eastAsia="SimSun"/>
        </w:rPr>
        <w:t>Country sample for correlation analysis: United States, China, United Kingdom, France, Germany, Italy, Japan, and Canada.</w:t>
      </w:r>
    </w:p>
    <w:p>
      <w:pPr>
        <w:pStyle w:val="ListBullet"/>
      </w:pPr>
      <w:r>
        <w:rPr>
          <w:rFonts w:ascii="Times New Roman" w:hAnsi="Times New Roman" w:eastAsia="SimSun"/>
        </w:rPr>
        <w:t>Text-analysis sample: national AI strategy or AI policy documents for the G7 countries, China, and the European Union. The European Union is retained in descriptive text analysis but excluded from the G7 + China correlation dataset because comparable AI Vibrancy and IEF country scores are not used for it in this study.</w:t>
      </w:r>
    </w:p>
    <w:p>
      <w:pPr>
        <w:pStyle w:val="ListBullet"/>
      </w:pPr>
      <w:r>
        <w:rPr>
          <w:rFonts w:ascii="Times New Roman" w:hAnsi="Times New Roman" w:eastAsia="SimSun"/>
        </w:rPr>
        <w:t>Unit of text analysis: individual sentences, not paragraphs or whole documents.</w:t>
      </w:r>
    </w:p>
    <w:p>
      <w:pPr>
        <w:pStyle w:val="ListBullet"/>
      </w:pPr>
      <w:r>
        <w:rPr>
          <w:rFonts w:ascii="Times New Roman" w:hAnsi="Times New Roman" w:eastAsia="SimSun"/>
        </w:rPr>
        <w:t>Core framing output: corrected DeepSeek sentence labels calibrated with human expert annotations.</w:t>
      </w:r>
    </w:p>
    <w:p>
      <w:pPr>
        <w:pStyle w:val="Heading1"/>
      </w:pPr>
      <w:r>
        <w:rPr>
          <w:rFonts w:ascii="Times New Roman" w:hAnsi="Times New Roman" w:eastAsia="SimSun"/>
        </w:rPr>
        <w:t>2. AI Vibrancy</w:t>
      </w:r>
    </w:p>
    <w:p>
      <w:r>
        <w:rPr>
          <w:rFonts w:ascii="Times New Roman" w:hAnsi="Times New Roman" w:eastAsia="SimSun"/>
        </w:rPr>
        <w:t>AI Vibrancy measures the strength and maturity of each country’s AI ecosystem. The study uses the Stanford AI Index AI Vibrancy country scores stored in the project dataset. The main independent variable is the Total Score, renamed as AI Vibrancy Score in the correlation dataset.</w:t>
      </w:r>
    </w:p>
    <w:p>
      <w:pPr>
        <w:pStyle w:val="ListBullet"/>
      </w:pPr>
      <w:r>
        <w:rPr>
          <w:rFonts w:ascii="Times New Roman" w:hAnsi="Times New Roman" w:eastAsia="SimSun"/>
        </w:rPr>
        <w:t>Data file: data/AI vibrancy tool screen shot/ai_country_scores.csv.</w:t>
      </w:r>
    </w:p>
    <w:p>
      <w:pPr>
        <w:pStyle w:val="ListBullet"/>
      </w:pPr>
      <w:r>
        <w:rPr>
          <w:rFonts w:ascii="Times New Roman" w:hAnsi="Times New Roman" w:eastAsia="SimSun"/>
        </w:rPr>
        <w:t>Main variable: Total Score / AI Vibrancy Score.</w:t>
      </w:r>
    </w:p>
    <w:p>
      <w:pPr>
        <w:pStyle w:val="ListBullet"/>
      </w:pPr>
      <w:r>
        <w:rPr>
          <w:rFonts w:ascii="Times New Roman" w:hAnsi="Times New Roman" w:eastAsia="SimSun"/>
        </w:rPr>
        <w:t>Component dimensions retained for descriptive analysis include R&amp;D, Responsible AI, Economy, Talent, Policy and Governance, Public Opinion, and Infrastructure.</w:t>
      </w:r>
    </w:p>
    <w:p>
      <w:pPr>
        <w:pStyle w:val="ListBullet"/>
      </w:pPr>
      <w:r>
        <w:rPr>
          <w:rFonts w:ascii="Times New Roman" w:hAnsi="Times New Roman" w:eastAsia="SimSun"/>
        </w:rPr>
        <w:t>Interpretation: higher values indicate a stronger and more developed national AI ecosystem.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8"/>
              </w:rPr>
              <w:t>Country</w:t>
            </w:r>
          </w:p>
        </w:tc>
        <w:tc>
          <w:tcPr>
            <w:tcW w:type="dxa" w:w="4896"/>
            <w:vAlign w:val="center"/>
            <w:shd w:fill="D9EAF7"/>
          </w:tcPr>
          <w:p>
            <w:r/>
            <w:r>
              <w:rPr>
                <w:b/>
                <w:sz w:val="18"/>
              </w:rPr>
              <w:t>AI Vibrancy Score</w:t>
            </w:r>
          </w:p>
        </w:tc>
      </w:tr>
      <w:tr>
        <w:tc>
          <w:tcPr>
            <w:tcW w:type="dxa" w:w="4896"/>
            <w:vAlign w:val="center"/>
          </w:tcPr>
          <w:p>
            <w:r/>
            <w:r>
              <w:rPr>
                <w:b w:val="0"/>
                <w:sz w:val="18"/>
              </w:rPr>
              <w:t>United States</w:t>
            </w:r>
          </w:p>
        </w:tc>
        <w:tc>
          <w:tcPr>
            <w:tcW w:type="dxa" w:w="4896"/>
            <w:vAlign w:val="center"/>
          </w:tcPr>
          <w:p>
            <w:r/>
            <w:r>
              <w:rPr>
                <w:b w:val="0"/>
                <w:sz w:val="18"/>
              </w:rPr>
              <w:t>77.85</w:t>
            </w:r>
          </w:p>
        </w:tc>
      </w:tr>
      <w:tr>
        <w:tc>
          <w:tcPr>
            <w:tcW w:type="dxa" w:w="4896"/>
            <w:vAlign w:val="center"/>
          </w:tcPr>
          <w:p>
            <w:r/>
            <w:r>
              <w:rPr>
                <w:b w:val="0"/>
                <w:sz w:val="18"/>
              </w:rPr>
              <w:t>China</w:t>
            </w:r>
          </w:p>
        </w:tc>
        <w:tc>
          <w:tcPr>
            <w:tcW w:type="dxa" w:w="4896"/>
            <w:vAlign w:val="center"/>
          </w:tcPr>
          <w:p>
            <w:r/>
            <w:r>
              <w:rPr>
                <w:b w:val="0"/>
                <w:sz w:val="18"/>
              </w:rPr>
              <w:t>35.10</w:t>
            </w:r>
          </w:p>
        </w:tc>
      </w:tr>
      <w:tr>
        <w:tc>
          <w:tcPr>
            <w:tcW w:type="dxa" w:w="4896"/>
            <w:vAlign w:val="center"/>
          </w:tcPr>
          <w:p>
            <w:r/>
            <w:r>
              <w:rPr>
                <w:b w:val="0"/>
                <w:sz w:val="18"/>
              </w:rPr>
              <w:t>United Kingdom</w:t>
            </w:r>
          </w:p>
        </w:tc>
        <w:tc>
          <w:tcPr>
            <w:tcW w:type="dxa" w:w="4896"/>
            <w:vAlign w:val="center"/>
          </w:tcPr>
          <w:p>
            <w:r/>
            <w:r>
              <w:rPr>
                <w:b w:val="0"/>
                <w:sz w:val="18"/>
              </w:rPr>
              <w:t>20.06</w:t>
            </w:r>
          </w:p>
        </w:tc>
      </w:tr>
      <w:tr>
        <w:tc>
          <w:tcPr>
            <w:tcW w:type="dxa" w:w="4896"/>
            <w:vAlign w:val="center"/>
          </w:tcPr>
          <w:p>
            <w:r/>
            <w:r>
              <w:rPr>
                <w:b w:val="0"/>
                <w:sz w:val="18"/>
              </w:rPr>
              <w:t>Japan</w:t>
            </w:r>
          </w:p>
        </w:tc>
        <w:tc>
          <w:tcPr>
            <w:tcW w:type="dxa" w:w="4896"/>
            <w:vAlign w:val="center"/>
          </w:tcPr>
          <w:p>
            <w:r/>
            <w:r>
              <w:rPr>
                <w:b w:val="0"/>
                <w:sz w:val="18"/>
              </w:rPr>
              <w:t>17.70</w:t>
            </w:r>
          </w:p>
        </w:tc>
      </w:tr>
      <w:tr>
        <w:tc>
          <w:tcPr>
            <w:tcW w:type="dxa" w:w="4896"/>
            <w:vAlign w:val="center"/>
          </w:tcPr>
          <w:p>
            <w:r/>
            <w:r>
              <w:rPr>
                <w:b w:val="0"/>
                <w:sz w:val="18"/>
              </w:rPr>
              <w:t>France</w:t>
            </w:r>
          </w:p>
        </w:tc>
        <w:tc>
          <w:tcPr>
            <w:tcW w:type="dxa" w:w="4896"/>
            <w:vAlign w:val="center"/>
          </w:tcPr>
          <w:p>
            <w:r/>
            <w:r>
              <w:rPr>
                <w:b w:val="0"/>
                <w:sz w:val="18"/>
              </w:rPr>
              <w:t>16.62</w:t>
            </w:r>
          </w:p>
        </w:tc>
      </w:tr>
      <w:tr>
        <w:tc>
          <w:tcPr>
            <w:tcW w:type="dxa" w:w="4896"/>
            <w:vAlign w:val="center"/>
          </w:tcPr>
          <w:p>
            <w:r/>
            <w:r>
              <w:rPr>
                <w:b w:val="0"/>
                <w:sz w:val="18"/>
              </w:rPr>
              <w:t>Canada</w:t>
            </w:r>
          </w:p>
        </w:tc>
        <w:tc>
          <w:tcPr>
            <w:tcW w:type="dxa" w:w="4896"/>
            <w:vAlign w:val="center"/>
          </w:tcPr>
          <w:p>
            <w:r/>
            <w:r>
              <w:rPr>
                <w:b w:val="0"/>
                <w:sz w:val="18"/>
              </w:rPr>
              <w:t>15.46</w:t>
            </w:r>
          </w:p>
        </w:tc>
      </w:tr>
      <w:tr>
        <w:tc>
          <w:tcPr>
            <w:tcW w:type="dxa" w:w="4896"/>
            <w:vAlign w:val="center"/>
          </w:tcPr>
          <w:p>
            <w:r/>
            <w:r>
              <w:rPr>
                <w:b w:val="0"/>
                <w:sz w:val="18"/>
              </w:rPr>
              <w:t>Italy</w:t>
            </w:r>
          </w:p>
        </w:tc>
        <w:tc>
          <w:tcPr>
            <w:tcW w:type="dxa" w:w="4896"/>
            <w:vAlign w:val="center"/>
          </w:tcPr>
          <w:p>
            <w:r/>
            <w:r>
              <w:rPr>
                <w:b w:val="0"/>
                <w:sz w:val="18"/>
              </w:rPr>
              <w:t>13.18</w:t>
            </w:r>
          </w:p>
        </w:tc>
      </w:tr>
      <w:tr>
        <w:tc>
          <w:tcPr>
            <w:tcW w:type="dxa" w:w="4896"/>
            <w:vAlign w:val="center"/>
          </w:tcPr>
          <w:p>
            <w:r/>
            <w:r>
              <w:rPr>
                <w:b w:val="0"/>
                <w:sz w:val="18"/>
              </w:rPr>
              <w:t>Germany</w:t>
            </w:r>
          </w:p>
        </w:tc>
        <w:tc>
          <w:tcPr>
            <w:tcW w:type="dxa" w:w="4896"/>
            <w:vAlign w:val="center"/>
          </w:tcPr>
          <w:p>
            <w:r/>
            <w:r>
              <w:rPr>
                <w:b w:val="0"/>
                <w:sz w:val="18"/>
              </w:rPr>
              <w:t>12.35</w:t>
            </w:r>
          </w:p>
        </w:tc>
      </w:tr>
    </w:tbl>
    <w:p/>
    <w:p>
      <w:pPr>
        <w:pStyle w:val="Heading1"/>
      </w:pPr>
      <w:r>
        <w:rPr>
          <w:rFonts w:ascii="Times New Roman" w:hAnsi="Times New Roman" w:eastAsia="SimSun"/>
        </w:rPr>
        <w:t>3. Economic Freedom</w:t>
      </w:r>
    </w:p>
    <w:p>
      <w:r>
        <w:rPr>
          <w:rFonts w:ascii="Times New Roman" w:hAnsi="Times New Roman" w:eastAsia="SimSun"/>
        </w:rPr>
        <w:t>Economic freedom is measured with the Heritage Foundation Index of Economic Freedom. The analysis uses the latest available index year in the project panel, which is 2026 in the current dataset. The main economic freedom variable is the Overall Score.</w:t>
      </w:r>
    </w:p>
    <w:p>
      <w:pPr>
        <w:pStyle w:val="ListBullet"/>
      </w:pPr>
      <w:r>
        <w:rPr>
          <w:rFonts w:ascii="Times New Roman" w:hAnsi="Times New Roman" w:eastAsia="SimSun"/>
        </w:rPr>
        <w:t>Data file: data/number/ief_g7_china_panel.csv.</w:t>
      </w:r>
    </w:p>
    <w:p>
      <w:pPr>
        <w:pStyle w:val="ListBullet"/>
      </w:pPr>
      <w:r>
        <w:rPr>
          <w:rFonts w:ascii="Times New Roman" w:hAnsi="Times New Roman" w:eastAsia="SimSun"/>
        </w:rPr>
        <w:t>Main variable: Overall Score, renamed as IEF Overall Score.</w:t>
      </w:r>
    </w:p>
    <w:p>
      <w:pPr>
        <w:pStyle w:val="ListBullet"/>
      </w:pPr>
      <w:r>
        <w:rPr>
          <w:rFonts w:ascii="Times New Roman" w:hAnsi="Times New Roman" w:eastAsia="SimSun"/>
        </w:rPr>
        <w:t>The latest year is selected programmatically from the panel rather than hard-coded.</w:t>
      </w:r>
    </w:p>
    <w:p>
      <w:pPr>
        <w:pStyle w:val="ListBullet"/>
      </w:pPr>
      <w:r>
        <w:rPr>
          <w:rFonts w:ascii="Times New Roman" w:hAnsi="Times New Roman" w:eastAsia="SimSun"/>
        </w:rPr>
        <w:t>Interpretation: higher values indicate a more economically free policy environment according to the IEF methodology.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Country</w:t>
            </w:r>
          </w:p>
        </w:tc>
        <w:tc>
          <w:tcPr>
            <w:tcW w:type="dxa" w:w="3264"/>
            <w:vAlign w:val="center"/>
            <w:shd w:fill="D9EAF7"/>
          </w:tcPr>
          <w:p>
            <w:r/>
            <w:r>
              <w:rPr>
                <w:b/>
                <w:sz w:val="18"/>
              </w:rPr>
              <w:t>Index Year</w:t>
            </w:r>
          </w:p>
        </w:tc>
        <w:tc>
          <w:tcPr>
            <w:tcW w:type="dxa" w:w="3264"/>
            <w:vAlign w:val="center"/>
            <w:shd w:fill="D9EAF7"/>
          </w:tcPr>
          <w:p>
            <w:r/>
            <w:r>
              <w:rPr>
                <w:b/>
                <w:sz w:val="18"/>
              </w:rPr>
              <w:t>IEF Overall Score</w:t>
            </w:r>
          </w:p>
        </w:tc>
      </w:tr>
      <w:tr>
        <w:tc>
          <w:tcPr>
            <w:tcW w:type="dxa" w:w="3264"/>
            <w:vAlign w:val="center"/>
          </w:tcPr>
          <w:p>
            <w:r/>
            <w:r>
              <w:rPr>
                <w:b w:val="0"/>
                <w:sz w:val="18"/>
              </w:rPr>
              <w:t>Canada</w:t>
            </w:r>
          </w:p>
        </w:tc>
        <w:tc>
          <w:tcPr>
            <w:tcW w:type="dxa" w:w="3264"/>
            <w:vAlign w:val="center"/>
          </w:tcPr>
          <w:p>
            <w:r/>
            <w:r>
              <w:rPr>
                <w:b w:val="0"/>
                <w:sz w:val="18"/>
              </w:rPr>
              <w:t>2026</w:t>
            </w:r>
          </w:p>
        </w:tc>
        <w:tc>
          <w:tcPr>
            <w:tcW w:type="dxa" w:w="3264"/>
            <w:vAlign w:val="center"/>
          </w:tcPr>
          <w:p>
            <w:r/>
            <w:r>
              <w:rPr>
                <w:b w:val="0"/>
                <w:sz w:val="18"/>
              </w:rPr>
              <w:t>75.6</w:t>
            </w:r>
          </w:p>
        </w:tc>
      </w:tr>
      <w:tr>
        <w:tc>
          <w:tcPr>
            <w:tcW w:type="dxa" w:w="3264"/>
            <w:vAlign w:val="center"/>
          </w:tcPr>
          <w:p>
            <w:r/>
            <w:r>
              <w:rPr>
                <w:b w:val="0"/>
                <w:sz w:val="18"/>
              </w:rPr>
              <w:t>United States</w:t>
            </w:r>
          </w:p>
        </w:tc>
        <w:tc>
          <w:tcPr>
            <w:tcW w:type="dxa" w:w="3264"/>
            <w:vAlign w:val="center"/>
          </w:tcPr>
          <w:p>
            <w:r/>
            <w:r>
              <w:rPr>
                <w:b w:val="0"/>
                <w:sz w:val="18"/>
              </w:rPr>
              <w:t>2026</w:t>
            </w:r>
          </w:p>
        </w:tc>
        <w:tc>
          <w:tcPr>
            <w:tcW w:type="dxa" w:w="3264"/>
            <w:vAlign w:val="center"/>
          </w:tcPr>
          <w:p>
            <w:r/>
            <w:r>
              <w:rPr>
                <w:b w:val="0"/>
                <w:sz w:val="18"/>
              </w:rPr>
              <w:t>72.8</w:t>
            </w:r>
          </w:p>
        </w:tc>
      </w:tr>
      <w:tr>
        <w:tc>
          <w:tcPr>
            <w:tcW w:type="dxa" w:w="3264"/>
            <w:vAlign w:val="center"/>
          </w:tcPr>
          <w:p>
            <w:r/>
            <w:r>
              <w:rPr>
                <w:b w:val="0"/>
                <w:sz w:val="18"/>
              </w:rPr>
              <w:t>Germany</w:t>
            </w:r>
          </w:p>
        </w:tc>
        <w:tc>
          <w:tcPr>
            <w:tcW w:type="dxa" w:w="3264"/>
            <w:vAlign w:val="center"/>
          </w:tcPr>
          <w:p>
            <w:r/>
            <w:r>
              <w:rPr>
                <w:b w:val="0"/>
                <w:sz w:val="18"/>
              </w:rPr>
              <w:t>2026</w:t>
            </w:r>
          </w:p>
        </w:tc>
        <w:tc>
          <w:tcPr>
            <w:tcW w:type="dxa" w:w="3264"/>
            <w:vAlign w:val="center"/>
          </w:tcPr>
          <w:p>
            <w:r/>
            <w:r>
              <w:rPr>
                <w:b w:val="0"/>
                <w:sz w:val="18"/>
              </w:rPr>
              <w:t>71.7</w:t>
            </w:r>
          </w:p>
        </w:tc>
      </w:tr>
      <w:tr>
        <w:tc>
          <w:tcPr>
            <w:tcW w:type="dxa" w:w="3264"/>
            <w:vAlign w:val="center"/>
          </w:tcPr>
          <w:p>
            <w:r/>
            <w:r>
              <w:rPr>
                <w:b w:val="0"/>
                <w:sz w:val="18"/>
              </w:rPr>
              <w:t>United Kingdom</w:t>
            </w:r>
          </w:p>
        </w:tc>
        <w:tc>
          <w:tcPr>
            <w:tcW w:type="dxa" w:w="3264"/>
            <w:vAlign w:val="center"/>
          </w:tcPr>
          <w:p>
            <w:r/>
            <w:r>
              <w:rPr>
                <w:b w:val="0"/>
                <w:sz w:val="18"/>
              </w:rPr>
              <w:t>2026</w:t>
            </w:r>
          </w:p>
        </w:tc>
        <w:tc>
          <w:tcPr>
            <w:tcW w:type="dxa" w:w="3264"/>
            <w:vAlign w:val="center"/>
          </w:tcPr>
          <w:p>
            <w:r/>
            <w:r>
              <w:rPr>
                <w:b w:val="0"/>
                <w:sz w:val="18"/>
              </w:rPr>
              <w:t>70.4</w:t>
            </w:r>
          </w:p>
        </w:tc>
      </w:tr>
      <w:tr>
        <w:tc>
          <w:tcPr>
            <w:tcW w:type="dxa" w:w="3264"/>
            <w:vAlign w:val="center"/>
          </w:tcPr>
          <w:p>
            <w:r/>
            <w:r>
              <w:rPr>
                <w:b w:val="0"/>
                <w:sz w:val="18"/>
              </w:rPr>
              <w:t>Japan</w:t>
            </w:r>
          </w:p>
        </w:tc>
        <w:tc>
          <w:tcPr>
            <w:tcW w:type="dxa" w:w="3264"/>
            <w:vAlign w:val="center"/>
          </w:tcPr>
          <w:p>
            <w:r/>
            <w:r>
              <w:rPr>
                <w:b w:val="0"/>
                <w:sz w:val="18"/>
              </w:rPr>
              <w:t>2026</w:t>
            </w:r>
          </w:p>
        </w:tc>
        <w:tc>
          <w:tcPr>
            <w:tcW w:type="dxa" w:w="3264"/>
            <w:vAlign w:val="center"/>
          </w:tcPr>
          <w:p>
            <w:r/>
            <w:r>
              <w:rPr>
                <w:b w:val="0"/>
                <w:sz w:val="18"/>
              </w:rPr>
              <w:t>70.3</w:t>
            </w:r>
          </w:p>
        </w:tc>
      </w:tr>
      <w:tr>
        <w:tc>
          <w:tcPr>
            <w:tcW w:type="dxa" w:w="3264"/>
            <w:vAlign w:val="center"/>
          </w:tcPr>
          <w:p>
            <w:r/>
            <w:r>
              <w:rPr>
                <w:b w:val="0"/>
                <w:sz w:val="18"/>
              </w:rPr>
              <w:t>France</w:t>
            </w:r>
          </w:p>
        </w:tc>
        <w:tc>
          <w:tcPr>
            <w:tcW w:type="dxa" w:w="3264"/>
            <w:vAlign w:val="center"/>
          </w:tcPr>
          <w:p>
            <w:r/>
            <w:r>
              <w:rPr>
                <w:b w:val="0"/>
                <w:sz w:val="18"/>
              </w:rPr>
              <w:t>2026</w:t>
            </w:r>
          </w:p>
        </w:tc>
        <w:tc>
          <w:tcPr>
            <w:tcW w:type="dxa" w:w="3264"/>
            <w:vAlign w:val="center"/>
          </w:tcPr>
          <w:p>
            <w:r/>
            <w:r>
              <w:rPr>
                <w:b w:val="0"/>
                <w:sz w:val="18"/>
              </w:rPr>
              <w:t>64.6</w:t>
            </w:r>
          </w:p>
        </w:tc>
      </w:tr>
      <w:tr>
        <w:tc>
          <w:tcPr>
            <w:tcW w:type="dxa" w:w="3264"/>
            <w:vAlign w:val="center"/>
          </w:tcPr>
          <w:p>
            <w:r/>
            <w:r>
              <w:rPr>
                <w:b w:val="0"/>
                <w:sz w:val="18"/>
              </w:rPr>
              <w:t>Italy</w:t>
            </w:r>
          </w:p>
        </w:tc>
        <w:tc>
          <w:tcPr>
            <w:tcW w:type="dxa" w:w="3264"/>
            <w:vAlign w:val="center"/>
          </w:tcPr>
          <w:p>
            <w:r/>
            <w:r>
              <w:rPr>
                <w:b w:val="0"/>
                <w:sz w:val="18"/>
              </w:rPr>
              <w:t>2026</w:t>
            </w:r>
          </w:p>
        </w:tc>
        <w:tc>
          <w:tcPr>
            <w:tcW w:type="dxa" w:w="3264"/>
            <w:vAlign w:val="center"/>
          </w:tcPr>
          <w:p>
            <w:r/>
            <w:r>
              <w:rPr>
                <w:b w:val="0"/>
                <w:sz w:val="18"/>
              </w:rPr>
              <w:t>63.3</w:t>
            </w:r>
          </w:p>
        </w:tc>
      </w:tr>
      <w:tr>
        <w:tc>
          <w:tcPr>
            <w:tcW w:type="dxa" w:w="3264"/>
            <w:vAlign w:val="center"/>
          </w:tcPr>
          <w:p>
            <w:r/>
            <w:r>
              <w:rPr>
                <w:b w:val="0"/>
                <w:sz w:val="18"/>
              </w:rPr>
              <w:t>China</w:t>
            </w:r>
          </w:p>
        </w:tc>
        <w:tc>
          <w:tcPr>
            <w:tcW w:type="dxa" w:w="3264"/>
            <w:vAlign w:val="center"/>
          </w:tcPr>
          <w:p>
            <w:r/>
            <w:r>
              <w:rPr>
                <w:b w:val="0"/>
                <w:sz w:val="18"/>
              </w:rPr>
              <w:t>2026</w:t>
            </w:r>
          </w:p>
        </w:tc>
        <w:tc>
          <w:tcPr>
            <w:tcW w:type="dxa" w:w="3264"/>
            <w:vAlign w:val="center"/>
          </w:tcPr>
          <w:p>
            <w:r/>
            <w:r>
              <w:rPr>
                <w:b w:val="0"/>
                <w:sz w:val="18"/>
              </w:rPr>
              <w:t>48.3</w:t>
            </w:r>
          </w:p>
        </w:tc>
      </w:tr>
    </w:tbl>
    <w:p/>
    <w:p>
      <w:pPr>
        <w:pStyle w:val="Heading1"/>
      </w:pPr>
      <w:r>
        <w:rPr>
          <w:rFonts w:ascii="Times New Roman" w:hAnsi="Times New Roman" w:eastAsia="SimSun"/>
        </w:rPr>
        <w:t>4. Text Analysis Data</w:t>
      </w:r>
    </w:p>
    <w:p>
      <w:r>
        <w:rPr>
          <w:rFonts w:ascii="Times New Roman" w:hAnsi="Times New Roman" w:eastAsia="SimSun"/>
        </w:rPr>
        <w:t>The text corpus consists of national AI strategy and AI policy documents. English-language documents are used directly. Chinese-language materials are analyzed using translated English text generated with NLLB or existing English analysis corpora where available. All documents are converted into sentence-level records before classification.</w:t>
      </w:r>
    </w:p>
    <w:p>
      <w:pPr>
        <w:pStyle w:val="ListBullet"/>
      </w:pPr>
      <w:r>
        <w:rPr>
          <w:rFonts w:ascii="Times New Roman" w:hAnsi="Times New Roman" w:eastAsia="SimSun"/>
        </w:rPr>
        <w:t>Document type: national AI strategy / AI policy documents.</w:t>
      </w:r>
    </w:p>
    <w:p>
      <w:pPr>
        <w:pStyle w:val="ListBullet"/>
      </w:pPr>
      <w:r>
        <w:rPr>
          <w:rFonts w:ascii="Times New Roman" w:hAnsi="Times New Roman" w:eastAsia="SimSun"/>
        </w:rPr>
        <w:t>Geographic coverage: G7 countries + China, with the European Union included in the descriptive framing summary.</w:t>
      </w:r>
    </w:p>
    <w:p>
      <w:pPr>
        <w:pStyle w:val="ListBullet"/>
      </w:pPr>
      <w:r>
        <w:rPr>
          <w:rFonts w:ascii="Times New Roman" w:hAnsi="Times New Roman" w:eastAsia="SimSun"/>
        </w:rPr>
        <w:t>Language handling: English texts are used directly; Chinese texts are translated into English using NLLB or analyzed through existing English corpora.</w:t>
      </w:r>
    </w:p>
    <w:p>
      <w:pPr>
        <w:pStyle w:val="ListBullet"/>
      </w:pPr>
      <w:r>
        <w:rPr>
          <w:rFonts w:ascii="Times New Roman" w:hAnsi="Times New Roman" w:eastAsia="SimSun"/>
        </w:rPr>
        <w:t>Unit of analysis: sentence-level classification.</w:t>
      </w:r>
    </w:p>
    <w:p>
      <w:pPr>
        <w:pStyle w:val="ListBullet"/>
      </w:pPr>
      <w:r>
        <w:rPr>
          <w:rFonts w:ascii="Times New Roman" w:hAnsi="Times New Roman" w:eastAsia="SimSun"/>
        </w:rPr>
        <w:t>Current corrected full run contains 3730 sentences across 9 countries/entities.</w:t>
      </w:r>
    </w:p>
    <w:p>
      <w:pPr>
        <w:pStyle w:val="Heading1"/>
      </w:pPr>
      <w:r>
        <w:rPr>
          <w:rFonts w:ascii="Times New Roman" w:hAnsi="Times New Roman" w:eastAsia="SimSun"/>
        </w:rPr>
        <w:t>5. Conceptual Framework</w:t>
      </w:r>
    </w:p>
    <w:p>
      <w:r>
        <w:rPr>
          <w:rFonts w:ascii="Times New Roman" w:hAnsi="Times New Roman" w:eastAsia="SimSun"/>
        </w:rPr>
        <w:t>The conceptual framework treats AI regulatory discourse as a measurable policy signal. Sentences are assigned to one of five labels. The primary substantive contrast is between innovation-oriented and risk-oriented framing; mixed and neutral labels prevent the model from forcing ambiguous or descriptive sentences into substantive categories.</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9EAF7"/>
          </w:tcPr>
          <w:p>
            <w:r/>
            <w:r>
              <w:rPr>
                <w:b/>
                <w:sz w:val="18"/>
              </w:rPr>
              <w:t>Label</w:t>
            </w:r>
          </w:p>
        </w:tc>
        <w:tc>
          <w:tcPr>
            <w:tcW w:type="dxa" w:w="8208"/>
            <w:vAlign w:val="center"/>
            <w:shd w:fill="D9EAF7"/>
          </w:tcPr>
          <w:p>
            <w:r/>
            <w:r>
              <w:rPr>
                <w:b/>
                <w:sz w:val="18"/>
              </w:rPr>
              <w:t>Meaning</w:t>
            </w:r>
          </w:p>
        </w:tc>
      </w:tr>
      <w:tr>
        <w:tc>
          <w:tcPr>
            <w:tcW w:type="dxa" w:w="2448"/>
            <w:vAlign w:val="center"/>
          </w:tcPr>
          <w:p>
            <w:r/>
            <w:r>
              <w:rPr>
                <w:b w:val="0"/>
                <w:sz w:val="18"/>
              </w:rPr>
              <w:t>Innovation-oriented</w:t>
            </w:r>
          </w:p>
        </w:tc>
        <w:tc>
          <w:tcPr>
            <w:tcW w:type="dxa" w:w="8208"/>
            <w:vAlign w:val="center"/>
          </w:tcPr>
          <w:p>
            <w:r/>
            <w:r>
              <w:rPr>
                <w:b w:val="0"/>
                <w:sz w:val="18"/>
              </w:rPr>
              <w:t>Emphasizes innovation, investment, adoption, competitiveness, productivity, and flexible regulation.</w:t>
            </w:r>
          </w:p>
        </w:tc>
      </w:tr>
      <w:tr>
        <w:tc>
          <w:tcPr>
            <w:tcW w:type="dxa" w:w="2448"/>
            <w:vAlign w:val="center"/>
          </w:tcPr>
          <w:p>
            <w:r/>
            <w:r>
              <w:rPr>
                <w:b w:val="0"/>
                <w:sz w:val="18"/>
              </w:rPr>
              <w:t>Risk-oriented</w:t>
            </w:r>
          </w:p>
        </w:tc>
        <w:tc>
          <w:tcPr>
            <w:tcW w:type="dxa" w:w="8208"/>
            <w:vAlign w:val="center"/>
          </w:tcPr>
          <w:p>
            <w:r/>
            <w:r>
              <w:rPr>
                <w:b w:val="0"/>
                <w:sz w:val="18"/>
              </w:rPr>
              <w:t>Emphasizes risk, safety, accountability, privacy, fairness, human rights, and regulatory obligations.</w:t>
            </w:r>
          </w:p>
        </w:tc>
      </w:tr>
      <w:tr>
        <w:tc>
          <w:tcPr>
            <w:tcW w:type="dxa" w:w="2448"/>
            <w:vAlign w:val="center"/>
          </w:tcPr>
          <w:p>
            <w:r/>
            <w:r>
              <w:rPr>
                <w:b w:val="0"/>
                <w:sz w:val="18"/>
              </w:rPr>
              <w:t>Mixed</w:t>
            </w:r>
          </w:p>
        </w:tc>
        <w:tc>
          <w:tcPr>
            <w:tcW w:type="dxa" w:w="8208"/>
            <w:vAlign w:val="center"/>
          </w:tcPr>
          <w:p>
            <w:r/>
            <w:r>
              <w:rPr>
                <w:b w:val="0"/>
                <w:sz w:val="18"/>
              </w:rPr>
              <w:t>A single sentence contains both innovation and risk framing.</w:t>
            </w:r>
          </w:p>
        </w:tc>
      </w:tr>
      <w:tr>
        <w:tc>
          <w:tcPr>
            <w:tcW w:type="dxa" w:w="2448"/>
            <w:vAlign w:val="center"/>
          </w:tcPr>
          <w:p>
            <w:r/>
            <w:r>
              <w:rPr>
                <w:b w:val="0"/>
                <w:sz w:val="18"/>
              </w:rPr>
              <w:t>Neutral</w:t>
            </w:r>
          </w:p>
        </w:tc>
        <w:tc>
          <w:tcPr>
            <w:tcW w:type="dxa" w:w="8208"/>
            <w:vAlign w:val="center"/>
          </w:tcPr>
          <w:p>
            <w:r/>
            <w:r>
              <w:rPr>
                <w:b w:val="0"/>
                <w:sz w:val="18"/>
              </w:rPr>
              <w:t>Descriptive, administrative, or procedural sentences without a clear innovation or risk orientation.</w:t>
            </w:r>
          </w:p>
        </w:tc>
      </w:tr>
      <w:tr>
        <w:tc>
          <w:tcPr>
            <w:tcW w:type="dxa" w:w="2448"/>
            <w:vAlign w:val="center"/>
          </w:tcPr>
          <w:p>
            <w:r/>
            <w:r>
              <w:rPr>
                <w:b w:val="0"/>
                <w:sz w:val="18"/>
              </w:rPr>
              <w:t>Unsure</w:t>
            </w:r>
          </w:p>
        </w:tc>
        <w:tc>
          <w:tcPr>
            <w:tcW w:type="dxa" w:w="8208"/>
            <w:vAlign w:val="center"/>
          </w:tcPr>
          <w:p>
            <w:r/>
            <w:r>
              <w:rPr>
                <w:b w:val="0"/>
                <w:sz w:val="18"/>
              </w:rPr>
              <w:t>Residual category used for unclear or low-confidence cases; excluded from human-gold calibration in the no-unsure run.</w:t>
            </w:r>
          </w:p>
        </w:tc>
      </w:tr>
    </w:tbl>
    <w:p/>
    <w:p>
      <w:pPr>
        <w:pStyle w:val="Heading1"/>
      </w:pPr>
      <w:r>
        <w:rPr>
          <w:rFonts w:ascii="Times New Roman" w:hAnsi="Times New Roman" w:eastAsia="SimSun"/>
        </w:rPr>
        <w:t>6. LLM Labeling Method</w:t>
      </w:r>
    </w:p>
    <w:p>
      <w:r>
        <w:rPr>
          <w:rFonts w:ascii="Times New Roman" w:hAnsi="Times New Roman" w:eastAsia="SimSun"/>
        </w:rPr>
        <w:t>The sentence-labeling workflow uses DeepSeek through Ollama. The model classifies each sentence independently, which reduces cross-sentence leakage and makes each label auditable at the sentence level.</w:t>
      </w:r>
    </w:p>
    <w:p>
      <w:pPr>
        <w:pStyle w:val="ListBullet"/>
      </w:pPr>
      <w:r>
        <w:rPr>
          <w:rFonts w:ascii="Times New Roman" w:hAnsi="Times New Roman" w:eastAsia="SimSun"/>
        </w:rPr>
        <w:t>Local model: deepseek-r1:14b.</w:t>
      </w:r>
    </w:p>
    <w:p>
      <w:pPr>
        <w:pStyle w:val="ListBullet"/>
      </w:pPr>
      <w:r>
        <w:rPr>
          <w:rFonts w:ascii="Times New Roman" w:hAnsi="Times New Roman" w:eastAsia="SimSun"/>
        </w:rPr>
        <w:t>Deployment: local Ollama endpoint, improving reproducibility and data control.</w:t>
      </w:r>
    </w:p>
    <w:p>
      <w:pPr>
        <w:pStyle w:val="ListBullet"/>
      </w:pPr>
      <w:r>
        <w:rPr>
          <w:rFonts w:ascii="Times New Roman" w:hAnsi="Times New Roman" w:eastAsia="SimSun"/>
        </w:rPr>
        <w:t>Independent classification: each sentence is labeled separately.</w:t>
      </w:r>
    </w:p>
    <w:p>
      <w:pPr>
        <w:pStyle w:val="ListBullet"/>
      </w:pPr>
      <w:r>
        <w:rPr>
          <w:rFonts w:ascii="Times New Roman" w:hAnsi="Times New Roman" w:eastAsia="SimSun"/>
        </w:rPr>
        <w:t>Prompt design: the prompt includes the project codebook and human-annotated gold examples.</w:t>
      </w:r>
    </w:p>
    <w:p>
      <w:pPr>
        <w:pStyle w:val="ListBullet"/>
      </w:pPr>
      <w:r>
        <w:rPr>
          <w:rFonts w:ascii="Times New Roman" w:hAnsi="Times New Roman" w:eastAsia="SimSun"/>
        </w:rPr>
        <w:t>Structured output: the model returns JSON with label, confidence score, and reason.</w:t>
      </w:r>
    </w:p>
    <w:p>
      <w:pPr>
        <w:pStyle w:val="ListBullet"/>
      </w:pPr>
      <w:r>
        <w:rPr>
          <w:rFonts w:ascii="Times New Roman" w:hAnsi="Times New Roman" w:eastAsia="SimSun"/>
        </w:rPr>
        <w:t>Label tracking: both raw model labels and final corrected labels are retained.</w:t>
      </w:r>
    </w:p>
    <w:p>
      <w:r>
        <w:rPr>
          <w:rFonts w:ascii="Times New Roman" w:hAnsi="Times New Roman" w:eastAsia="SimSun"/>
        </w:rPr>
        <w:t>Key advantages of the LLM labeling workflow:</w:t>
      </w:r>
    </w:p>
    <w:p>
      <w:pPr>
        <w:pStyle w:val="ListBullet"/>
      </w:pPr>
      <w:r>
        <w:rPr>
          <w:rFonts w:ascii="Times New Roman" w:hAnsi="Times New Roman" w:eastAsia="SimSun"/>
        </w:rPr>
        <w:t>Local deployment supports reproducibility and avoids sending policy text to an external hosted API.</w:t>
      </w:r>
    </w:p>
    <w:p>
      <w:pPr>
        <w:pStyle w:val="ListBullet"/>
      </w:pPr>
      <w:r>
        <w:rPr>
          <w:rFonts w:ascii="Times New Roman" w:hAnsi="Times New Roman" w:eastAsia="SimSun"/>
        </w:rPr>
        <w:t>Sentence-level granularity allows fine-grained measurement of regulatory framing.</w:t>
      </w:r>
    </w:p>
    <w:p>
      <w:pPr>
        <w:pStyle w:val="ListBullet"/>
      </w:pPr>
      <w:r>
        <w:rPr>
          <w:rFonts w:ascii="Times New Roman" w:hAnsi="Times New Roman" w:eastAsia="SimSun"/>
        </w:rPr>
        <w:t>JSON formatting enables automated parsing and reduces manual post-processing.</w:t>
      </w:r>
    </w:p>
    <w:p>
      <w:pPr>
        <w:pStyle w:val="ListBullet"/>
      </w:pPr>
      <w:r>
        <w:rPr>
          <w:rFonts w:ascii="Times New Roman" w:hAnsi="Times New Roman" w:eastAsia="SimSun"/>
        </w:rPr>
        <w:t>Confidence scores and reason fields make model decisions auditable.</w:t>
      </w:r>
    </w:p>
    <w:p>
      <w:pPr>
        <w:pStyle w:val="ListBullet"/>
      </w:pPr>
      <w:r>
        <w:rPr>
          <w:rFonts w:ascii="Times New Roman" w:hAnsi="Times New Roman" w:eastAsia="SimSun"/>
        </w:rPr>
        <w:t>Retaining both raw and corrected labels allows the study to distinguish model behavior from human-calibrated final outputs.</w:t>
      </w:r>
    </w:p>
    <w:p>
      <w:pPr>
        <w:pStyle w:val="Heading1"/>
      </w:pPr>
      <w:r>
        <w:rPr>
          <w:rFonts w:ascii="Times New Roman" w:hAnsi="Times New Roman" w:eastAsia="SimSun"/>
        </w:rPr>
        <w:t>7. Human Calibration</w:t>
      </w:r>
    </w:p>
    <w:p>
      <w:r>
        <w:rPr>
          <w:rFonts w:ascii="Times New Roman" w:hAnsi="Times New Roman" w:eastAsia="SimSun"/>
        </w:rPr>
        <w:t>Human calibration is a central quality-control step. The workflow is designed to avoid blindly trusting LLM output. Human annotations are used both to guide the model through few-shot examples and to correct exact matched sentences in the final output.</w:t>
      </w:r>
    </w:p>
    <w:p>
      <w:pPr>
        <w:pStyle w:val="ListNumber"/>
      </w:pPr>
      <w:r>
        <w:rPr>
          <w:rFonts w:ascii="Times New Roman" w:hAnsi="Times New Roman" w:eastAsia="SimSun"/>
        </w:rPr>
        <w:t>Sampling: 40 sentences were sampled for human annotation.</w:t>
      </w:r>
    </w:p>
    <w:p>
      <w:pPr>
        <w:pStyle w:val="ListNumber"/>
      </w:pPr>
      <w:r>
        <w:rPr>
          <w:rFonts w:ascii="Times New Roman" w:hAnsi="Times New Roman" w:eastAsia="SimSun"/>
        </w:rPr>
        <w:t>Independent annotation: multiple human annotators labeled the sampled sentences independently using the framing codebook.</w:t>
      </w:r>
    </w:p>
    <w:p>
      <w:pPr>
        <w:pStyle w:val="ListNumber"/>
      </w:pPr>
      <w:r>
        <w:rPr>
          <w:rFonts w:ascii="Times New Roman" w:hAnsi="Times New Roman" w:eastAsia="SimSun"/>
        </w:rPr>
        <w:t>Quality check: Annotator 1 showed lower annotation stability and was therefore not used for the final Daria + Stephen consensus calibration set.</w:t>
      </w:r>
    </w:p>
    <w:p>
      <w:pPr>
        <w:pStyle w:val="ListNumber"/>
      </w:pPr>
      <w:r>
        <w:rPr>
          <w:rFonts w:ascii="Times New Roman" w:hAnsi="Times New Roman" w:eastAsia="SimSun"/>
        </w:rPr>
        <w:t>Gold set creation: Daria and Stephen reached agreement on 23 sentences. After excluding human-gold Unsure labels for the no-unsure calibration workflow, 16 substantive gold labels were used for prompt calibration, exact-match overrides, and model evaluation.</w:t>
      </w:r>
    </w:p>
    <w:p>
      <w:pPr>
        <w:pStyle w:val="ListNumber"/>
      </w:pPr>
      <w:r>
        <w:rPr>
          <w:rFonts w:ascii="Times New Roman" w:hAnsi="Times New Roman" w:eastAsia="SimSun"/>
        </w:rPr>
        <w:t>Model evaluation: raw model accuracy against the substantive gold set was 75.00%; after exact human-gold correction, corrected accuracy was 100.00%. The current full run applied 4 human overrides.</w:t>
      </w:r>
    </w:p>
    <w:p>
      <w:pPr>
        <w:pStyle w:val="Heading1"/>
      </w:pPr>
      <w:r>
        <w:rPr>
          <w:rFonts w:ascii="Times New Roman" w:hAnsi="Times New Roman" w:eastAsia="SimSun"/>
        </w:rPr>
        <w:t>8. Correction Logic</w:t>
      </w:r>
    </w:p>
    <w:p>
      <w:r>
        <w:rPr>
          <w:rFonts w:ascii="Times New Roman" w:hAnsi="Times New Roman" w:eastAsia="SimSun"/>
        </w:rPr>
        <w:t>The final corrected label is generated using deterministic exact-match override logic:</w:t>
      </w:r>
    </w:p>
    <w:p>
      <w:pPr/>
      <w:r>
        <w:rPr>
          <w:rFonts w:ascii="Courier New" w:hAnsi="Courier New" w:eastAsia="Courier New"/>
          <w:sz w:val="19"/>
        </w:rPr>
        <w:t>corrected_label =</w:t>
        <w:br/>
        <w:t xml:space="preserve">    human_gold_label, if the sentence is present in the usable human gold set</w:t>
        <w:br/>
        <w:t xml:space="preserve">    model_label, otherwise</w:t>
      </w:r>
    </w:p>
    <w:p>
      <w:r>
        <w:rPr>
          <w:rFonts w:ascii="Times New Roman" w:hAnsi="Times New Roman" w:eastAsia="SimSun"/>
        </w:rPr>
        <w:t>This correction logic means the model is trusted for the broader corpus only after it has been calibrated and benchmarked against human expert agreement. For sentences in the usable gold set, the human consensus label has priority over the model output.</w:t>
      </w:r>
    </w:p>
    <w:p>
      <w:pPr>
        <w:pStyle w:val="Heading1"/>
      </w:pPr>
      <w:r>
        <w:rPr>
          <w:rFonts w:ascii="Times New Roman" w:hAnsi="Times New Roman" w:eastAsia="SimSun"/>
        </w:rPr>
        <w:t>9. Country-Level Framing Measures</w:t>
      </w:r>
    </w:p>
    <w:p>
      <w:r>
        <w:rPr>
          <w:rFonts w:ascii="Times New Roman" w:hAnsi="Times New Roman" w:eastAsia="SimSun"/>
        </w:rPr>
        <w:t>After sentence classification, labels are aggregated by country/entity. Innovation-oriented sentences receive a score of +1, risk-oriented sentences receive -1, and mixed, neutral, and unsure sentences receive 0 for the net framing score.</w:t>
      </w:r>
    </w:p>
    <w:p>
      <w:pPr>
        <w:pStyle w:val="ListBullet"/>
      </w:pPr>
      <w:r>
        <w:rPr>
          <w:rFonts w:ascii="Times New Roman" w:hAnsi="Times New Roman" w:eastAsia="SimSun"/>
        </w:rPr>
        <w:t>Innovation Share = Innovation-oriented sentences / total sentences.</w:t>
      </w:r>
    </w:p>
    <w:p>
      <w:pPr>
        <w:pStyle w:val="ListBullet"/>
      </w:pPr>
      <w:r>
        <w:rPr>
          <w:rFonts w:ascii="Times New Roman" w:hAnsi="Times New Roman" w:eastAsia="SimSun"/>
        </w:rPr>
        <w:t>Risk Share = Risk-oriented sentences / total sentences.</w:t>
      </w:r>
    </w:p>
    <w:p>
      <w:pPr>
        <w:pStyle w:val="ListBullet"/>
      </w:pPr>
      <w:r>
        <w:rPr>
          <w:rFonts w:ascii="Times New Roman" w:hAnsi="Times New Roman" w:eastAsia="SimSun"/>
        </w:rPr>
        <w:t>Net Innovation Framing = count of innovation-oriented sentences minus count of risk-oriented sentences.</w:t>
      </w:r>
    </w:p>
    <w:p>
      <w:pPr>
        <w:pStyle w:val="ListBullet"/>
      </w:pPr>
      <w:r>
        <w:rPr>
          <w:rFonts w:ascii="Times New Roman" w:hAnsi="Times New Roman" w:eastAsia="SimSun"/>
        </w:rPr>
        <w:t>Mean Framing Score = Net Innovation Framing / total sentences.</w:t>
      </w:r>
    </w:p>
    <w:p>
      <w:pPr>
        <w:pStyle w:val="ListBullet"/>
      </w:pPr>
      <w:r>
        <w:rPr>
          <w:rFonts w:ascii="Times New Roman" w:hAnsi="Times New Roman" w:eastAsia="SimSun"/>
        </w:rPr>
        <w:t>Innovation-to-Risk Ratio = (Innovation-oriented sentences + 0.5) / (Risk-oriented sentences + 0.5), using a small smoothing constant to avoid division by zero.</w:t>
      </w:r>
    </w:p>
    <w:p>
      <w:pPr>
        <w:pStyle w:val="ListBullet"/>
      </w:pPr>
      <w:r>
        <w:rPr>
          <w:rFonts w:ascii="Times New Roman" w:hAnsi="Times New Roman" w:eastAsia="SimSun"/>
        </w:rPr>
        <w:t>Log Innovation-to-Risk Ratio = natural log of the smoothed ratio.</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AF7"/>
          </w:tcPr>
          <w:p>
            <w:r/>
            <w:r>
              <w:rPr>
                <w:b/>
                <w:sz w:val="18"/>
              </w:rPr>
              <w:t>Country/entity</w:t>
            </w:r>
          </w:p>
        </w:tc>
        <w:tc>
          <w:tcPr>
            <w:tcW w:type="dxa" w:w="1224"/>
            <w:vAlign w:val="center"/>
            <w:shd w:fill="D9EAF7"/>
          </w:tcPr>
          <w:p>
            <w:r/>
            <w:r>
              <w:rPr>
                <w:b/>
                <w:sz w:val="18"/>
              </w:rPr>
              <w:t>Sentences</w:t>
            </w:r>
          </w:p>
        </w:tc>
        <w:tc>
          <w:tcPr>
            <w:tcW w:type="dxa" w:w="1224"/>
            <w:vAlign w:val="center"/>
            <w:shd w:fill="D9EAF7"/>
          </w:tcPr>
          <w:p>
            <w:r/>
            <w:r>
              <w:rPr>
                <w:b/>
                <w:sz w:val="18"/>
              </w:rPr>
              <w:t>Innovation</w:t>
            </w:r>
          </w:p>
        </w:tc>
        <w:tc>
          <w:tcPr>
            <w:tcW w:type="dxa" w:w="1224"/>
            <w:vAlign w:val="center"/>
            <w:shd w:fill="D9EAF7"/>
          </w:tcPr>
          <w:p>
            <w:r/>
            <w:r>
              <w:rPr>
                <w:b/>
                <w:sz w:val="18"/>
              </w:rPr>
              <w:t>Risk</w:t>
            </w:r>
          </w:p>
        </w:tc>
        <w:tc>
          <w:tcPr>
            <w:tcW w:type="dxa" w:w="1224"/>
            <w:vAlign w:val="center"/>
            <w:shd w:fill="D9EAF7"/>
          </w:tcPr>
          <w:p>
            <w:r/>
            <w:r>
              <w:rPr>
                <w:b/>
                <w:sz w:val="18"/>
              </w:rPr>
              <w:t>Mixed</w:t>
            </w:r>
          </w:p>
        </w:tc>
        <w:tc>
          <w:tcPr>
            <w:tcW w:type="dxa" w:w="1224"/>
            <w:vAlign w:val="center"/>
            <w:shd w:fill="D9EAF7"/>
          </w:tcPr>
          <w:p>
            <w:r/>
            <w:r>
              <w:rPr>
                <w:b/>
                <w:sz w:val="18"/>
              </w:rPr>
              <w:t>Neutral</w:t>
            </w:r>
          </w:p>
        </w:tc>
        <w:tc>
          <w:tcPr>
            <w:tcW w:type="dxa" w:w="1224"/>
            <w:vAlign w:val="center"/>
            <w:shd w:fill="D9EAF7"/>
          </w:tcPr>
          <w:p>
            <w:r/>
            <w:r>
              <w:rPr>
                <w:b/>
                <w:sz w:val="18"/>
              </w:rPr>
              <w:t>Mean Score</w:t>
            </w:r>
          </w:p>
        </w:tc>
        <w:tc>
          <w:tcPr>
            <w:tcW w:type="dxa" w:w="1224"/>
            <w:vAlign w:val="center"/>
            <w:shd w:fill="D9EAF7"/>
          </w:tcPr>
          <w:p>
            <w:r/>
            <w:r>
              <w:rPr>
                <w:b/>
                <w:sz w:val="18"/>
              </w:rPr>
              <w:t>Innovation/Risk Ratio</w:t>
            </w:r>
          </w:p>
        </w:tc>
      </w:tr>
      <w:tr>
        <w:tc>
          <w:tcPr>
            <w:tcW w:type="dxa" w:w="1224"/>
            <w:vAlign w:val="center"/>
          </w:tcPr>
          <w:p>
            <w:r/>
            <w:r>
              <w:rPr>
                <w:b w:val="0"/>
                <w:sz w:val="18"/>
              </w:rPr>
              <w:t>China</w:t>
            </w:r>
          </w:p>
        </w:tc>
        <w:tc>
          <w:tcPr>
            <w:tcW w:type="dxa" w:w="1224"/>
            <w:vAlign w:val="center"/>
          </w:tcPr>
          <w:p>
            <w:r/>
            <w:r>
              <w:rPr>
                <w:b w:val="0"/>
                <w:sz w:val="18"/>
              </w:rPr>
              <w:t>241</w:t>
            </w:r>
          </w:p>
        </w:tc>
        <w:tc>
          <w:tcPr>
            <w:tcW w:type="dxa" w:w="1224"/>
            <w:vAlign w:val="center"/>
          </w:tcPr>
          <w:p>
            <w:r/>
            <w:r>
              <w:rPr>
                <w:b w:val="0"/>
                <w:sz w:val="18"/>
              </w:rPr>
              <w:t>167</w:t>
            </w:r>
          </w:p>
        </w:tc>
        <w:tc>
          <w:tcPr>
            <w:tcW w:type="dxa" w:w="1224"/>
            <w:vAlign w:val="center"/>
          </w:tcPr>
          <w:p>
            <w:r/>
            <w:r>
              <w:rPr>
                <w:b w:val="0"/>
                <w:sz w:val="18"/>
              </w:rPr>
              <w:t>23</w:t>
            </w:r>
          </w:p>
        </w:tc>
        <w:tc>
          <w:tcPr>
            <w:tcW w:type="dxa" w:w="1224"/>
            <w:vAlign w:val="center"/>
          </w:tcPr>
          <w:p>
            <w:r/>
            <w:r>
              <w:rPr>
                <w:b w:val="0"/>
                <w:sz w:val="18"/>
              </w:rPr>
              <w:t>8</w:t>
            </w:r>
          </w:p>
        </w:tc>
        <w:tc>
          <w:tcPr>
            <w:tcW w:type="dxa" w:w="1224"/>
            <w:vAlign w:val="center"/>
          </w:tcPr>
          <w:p>
            <w:r/>
            <w:r>
              <w:rPr>
                <w:b w:val="0"/>
                <w:sz w:val="18"/>
              </w:rPr>
              <w:t>43</w:t>
            </w:r>
          </w:p>
        </w:tc>
        <w:tc>
          <w:tcPr>
            <w:tcW w:type="dxa" w:w="1224"/>
            <w:vAlign w:val="center"/>
          </w:tcPr>
          <w:p>
            <w:r/>
            <w:r>
              <w:rPr>
                <w:b w:val="0"/>
                <w:sz w:val="18"/>
              </w:rPr>
              <w:t>0.598</w:t>
            </w:r>
          </w:p>
        </w:tc>
        <w:tc>
          <w:tcPr>
            <w:tcW w:type="dxa" w:w="1224"/>
            <w:vAlign w:val="center"/>
          </w:tcPr>
          <w:p>
            <w:r/>
            <w:r>
              <w:rPr>
                <w:b w:val="0"/>
                <w:sz w:val="18"/>
              </w:rPr>
              <w:t>7.128</w:t>
            </w:r>
          </w:p>
        </w:tc>
      </w:tr>
      <w:tr>
        <w:tc>
          <w:tcPr>
            <w:tcW w:type="dxa" w:w="1224"/>
            <w:vAlign w:val="center"/>
          </w:tcPr>
          <w:p>
            <w:r/>
            <w:r>
              <w:rPr>
                <w:b w:val="0"/>
                <w:sz w:val="18"/>
              </w:rPr>
              <w:t>France</w:t>
            </w:r>
          </w:p>
        </w:tc>
        <w:tc>
          <w:tcPr>
            <w:tcW w:type="dxa" w:w="1224"/>
            <w:vAlign w:val="center"/>
          </w:tcPr>
          <w:p>
            <w:r/>
            <w:r>
              <w:rPr>
                <w:b w:val="0"/>
                <w:sz w:val="18"/>
              </w:rPr>
              <w:t>215</w:t>
            </w:r>
          </w:p>
        </w:tc>
        <w:tc>
          <w:tcPr>
            <w:tcW w:type="dxa" w:w="1224"/>
            <w:vAlign w:val="center"/>
          </w:tcPr>
          <w:p>
            <w:r/>
            <w:r>
              <w:rPr>
                <w:b w:val="0"/>
                <w:sz w:val="18"/>
              </w:rPr>
              <w:t>130</w:t>
            </w:r>
          </w:p>
        </w:tc>
        <w:tc>
          <w:tcPr>
            <w:tcW w:type="dxa" w:w="1224"/>
            <w:vAlign w:val="center"/>
          </w:tcPr>
          <w:p>
            <w:r/>
            <w:r>
              <w:rPr>
                <w:b w:val="0"/>
                <w:sz w:val="18"/>
              </w:rPr>
              <w:t>6</w:t>
            </w:r>
          </w:p>
        </w:tc>
        <w:tc>
          <w:tcPr>
            <w:tcW w:type="dxa" w:w="1224"/>
            <w:vAlign w:val="center"/>
          </w:tcPr>
          <w:p>
            <w:r/>
            <w:r>
              <w:rPr>
                <w:b w:val="0"/>
                <w:sz w:val="18"/>
              </w:rPr>
              <w:t>2</w:t>
            </w:r>
          </w:p>
        </w:tc>
        <w:tc>
          <w:tcPr>
            <w:tcW w:type="dxa" w:w="1224"/>
            <w:vAlign w:val="center"/>
          </w:tcPr>
          <w:p>
            <w:r/>
            <w:r>
              <w:rPr>
                <w:b w:val="0"/>
                <w:sz w:val="18"/>
              </w:rPr>
              <w:t>76</w:t>
            </w:r>
          </w:p>
        </w:tc>
        <w:tc>
          <w:tcPr>
            <w:tcW w:type="dxa" w:w="1224"/>
            <w:vAlign w:val="center"/>
          </w:tcPr>
          <w:p>
            <w:r/>
            <w:r>
              <w:rPr>
                <w:b w:val="0"/>
                <w:sz w:val="18"/>
              </w:rPr>
              <w:t>0.577</w:t>
            </w:r>
          </w:p>
        </w:tc>
        <w:tc>
          <w:tcPr>
            <w:tcW w:type="dxa" w:w="1224"/>
            <w:vAlign w:val="center"/>
          </w:tcPr>
          <w:p>
            <w:r/>
            <w:r>
              <w:rPr>
                <w:b w:val="0"/>
                <w:sz w:val="18"/>
              </w:rPr>
              <w:t>20.077</w:t>
            </w:r>
          </w:p>
        </w:tc>
      </w:tr>
      <w:tr>
        <w:tc>
          <w:tcPr>
            <w:tcW w:type="dxa" w:w="1224"/>
            <w:vAlign w:val="center"/>
          </w:tcPr>
          <w:p>
            <w:r/>
            <w:r>
              <w:rPr>
                <w:b w:val="0"/>
                <w:sz w:val="18"/>
              </w:rPr>
              <w:t>United Kingdom</w:t>
            </w:r>
          </w:p>
        </w:tc>
        <w:tc>
          <w:tcPr>
            <w:tcW w:type="dxa" w:w="1224"/>
            <w:vAlign w:val="center"/>
          </w:tcPr>
          <w:p>
            <w:r/>
            <w:r>
              <w:rPr>
                <w:b w:val="0"/>
                <w:sz w:val="18"/>
              </w:rPr>
              <w:t>372</w:t>
            </w:r>
          </w:p>
        </w:tc>
        <w:tc>
          <w:tcPr>
            <w:tcW w:type="dxa" w:w="1224"/>
            <w:vAlign w:val="center"/>
          </w:tcPr>
          <w:p>
            <w:r/>
            <w:r>
              <w:rPr>
                <w:b w:val="0"/>
                <w:sz w:val="18"/>
              </w:rPr>
              <w:t>233</w:t>
            </w:r>
          </w:p>
        </w:tc>
        <w:tc>
          <w:tcPr>
            <w:tcW w:type="dxa" w:w="1224"/>
            <w:vAlign w:val="center"/>
          </w:tcPr>
          <w:p>
            <w:r/>
            <w:r>
              <w:rPr>
                <w:b w:val="0"/>
                <w:sz w:val="18"/>
              </w:rPr>
              <w:t>19</w:t>
            </w:r>
          </w:p>
        </w:tc>
        <w:tc>
          <w:tcPr>
            <w:tcW w:type="dxa" w:w="1224"/>
            <w:vAlign w:val="center"/>
          </w:tcPr>
          <w:p>
            <w:r/>
            <w:r>
              <w:rPr>
                <w:b w:val="0"/>
                <w:sz w:val="18"/>
              </w:rPr>
              <w:t>25</w:t>
            </w:r>
          </w:p>
        </w:tc>
        <w:tc>
          <w:tcPr>
            <w:tcW w:type="dxa" w:w="1224"/>
            <w:vAlign w:val="center"/>
          </w:tcPr>
          <w:p>
            <w:r/>
            <w:r>
              <w:rPr>
                <w:b w:val="0"/>
                <w:sz w:val="18"/>
              </w:rPr>
              <w:t>87</w:t>
            </w:r>
          </w:p>
        </w:tc>
        <w:tc>
          <w:tcPr>
            <w:tcW w:type="dxa" w:w="1224"/>
            <w:vAlign w:val="center"/>
          </w:tcPr>
          <w:p>
            <w:r/>
            <w:r>
              <w:rPr>
                <w:b w:val="0"/>
                <w:sz w:val="18"/>
              </w:rPr>
              <w:t>0.575</w:t>
            </w:r>
          </w:p>
        </w:tc>
        <w:tc>
          <w:tcPr>
            <w:tcW w:type="dxa" w:w="1224"/>
            <w:vAlign w:val="center"/>
          </w:tcPr>
          <w:p>
            <w:r/>
            <w:r>
              <w:rPr>
                <w:b w:val="0"/>
                <w:sz w:val="18"/>
              </w:rPr>
              <w:t>11.974</w:t>
            </w:r>
          </w:p>
        </w:tc>
      </w:tr>
      <w:tr>
        <w:tc>
          <w:tcPr>
            <w:tcW w:type="dxa" w:w="1224"/>
            <w:vAlign w:val="center"/>
          </w:tcPr>
          <w:p>
            <w:r/>
            <w:r>
              <w:rPr>
                <w:b w:val="0"/>
                <w:sz w:val="18"/>
              </w:rPr>
              <w:t>Japan</w:t>
            </w:r>
          </w:p>
        </w:tc>
        <w:tc>
          <w:tcPr>
            <w:tcW w:type="dxa" w:w="1224"/>
            <w:vAlign w:val="center"/>
          </w:tcPr>
          <w:p>
            <w:r/>
            <w:r>
              <w:rPr>
                <w:b w:val="0"/>
                <w:sz w:val="18"/>
              </w:rPr>
              <w:t>176</w:t>
            </w:r>
          </w:p>
        </w:tc>
        <w:tc>
          <w:tcPr>
            <w:tcW w:type="dxa" w:w="1224"/>
            <w:vAlign w:val="center"/>
          </w:tcPr>
          <w:p>
            <w:r/>
            <w:r>
              <w:rPr>
                <w:b w:val="0"/>
                <w:sz w:val="18"/>
              </w:rPr>
              <w:t>96</w:t>
            </w:r>
          </w:p>
        </w:tc>
        <w:tc>
          <w:tcPr>
            <w:tcW w:type="dxa" w:w="1224"/>
            <w:vAlign w:val="center"/>
          </w:tcPr>
          <w:p>
            <w:r/>
            <w:r>
              <w:rPr>
                <w:b w:val="0"/>
                <w:sz w:val="18"/>
              </w:rPr>
              <w:t>35</w:t>
            </w:r>
          </w:p>
        </w:tc>
        <w:tc>
          <w:tcPr>
            <w:tcW w:type="dxa" w:w="1224"/>
            <w:vAlign w:val="center"/>
          </w:tcPr>
          <w:p>
            <w:r/>
            <w:r>
              <w:rPr>
                <w:b w:val="0"/>
                <w:sz w:val="18"/>
              </w:rPr>
              <w:t>22</w:t>
            </w:r>
          </w:p>
        </w:tc>
        <w:tc>
          <w:tcPr>
            <w:tcW w:type="dxa" w:w="1224"/>
            <w:vAlign w:val="center"/>
          </w:tcPr>
          <w:p>
            <w:r/>
            <w:r>
              <w:rPr>
                <w:b w:val="0"/>
                <w:sz w:val="18"/>
              </w:rPr>
              <w:t>23</w:t>
            </w:r>
          </w:p>
        </w:tc>
        <w:tc>
          <w:tcPr>
            <w:tcW w:type="dxa" w:w="1224"/>
            <w:vAlign w:val="center"/>
          </w:tcPr>
          <w:p>
            <w:r/>
            <w:r>
              <w:rPr>
                <w:b w:val="0"/>
                <w:sz w:val="18"/>
              </w:rPr>
              <w:t>0.347</w:t>
            </w:r>
          </w:p>
        </w:tc>
        <w:tc>
          <w:tcPr>
            <w:tcW w:type="dxa" w:w="1224"/>
            <w:vAlign w:val="center"/>
          </w:tcPr>
          <w:p>
            <w:r/>
            <w:r>
              <w:rPr>
                <w:b w:val="0"/>
                <w:sz w:val="18"/>
              </w:rPr>
              <w:t>2.718</w:t>
            </w:r>
          </w:p>
        </w:tc>
      </w:tr>
      <w:tr>
        <w:tc>
          <w:tcPr>
            <w:tcW w:type="dxa" w:w="1224"/>
            <w:vAlign w:val="center"/>
          </w:tcPr>
          <w:p>
            <w:r/>
            <w:r>
              <w:rPr>
                <w:b w:val="0"/>
                <w:sz w:val="18"/>
              </w:rPr>
              <w:t>European Union</w:t>
            </w:r>
          </w:p>
        </w:tc>
        <w:tc>
          <w:tcPr>
            <w:tcW w:type="dxa" w:w="1224"/>
            <w:vAlign w:val="center"/>
          </w:tcPr>
          <w:p>
            <w:r/>
            <w:r>
              <w:rPr>
                <w:b w:val="0"/>
                <w:sz w:val="18"/>
              </w:rPr>
              <w:t>1137</w:t>
            </w:r>
          </w:p>
        </w:tc>
        <w:tc>
          <w:tcPr>
            <w:tcW w:type="dxa" w:w="1224"/>
            <w:vAlign w:val="center"/>
          </w:tcPr>
          <w:p>
            <w:r/>
            <w:r>
              <w:rPr>
                <w:b w:val="0"/>
                <w:sz w:val="18"/>
              </w:rPr>
              <w:t>499</w:t>
            </w:r>
          </w:p>
        </w:tc>
        <w:tc>
          <w:tcPr>
            <w:tcW w:type="dxa" w:w="1224"/>
            <w:vAlign w:val="center"/>
          </w:tcPr>
          <w:p>
            <w:r/>
            <w:r>
              <w:rPr>
                <w:b w:val="0"/>
                <w:sz w:val="18"/>
              </w:rPr>
              <w:t>140</w:t>
            </w:r>
          </w:p>
        </w:tc>
        <w:tc>
          <w:tcPr>
            <w:tcW w:type="dxa" w:w="1224"/>
            <w:vAlign w:val="center"/>
          </w:tcPr>
          <w:p>
            <w:r/>
            <w:r>
              <w:rPr>
                <w:b w:val="0"/>
                <w:sz w:val="18"/>
              </w:rPr>
              <w:t>62</w:t>
            </w:r>
          </w:p>
        </w:tc>
        <w:tc>
          <w:tcPr>
            <w:tcW w:type="dxa" w:w="1224"/>
            <w:vAlign w:val="center"/>
          </w:tcPr>
          <w:p>
            <w:r/>
            <w:r>
              <w:rPr>
                <w:b w:val="0"/>
                <w:sz w:val="18"/>
              </w:rPr>
              <w:t>429</w:t>
            </w:r>
          </w:p>
        </w:tc>
        <w:tc>
          <w:tcPr>
            <w:tcW w:type="dxa" w:w="1224"/>
            <w:vAlign w:val="center"/>
          </w:tcPr>
          <w:p>
            <w:r/>
            <w:r>
              <w:rPr>
                <w:b w:val="0"/>
                <w:sz w:val="18"/>
              </w:rPr>
              <w:t>0.316</w:t>
            </w:r>
          </w:p>
        </w:tc>
        <w:tc>
          <w:tcPr>
            <w:tcW w:type="dxa" w:w="1224"/>
            <w:vAlign w:val="center"/>
          </w:tcPr>
          <w:p>
            <w:r/>
            <w:r>
              <w:rPr>
                <w:b w:val="0"/>
                <w:sz w:val="18"/>
              </w:rPr>
              <w:t>3.555</w:t>
            </w:r>
          </w:p>
        </w:tc>
      </w:tr>
      <w:tr>
        <w:tc>
          <w:tcPr>
            <w:tcW w:type="dxa" w:w="1224"/>
            <w:vAlign w:val="center"/>
          </w:tcPr>
          <w:p>
            <w:r/>
            <w:r>
              <w:rPr>
                <w:b w:val="0"/>
                <w:sz w:val="18"/>
              </w:rPr>
              <w:t>Italy</w:t>
            </w:r>
          </w:p>
        </w:tc>
        <w:tc>
          <w:tcPr>
            <w:tcW w:type="dxa" w:w="1224"/>
            <w:vAlign w:val="center"/>
          </w:tcPr>
          <w:p>
            <w:r/>
            <w:r>
              <w:rPr>
                <w:b w:val="0"/>
                <w:sz w:val="18"/>
              </w:rPr>
              <w:t>440</w:t>
            </w:r>
          </w:p>
        </w:tc>
        <w:tc>
          <w:tcPr>
            <w:tcW w:type="dxa" w:w="1224"/>
            <w:vAlign w:val="center"/>
          </w:tcPr>
          <w:p>
            <w:r/>
            <w:r>
              <w:rPr>
                <w:b w:val="0"/>
                <w:sz w:val="18"/>
              </w:rPr>
              <w:t>190</w:t>
            </w:r>
          </w:p>
        </w:tc>
        <w:tc>
          <w:tcPr>
            <w:tcW w:type="dxa" w:w="1224"/>
            <w:vAlign w:val="center"/>
          </w:tcPr>
          <w:p>
            <w:r/>
            <w:r>
              <w:rPr>
                <w:b w:val="0"/>
                <w:sz w:val="18"/>
              </w:rPr>
              <w:t>60</w:t>
            </w:r>
          </w:p>
        </w:tc>
        <w:tc>
          <w:tcPr>
            <w:tcW w:type="dxa" w:w="1224"/>
            <w:vAlign w:val="center"/>
          </w:tcPr>
          <w:p>
            <w:r/>
            <w:r>
              <w:rPr>
                <w:b w:val="0"/>
                <w:sz w:val="18"/>
              </w:rPr>
              <w:t>35</w:t>
            </w:r>
          </w:p>
        </w:tc>
        <w:tc>
          <w:tcPr>
            <w:tcW w:type="dxa" w:w="1224"/>
            <w:vAlign w:val="center"/>
          </w:tcPr>
          <w:p>
            <w:r/>
            <w:r>
              <w:rPr>
                <w:b w:val="0"/>
                <w:sz w:val="18"/>
              </w:rPr>
              <w:t>134</w:t>
            </w:r>
          </w:p>
        </w:tc>
        <w:tc>
          <w:tcPr>
            <w:tcW w:type="dxa" w:w="1224"/>
            <w:vAlign w:val="center"/>
          </w:tcPr>
          <w:p>
            <w:r/>
            <w:r>
              <w:rPr>
                <w:b w:val="0"/>
                <w:sz w:val="18"/>
              </w:rPr>
              <w:t>0.295</w:t>
            </w:r>
          </w:p>
        </w:tc>
        <w:tc>
          <w:tcPr>
            <w:tcW w:type="dxa" w:w="1224"/>
            <w:vAlign w:val="center"/>
          </w:tcPr>
          <w:p>
            <w:r/>
            <w:r>
              <w:rPr>
                <w:b w:val="0"/>
                <w:sz w:val="18"/>
              </w:rPr>
              <w:t>3.149</w:t>
            </w:r>
          </w:p>
        </w:tc>
      </w:tr>
      <w:tr>
        <w:tc>
          <w:tcPr>
            <w:tcW w:type="dxa" w:w="1224"/>
            <w:vAlign w:val="center"/>
          </w:tcPr>
          <w:p>
            <w:r/>
            <w:r>
              <w:rPr>
                <w:b w:val="0"/>
                <w:sz w:val="18"/>
              </w:rPr>
              <w:t>Germany</w:t>
            </w:r>
          </w:p>
        </w:tc>
        <w:tc>
          <w:tcPr>
            <w:tcW w:type="dxa" w:w="1224"/>
            <w:vAlign w:val="center"/>
          </w:tcPr>
          <w:p>
            <w:r/>
            <w:r>
              <w:rPr>
                <w:b w:val="0"/>
                <w:sz w:val="18"/>
              </w:rPr>
              <w:t>462</w:t>
            </w:r>
          </w:p>
        </w:tc>
        <w:tc>
          <w:tcPr>
            <w:tcW w:type="dxa" w:w="1224"/>
            <w:vAlign w:val="center"/>
          </w:tcPr>
          <w:p>
            <w:r/>
            <w:r>
              <w:rPr>
                <w:b w:val="0"/>
                <w:sz w:val="18"/>
              </w:rPr>
              <w:t>215</w:t>
            </w:r>
          </w:p>
        </w:tc>
        <w:tc>
          <w:tcPr>
            <w:tcW w:type="dxa" w:w="1224"/>
            <w:vAlign w:val="center"/>
          </w:tcPr>
          <w:p>
            <w:r/>
            <w:r>
              <w:rPr>
                <w:b w:val="0"/>
                <w:sz w:val="18"/>
              </w:rPr>
              <w:t>79</w:t>
            </w:r>
          </w:p>
        </w:tc>
        <w:tc>
          <w:tcPr>
            <w:tcW w:type="dxa" w:w="1224"/>
            <w:vAlign w:val="center"/>
          </w:tcPr>
          <w:p>
            <w:r/>
            <w:r>
              <w:rPr>
                <w:b w:val="0"/>
                <w:sz w:val="18"/>
              </w:rPr>
              <w:t>31</w:t>
            </w:r>
          </w:p>
        </w:tc>
        <w:tc>
          <w:tcPr>
            <w:tcW w:type="dxa" w:w="1224"/>
            <w:vAlign w:val="center"/>
          </w:tcPr>
          <w:p>
            <w:r/>
            <w:r>
              <w:rPr>
                <w:b w:val="0"/>
                <w:sz w:val="18"/>
              </w:rPr>
              <w:t>132</w:t>
            </w:r>
          </w:p>
        </w:tc>
        <w:tc>
          <w:tcPr>
            <w:tcW w:type="dxa" w:w="1224"/>
            <w:vAlign w:val="center"/>
          </w:tcPr>
          <w:p>
            <w:r/>
            <w:r>
              <w:rPr>
                <w:b w:val="0"/>
                <w:sz w:val="18"/>
              </w:rPr>
              <w:t>0.294</w:t>
            </w:r>
          </w:p>
        </w:tc>
        <w:tc>
          <w:tcPr>
            <w:tcW w:type="dxa" w:w="1224"/>
            <w:vAlign w:val="center"/>
          </w:tcPr>
          <w:p>
            <w:r/>
            <w:r>
              <w:rPr>
                <w:b w:val="0"/>
                <w:sz w:val="18"/>
              </w:rPr>
              <w:t>2.711</w:t>
            </w:r>
          </w:p>
        </w:tc>
      </w:tr>
      <w:tr>
        <w:tc>
          <w:tcPr>
            <w:tcW w:type="dxa" w:w="1224"/>
            <w:vAlign w:val="center"/>
          </w:tcPr>
          <w:p>
            <w:r/>
            <w:r>
              <w:rPr>
                <w:b w:val="0"/>
                <w:sz w:val="18"/>
              </w:rPr>
              <w:t>United States</w:t>
            </w:r>
          </w:p>
        </w:tc>
        <w:tc>
          <w:tcPr>
            <w:tcW w:type="dxa" w:w="1224"/>
            <w:vAlign w:val="center"/>
          </w:tcPr>
          <w:p>
            <w:r/>
            <w:r>
              <w:rPr>
                <w:b w:val="0"/>
                <w:sz w:val="18"/>
              </w:rPr>
              <w:t>381</w:t>
            </w:r>
          </w:p>
        </w:tc>
        <w:tc>
          <w:tcPr>
            <w:tcW w:type="dxa" w:w="1224"/>
            <w:vAlign w:val="center"/>
          </w:tcPr>
          <w:p>
            <w:r/>
            <w:r>
              <w:rPr>
                <w:b w:val="0"/>
                <w:sz w:val="18"/>
              </w:rPr>
              <w:t>167</w:t>
            </w:r>
          </w:p>
        </w:tc>
        <w:tc>
          <w:tcPr>
            <w:tcW w:type="dxa" w:w="1224"/>
            <w:vAlign w:val="center"/>
          </w:tcPr>
          <w:p>
            <w:r/>
            <w:r>
              <w:rPr>
                <w:b w:val="0"/>
                <w:sz w:val="18"/>
              </w:rPr>
              <w:t>101</w:t>
            </w:r>
          </w:p>
        </w:tc>
        <w:tc>
          <w:tcPr>
            <w:tcW w:type="dxa" w:w="1224"/>
            <w:vAlign w:val="center"/>
          </w:tcPr>
          <w:p>
            <w:r/>
            <w:r>
              <w:rPr>
                <w:b w:val="0"/>
                <w:sz w:val="18"/>
              </w:rPr>
              <w:t>22</w:t>
            </w:r>
          </w:p>
        </w:tc>
        <w:tc>
          <w:tcPr>
            <w:tcW w:type="dxa" w:w="1224"/>
            <w:vAlign w:val="center"/>
          </w:tcPr>
          <w:p>
            <w:r/>
            <w:r>
              <w:rPr>
                <w:b w:val="0"/>
                <w:sz w:val="18"/>
              </w:rPr>
              <w:t>88</w:t>
            </w:r>
          </w:p>
        </w:tc>
        <w:tc>
          <w:tcPr>
            <w:tcW w:type="dxa" w:w="1224"/>
            <w:vAlign w:val="center"/>
          </w:tcPr>
          <w:p>
            <w:r/>
            <w:r>
              <w:rPr>
                <w:b w:val="0"/>
                <w:sz w:val="18"/>
              </w:rPr>
              <w:t>0.173</w:t>
            </w:r>
          </w:p>
        </w:tc>
        <w:tc>
          <w:tcPr>
            <w:tcW w:type="dxa" w:w="1224"/>
            <w:vAlign w:val="center"/>
          </w:tcPr>
          <w:p>
            <w:r/>
            <w:r>
              <w:rPr>
                <w:b w:val="0"/>
                <w:sz w:val="18"/>
              </w:rPr>
              <w:t>1.650</w:t>
            </w:r>
          </w:p>
        </w:tc>
      </w:tr>
      <w:tr>
        <w:tc>
          <w:tcPr>
            <w:tcW w:type="dxa" w:w="1224"/>
            <w:vAlign w:val="center"/>
          </w:tcPr>
          <w:p>
            <w:r/>
            <w:r>
              <w:rPr>
                <w:b w:val="0"/>
                <w:sz w:val="18"/>
              </w:rPr>
              <w:t>Canada</w:t>
            </w:r>
          </w:p>
        </w:tc>
        <w:tc>
          <w:tcPr>
            <w:tcW w:type="dxa" w:w="1224"/>
            <w:vAlign w:val="center"/>
          </w:tcPr>
          <w:p>
            <w:r/>
            <w:r>
              <w:rPr>
                <w:b w:val="0"/>
                <w:sz w:val="18"/>
              </w:rPr>
              <w:t>306</w:t>
            </w:r>
          </w:p>
        </w:tc>
        <w:tc>
          <w:tcPr>
            <w:tcW w:type="dxa" w:w="1224"/>
            <w:vAlign w:val="center"/>
          </w:tcPr>
          <w:p>
            <w:r/>
            <w:r>
              <w:rPr>
                <w:b w:val="0"/>
                <w:sz w:val="18"/>
              </w:rPr>
              <w:t>105</w:t>
            </w:r>
          </w:p>
        </w:tc>
        <w:tc>
          <w:tcPr>
            <w:tcW w:type="dxa" w:w="1224"/>
            <w:vAlign w:val="center"/>
          </w:tcPr>
          <w:p>
            <w:r/>
            <w:r>
              <w:rPr>
                <w:b w:val="0"/>
                <w:sz w:val="18"/>
              </w:rPr>
              <w:t>78</w:t>
            </w:r>
          </w:p>
        </w:tc>
        <w:tc>
          <w:tcPr>
            <w:tcW w:type="dxa" w:w="1224"/>
            <w:vAlign w:val="center"/>
          </w:tcPr>
          <w:p>
            <w:r/>
            <w:r>
              <w:rPr>
                <w:b w:val="0"/>
                <w:sz w:val="18"/>
              </w:rPr>
              <w:t>27</w:t>
            </w:r>
          </w:p>
        </w:tc>
        <w:tc>
          <w:tcPr>
            <w:tcW w:type="dxa" w:w="1224"/>
            <w:vAlign w:val="center"/>
          </w:tcPr>
          <w:p>
            <w:r/>
            <w:r>
              <w:rPr>
                <w:b w:val="0"/>
                <w:sz w:val="18"/>
              </w:rPr>
              <w:t>96</w:t>
            </w:r>
          </w:p>
        </w:tc>
        <w:tc>
          <w:tcPr>
            <w:tcW w:type="dxa" w:w="1224"/>
            <w:vAlign w:val="center"/>
          </w:tcPr>
          <w:p>
            <w:r/>
            <w:r>
              <w:rPr>
                <w:b w:val="0"/>
                <w:sz w:val="18"/>
              </w:rPr>
              <w:t>0.088</w:t>
            </w:r>
          </w:p>
        </w:tc>
        <w:tc>
          <w:tcPr>
            <w:tcW w:type="dxa" w:w="1224"/>
            <w:vAlign w:val="center"/>
          </w:tcPr>
          <w:p>
            <w:r/>
            <w:r>
              <w:rPr>
                <w:b w:val="0"/>
                <w:sz w:val="18"/>
              </w:rPr>
              <w:t>1.344</w:t>
            </w:r>
          </w:p>
        </w:tc>
      </w:tr>
    </w:tbl>
    <w:p/>
    <w:p>
      <w:pPr>
        <w:pStyle w:val="Heading1"/>
      </w:pPr>
      <w:r>
        <w:rPr>
          <w:rFonts w:ascii="Times New Roman" w:hAnsi="Times New Roman" w:eastAsia="SimSun"/>
        </w:rPr>
        <w:t>10. Correlation Study</w:t>
      </w:r>
    </w:p>
    <w:p>
      <w:r>
        <w:rPr>
          <w:rFonts w:ascii="Times New Roman" w:hAnsi="Times New Roman" w:eastAsia="SimSun"/>
        </w:rPr>
        <w:t>The correlation study merges the corrected country-level framing summary with AI Vibrancy and IEF data. The analysis is exploratory because the merged country sample contains only eight observations. Therefore, the study emphasizes effect direction and correlation strength rather than treating p-values as confirmatory evidence.</w:t>
      </w:r>
    </w:p>
    <w:p>
      <w:pPr>
        <w:pStyle w:val="ListBullet"/>
      </w:pPr>
      <w:r>
        <w:rPr>
          <w:rFonts w:ascii="Times New Roman" w:hAnsi="Times New Roman" w:eastAsia="SimSun"/>
        </w:rPr>
        <w:t>H1: Countries with higher AI Vibrancy scores are expected to show higher Innovation Share.</w:t>
      </w:r>
    </w:p>
    <w:p>
      <w:pPr>
        <w:pStyle w:val="ListBullet"/>
      </w:pPr>
      <w:r>
        <w:rPr>
          <w:rFonts w:ascii="Times New Roman" w:hAnsi="Times New Roman" w:eastAsia="SimSun"/>
        </w:rPr>
        <w:t>H2: Countries with lower AI Vibrancy scores are expected to show higher Risk Share.</w:t>
      </w:r>
    </w:p>
    <w:p>
      <w:pPr>
        <w:pStyle w:val="ListBullet"/>
      </w:pPr>
      <w:r>
        <w:rPr>
          <w:rFonts w:ascii="Times New Roman" w:hAnsi="Times New Roman" w:eastAsia="SimSun"/>
        </w:rPr>
        <w:t>H3: Countries with higher IEF Overall Scores are expected to show higher Innovation Share.</w:t>
      </w:r>
    </w:p>
    <w:p>
      <w:pPr>
        <w:pStyle w:val="ListBullet"/>
      </w:pPr>
      <w:r>
        <w:rPr>
          <w:rFonts w:ascii="Times New Roman" w:hAnsi="Times New Roman" w:eastAsia="SimSun"/>
        </w:rPr>
        <w:t>H4: Countries with more risk-oriented discourse are expected to show lower IEF Overall Scores.</w:t>
      </w:r>
    </w:p>
    <w:p>
      <w:pPr>
        <w:pStyle w:val="ListBullet"/>
      </w:pPr>
      <w:r>
        <w:rPr>
          <w:rFonts w:ascii="Times New Roman" w:hAnsi="Times New Roman" w:eastAsia="SimSun"/>
        </w:rPr>
        <w:t>Robustness measures include Mean Framing Score and Log Innovation-to-Risk Ratio.</w:t>
      </w:r>
    </w:p>
    <w:p>
      <w:pPr>
        <w:pStyle w:val="ListBullet"/>
      </w:pPr>
      <w:r>
        <w:rPr>
          <w:rFonts w:ascii="Times New Roman" w:hAnsi="Times New Roman" w:eastAsia="SimSun"/>
        </w:rPr>
        <w:t>Models include Pearson and Spearman correlations, bivariate OLS regressions, a combined AI Vibrancy + IEF model for framing balance, and an exploratory mediation diagnostic.</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3168"/>
            <w:vAlign w:val="center"/>
            <w:shd w:fill="D9EAF7"/>
          </w:tcPr>
          <w:p>
            <w:r/>
            <w:r>
              <w:rPr>
                <w:b/>
                <w:sz w:val="18"/>
              </w:rPr>
              <w:t>Test</w:t>
            </w:r>
          </w:p>
        </w:tc>
        <w:tc>
          <w:tcPr>
            <w:tcW w:type="dxa" w:w="2016"/>
            <w:vAlign w:val="center"/>
            <w:shd w:fill="D9EAF7"/>
          </w:tcPr>
          <w:p>
            <w:r/>
            <w:r>
              <w:rPr>
                <w:b/>
                <w:sz w:val="18"/>
              </w:rPr>
              <w:t>X</w:t>
            </w:r>
          </w:p>
        </w:tc>
        <w:tc>
          <w:tcPr>
            <w:tcW w:type="dxa" w:w="2448"/>
            <w:vAlign w:val="center"/>
            <w:shd w:fill="D9EAF7"/>
          </w:tcPr>
          <w:p>
            <w:r/>
            <w:r>
              <w:rPr>
                <w:b/>
                <w:sz w:val="18"/>
              </w:rPr>
              <w:t>Y</w:t>
            </w:r>
          </w:p>
        </w:tc>
        <w:tc>
          <w:tcPr>
            <w:tcW w:type="dxa" w:w="1296"/>
            <w:vAlign w:val="center"/>
            <w:shd w:fill="D9EAF7"/>
          </w:tcPr>
          <w:p>
            <w:r/>
            <w:r>
              <w:rPr>
                <w:b/>
                <w:sz w:val="18"/>
              </w:rPr>
              <w:t>Expected</w:t>
            </w:r>
          </w:p>
        </w:tc>
        <w:tc>
          <w:tcPr>
            <w:tcW w:type="dxa" w:w="648"/>
            <w:vAlign w:val="center"/>
            <w:shd w:fill="D9EAF7"/>
          </w:tcPr>
          <w:p>
            <w:r/>
            <w:r>
              <w:rPr>
                <w:b/>
                <w:sz w:val="18"/>
              </w:rPr>
              <w:t>N</w:t>
            </w:r>
          </w:p>
        </w:tc>
        <w:tc>
          <w:tcPr>
            <w:tcW w:type="dxa" w:w="1008"/>
            <w:vAlign w:val="center"/>
            <w:shd w:fill="D9EAF7"/>
          </w:tcPr>
          <w:p>
            <w:r/>
            <w:r>
              <w:rPr>
                <w:b/>
                <w:sz w:val="18"/>
              </w:rPr>
              <w:t>Pearson r</w:t>
            </w:r>
          </w:p>
        </w:tc>
        <w:tc>
          <w:tcPr>
            <w:tcW w:type="dxa" w:w="1008"/>
            <w:vAlign w:val="center"/>
            <w:shd w:fill="D9EAF7"/>
          </w:tcPr>
          <w:p>
            <w:r/>
            <w:r>
              <w:rPr>
                <w:b/>
                <w:sz w:val="18"/>
              </w:rPr>
              <w:t>Pearson p</w:t>
            </w:r>
          </w:p>
        </w:tc>
        <w:tc>
          <w:tcPr>
            <w:tcW w:type="dxa" w:w="1296"/>
            <w:vAlign w:val="center"/>
            <w:shd w:fill="D9EAF7"/>
          </w:tcPr>
          <w:p>
            <w:r/>
            <w:r>
              <w:rPr>
                <w:b/>
                <w:sz w:val="18"/>
              </w:rPr>
              <w:t>Directional Support</w:t>
            </w:r>
          </w:p>
        </w:tc>
      </w:tr>
      <w:tr>
        <w:tc>
          <w:tcPr>
            <w:tcW w:type="dxa" w:w="3168"/>
            <w:vAlign w:val="center"/>
          </w:tcPr>
          <w:p>
            <w:r/>
            <w:r>
              <w:rPr>
                <w:b w:val="0"/>
                <w:sz w:val="18"/>
              </w:rPr>
              <w:t>H1: Vibrancy -&gt; innovation framing</w:t>
            </w:r>
          </w:p>
        </w:tc>
        <w:tc>
          <w:tcPr>
            <w:tcW w:type="dxa" w:w="2016"/>
            <w:vAlign w:val="center"/>
          </w:tcPr>
          <w:p>
            <w:r/>
            <w:r>
              <w:rPr>
                <w:b w:val="0"/>
                <w:sz w:val="18"/>
              </w:rPr>
              <w:t>AI Vibrancy Score</w:t>
            </w:r>
          </w:p>
        </w:tc>
        <w:tc>
          <w:tcPr>
            <w:tcW w:type="dxa" w:w="2448"/>
            <w:vAlign w:val="center"/>
          </w:tcPr>
          <w:p>
            <w:r/>
            <w:r>
              <w:rPr>
                <w:b w:val="0"/>
                <w:sz w:val="18"/>
              </w:rPr>
              <w:t>Innovation Share</w:t>
            </w:r>
          </w:p>
        </w:tc>
        <w:tc>
          <w:tcPr>
            <w:tcW w:type="dxa" w:w="1296"/>
            <w:vAlign w:val="center"/>
          </w:tcPr>
          <w:p>
            <w:r/>
            <w:r>
              <w:rPr>
                <w:b w:val="0"/>
                <w:sz w:val="18"/>
              </w:rPr>
              <w:t>positive</w:t>
            </w:r>
          </w:p>
        </w:tc>
        <w:tc>
          <w:tcPr>
            <w:tcW w:type="dxa" w:w="648"/>
            <w:vAlign w:val="center"/>
          </w:tcPr>
          <w:p>
            <w:r/>
            <w:r>
              <w:rPr>
                <w:b w:val="0"/>
                <w:sz w:val="18"/>
              </w:rPr>
              <w:t>8</w:t>
            </w:r>
          </w:p>
        </w:tc>
        <w:tc>
          <w:tcPr>
            <w:tcW w:type="dxa" w:w="1008"/>
            <w:vAlign w:val="center"/>
          </w:tcPr>
          <w:p>
            <w:r/>
            <w:r>
              <w:rPr>
                <w:b w:val="0"/>
                <w:sz w:val="18"/>
              </w:rPr>
              <w:t>-0.030</w:t>
            </w:r>
          </w:p>
        </w:tc>
        <w:tc>
          <w:tcPr>
            <w:tcW w:type="dxa" w:w="1008"/>
            <w:vAlign w:val="center"/>
          </w:tcPr>
          <w:p>
            <w:r/>
            <w:r>
              <w:rPr>
                <w:b w:val="0"/>
                <w:sz w:val="18"/>
              </w:rPr>
              <w:t>0.9429</w:t>
            </w:r>
          </w:p>
        </w:tc>
        <w:tc>
          <w:tcPr>
            <w:tcW w:type="dxa" w:w="1296"/>
            <w:vAlign w:val="center"/>
          </w:tcPr>
          <w:p>
            <w:r/>
            <w:r>
              <w:rPr>
                <w:b w:val="0"/>
                <w:sz w:val="18"/>
              </w:rPr>
              <w:t>False</w:t>
            </w:r>
          </w:p>
        </w:tc>
      </w:tr>
      <w:tr>
        <w:tc>
          <w:tcPr>
            <w:tcW w:type="dxa" w:w="3168"/>
            <w:vAlign w:val="center"/>
          </w:tcPr>
          <w:p>
            <w:r/>
            <w:r>
              <w:rPr>
                <w:b w:val="0"/>
                <w:sz w:val="18"/>
              </w:rPr>
              <w:t>H2: Lower vibrancy -&gt; risk framing</w:t>
            </w:r>
          </w:p>
        </w:tc>
        <w:tc>
          <w:tcPr>
            <w:tcW w:type="dxa" w:w="2016"/>
            <w:vAlign w:val="center"/>
          </w:tcPr>
          <w:p>
            <w:r/>
            <w:r>
              <w:rPr>
                <w:b w:val="0"/>
                <w:sz w:val="18"/>
              </w:rPr>
              <w:t>AI Vibrancy Score</w:t>
            </w:r>
          </w:p>
        </w:tc>
        <w:tc>
          <w:tcPr>
            <w:tcW w:type="dxa" w:w="2448"/>
            <w:vAlign w:val="center"/>
          </w:tcPr>
          <w:p>
            <w:r/>
            <w:r>
              <w:rPr>
                <w:b w:val="0"/>
                <w:sz w:val="18"/>
              </w:rPr>
              <w:t>Risk Share</w:t>
            </w:r>
          </w:p>
        </w:tc>
        <w:tc>
          <w:tcPr>
            <w:tcW w:type="dxa" w:w="1296"/>
            <w:vAlign w:val="center"/>
          </w:tcPr>
          <w:p>
            <w:r/>
            <w:r>
              <w:rPr>
                <w:b w:val="0"/>
                <w:sz w:val="18"/>
              </w:rPr>
              <w:t>negative</w:t>
            </w:r>
          </w:p>
        </w:tc>
        <w:tc>
          <w:tcPr>
            <w:tcW w:type="dxa" w:w="648"/>
            <w:vAlign w:val="center"/>
          </w:tcPr>
          <w:p>
            <w:r/>
            <w:r>
              <w:rPr>
                <w:b w:val="0"/>
                <w:sz w:val="18"/>
              </w:rPr>
              <w:t>8</w:t>
            </w:r>
          </w:p>
        </w:tc>
        <w:tc>
          <w:tcPr>
            <w:tcW w:type="dxa" w:w="1008"/>
            <w:vAlign w:val="center"/>
          </w:tcPr>
          <w:p>
            <w:r/>
            <w:r>
              <w:rPr>
                <w:b w:val="0"/>
                <w:sz w:val="18"/>
              </w:rPr>
              <w:t>0.407</w:t>
            </w:r>
          </w:p>
        </w:tc>
        <w:tc>
          <w:tcPr>
            <w:tcW w:type="dxa" w:w="1008"/>
            <w:vAlign w:val="center"/>
          </w:tcPr>
          <w:p>
            <w:r/>
            <w:r>
              <w:rPr>
                <w:b w:val="0"/>
                <w:sz w:val="18"/>
              </w:rPr>
              <w:t>0.3172</w:t>
            </w:r>
          </w:p>
        </w:tc>
        <w:tc>
          <w:tcPr>
            <w:tcW w:type="dxa" w:w="1296"/>
            <w:vAlign w:val="center"/>
          </w:tcPr>
          <w:p>
            <w:r/>
            <w:r>
              <w:rPr>
                <w:b w:val="0"/>
                <w:sz w:val="18"/>
              </w:rPr>
              <w:t>False</w:t>
            </w:r>
          </w:p>
        </w:tc>
      </w:tr>
      <w:tr>
        <w:tc>
          <w:tcPr>
            <w:tcW w:type="dxa" w:w="3168"/>
            <w:vAlign w:val="center"/>
          </w:tcPr>
          <w:p>
            <w:r/>
            <w:r>
              <w:rPr>
                <w:b w:val="0"/>
                <w:sz w:val="18"/>
              </w:rPr>
              <w:t>H3: IEF -&gt; innovation framing</w:t>
            </w:r>
          </w:p>
        </w:tc>
        <w:tc>
          <w:tcPr>
            <w:tcW w:type="dxa" w:w="2016"/>
            <w:vAlign w:val="center"/>
          </w:tcPr>
          <w:p>
            <w:r/>
            <w:r>
              <w:rPr>
                <w:b w:val="0"/>
                <w:sz w:val="18"/>
              </w:rPr>
              <w:t>IEF Overall Score</w:t>
            </w:r>
          </w:p>
        </w:tc>
        <w:tc>
          <w:tcPr>
            <w:tcW w:type="dxa" w:w="2448"/>
            <w:vAlign w:val="center"/>
          </w:tcPr>
          <w:p>
            <w:r/>
            <w:r>
              <w:rPr>
                <w:b w:val="0"/>
                <w:sz w:val="18"/>
              </w:rPr>
              <w:t>Innovation Share</w:t>
            </w:r>
          </w:p>
        </w:tc>
        <w:tc>
          <w:tcPr>
            <w:tcW w:type="dxa" w:w="1296"/>
            <w:vAlign w:val="center"/>
          </w:tcPr>
          <w:p>
            <w:r/>
            <w:r>
              <w:rPr>
                <w:b w:val="0"/>
                <w:sz w:val="18"/>
              </w:rPr>
              <w:t>positive</w:t>
            </w:r>
          </w:p>
        </w:tc>
        <w:tc>
          <w:tcPr>
            <w:tcW w:type="dxa" w:w="648"/>
            <w:vAlign w:val="center"/>
          </w:tcPr>
          <w:p>
            <w:r/>
            <w:r>
              <w:rPr>
                <w:b w:val="0"/>
                <w:sz w:val="18"/>
              </w:rPr>
              <w:t>8</w:t>
            </w:r>
          </w:p>
        </w:tc>
        <w:tc>
          <w:tcPr>
            <w:tcW w:type="dxa" w:w="1008"/>
            <w:vAlign w:val="center"/>
          </w:tcPr>
          <w:p>
            <w:r/>
            <w:r>
              <w:rPr>
                <w:b w:val="0"/>
                <w:sz w:val="18"/>
              </w:rPr>
              <w:t>-0.689</w:t>
            </w:r>
          </w:p>
        </w:tc>
        <w:tc>
          <w:tcPr>
            <w:tcW w:type="dxa" w:w="1008"/>
            <w:vAlign w:val="center"/>
          </w:tcPr>
          <w:p>
            <w:r/>
            <w:r>
              <w:rPr>
                <w:b w:val="0"/>
                <w:sz w:val="18"/>
              </w:rPr>
              <w:t>0.0589</w:t>
            </w:r>
          </w:p>
        </w:tc>
        <w:tc>
          <w:tcPr>
            <w:tcW w:type="dxa" w:w="1296"/>
            <w:vAlign w:val="center"/>
          </w:tcPr>
          <w:p>
            <w:r/>
            <w:r>
              <w:rPr>
                <w:b w:val="0"/>
                <w:sz w:val="18"/>
              </w:rPr>
              <w:t>False</w:t>
            </w:r>
          </w:p>
        </w:tc>
      </w:tr>
      <w:tr>
        <w:tc>
          <w:tcPr>
            <w:tcW w:type="dxa" w:w="3168"/>
            <w:vAlign w:val="center"/>
          </w:tcPr>
          <w:p>
            <w:r/>
            <w:r>
              <w:rPr>
                <w:b w:val="0"/>
                <w:sz w:val="18"/>
              </w:rPr>
              <w:t>H4: Risk framing -&gt; lower IEF</w:t>
            </w:r>
          </w:p>
        </w:tc>
        <w:tc>
          <w:tcPr>
            <w:tcW w:type="dxa" w:w="2016"/>
            <w:vAlign w:val="center"/>
          </w:tcPr>
          <w:p>
            <w:r/>
            <w:r>
              <w:rPr>
                <w:b w:val="0"/>
                <w:sz w:val="18"/>
              </w:rPr>
              <w:t>Risk Share</w:t>
            </w:r>
          </w:p>
        </w:tc>
        <w:tc>
          <w:tcPr>
            <w:tcW w:type="dxa" w:w="2448"/>
            <w:vAlign w:val="center"/>
          </w:tcPr>
          <w:p>
            <w:r/>
            <w:r>
              <w:rPr>
                <w:b w:val="0"/>
                <w:sz w:val="18"/>
              </w:rPr>
              <w:t>IEF Overall Score</w:t>
            </w:r>
          </w:p>
        </w:tc>
        <w:tc>
          <w:tcPr>
            <w:tcW w:type="dxa" w:w="1296"/>
            <w:vAlign w:val="center"/>
          </w:tcPr>
          <w:p>
            <w:r/>
            <w:r>
              <w:rPr>
                <w:b w:val="0"/>
                <w:sz w:val="18"/>
              </w:rPr>
              <w:t>negative</w:t>
            </w:r>
          </w:p>
        </w:tc>
        <w:tc>
          <w:tcPr>
            <w:tcW w:type="dxa" w:w="648"/>
            <w:vAlign w:val="center"/>
          </w:tcPr>
          <w:p>
            <w:r/>
            <w:r>
              <w:rPr>
                <w:b w:val="0"/>
                <w:sz w:val="18"/>
              </w:rPr>
              <w:t>8</w:t>
            </w:r>
          </w:p>
        </w:tc>
        <w:tc>
          <w:tcPr>
            <w:tcW w:type="dxa" w:w="1008"/>
            <w:vAlign w:val="center"/>
          </w:tcPr>
          <w:p>
            <w:r/>
            <w:r>
              <w:rPr>
                <w:b w:val="0"/>
                <w:sz w:val="18"/>
              </w:rPr>
              <w:t>0.534</w:t>
            </w:r>
          </w:p>
        </w:tc>
        <w:tc>
          <w:tcPr>
            <w:tcW w:type="dxa" w:w="1008"/>
            <w:vAlign w:val="center"/>
          </w:tcPr>
          <w:p>
            <w:r/>
            <w:r>
              <w:rPr>
                <w:b w:val="0"/>
                <w:sz w:val="18"/>
              </w:rPr>
              <w:t>0.1728</w:t>
            </w:r>
          </w:p>
        </w:tc>
        <w:tc>
          <w:tcPr>
            <w:tcW w:type="dxa" w:w="1296"/>
            <w:vAlign w:val="center"/>
          </w:tcPr>
          <w:p>
            <w:r/>
            <w:r>
              <w:rPr>
                <w:b w:val="0"/>
                <w:sz w:val="18"/>
              </w:rPr>
              <w:t>False</w:t>
            </w:r>
          </w:p>
        </w:tc>
      </w:tr>
      <w:tr>
        <w:tc>
          <w:tcPr>
            <w:tcW w:type="dxa" w:w="3168"/>
            <w:vAlign w:val="center"/>
          </w:tcPr>
          <w:p>
            <w:r/>
            <w:r>
              <w:rPr>
                <w:b w:val="0"/>
                <w:sz w:val="18"/>
              </w:rPr>
              <w:t>Ratio robustness: Vibrancy -&gt; innovation/risk balance</w:t>
            </w:r>
          </w:p>
        </w:tc>
        <w:tc>
          <w:tcPr>
            <w:tcW w:type="dxa" w:w="2016"/>
            <w:vAlign w:val="center"/>
          </w:tcPr>
          <w:p>
            <w:r/>
            <w:r>
              <w:rPr>
                <w:b w:val="0"/>
                <w:sz w:val="18"/>
              </w:rPr>
              <w:t>AI Vibrancy Score</w:t>
            </w:r>
          </w:p>
        </w:tc>
        <w:tc>
          <w:tcPr>
            <w:tcW w:type="dxa" w:w="2448"/>
            <w:vAlign w:val="center"/>
          </w:tcPr>
          <w:p>
            <w:r/>
            <w:r>
              <w:rPr>
                <w:b w:val="0"/>
                <w:sz w:val="18"/>
              </w:rPr>
              <w:t>Log Innovation to Risk Ratio</w:t>
            </w:r>
          </w:p>
        </w:tc>
        <w:tc>
          <w:tcPr>
            <w:tcW w:type="dxa" w:w="1296"/>
            <w:vAlign w:val="center"/>
          </w:tcPr>
          <w:p>
            <w:r/>
            <w:r>
              <w:rPr>
                <w:b w:val="0"/>
                <w:sz w:val="18"/>
              </w:rPr>
              <w:t>positive</w:t>
            </w:r>
          </w:p>
        </w:tc>
        <w:tc>
          <w:tcPr>
            <w:tcW w:type="dxa" w:w="648"/>
            <w:vAlign w:val="center"/>
          </w:tcPr>
          <w:p>
            <w:r/>
            <w:r>
              <w:rPr>
                <w:b w:val="0"/>
                <w:sz w:val="18"/>
              </w:rPr>
              <w:t>8</w:t>
            </w:r>
          </w:p>
        </w:tc>
        <w:tc>
          <w:tcPr>
            <w:tcW w:type="dxa" w:w="1008"/>
            <w:vAlign w:val="center"/>
          </w:tcPr>
          <w:p>
            <w:r/>
            <w:r>
              <w:rPr>
                <w:b w:val="0"/>
                <w:sz w:val="18"/>
              </w:rPr>
              <w:t>-0.264</w:t>
            </w:r>
          </w:p>
        </w:tc>
        <w:tc>
          <w:tcPr>
            <w:tcW w:type="dxa" w:w="1008"/>
            <w:vAlign w:val="center"/>
          </w:tcPr>
          <w:p>
            <w:r/>
            <w:r>
              <w:rPr>
                <w:b w:val="0"/>
                <w:sz w:val="18"/>
              </w:rPr>
              <w:t>0.5280</w:t>
            </w:r>
          </w:p>
        </w:tc>
        <w:tc>
          <w:tcPr>
            <w:tcW w:type="dxa" w:w="1296"/>
            <w:vAlign w:val="center"/>
          </w:tcPr>
          <w:p>
            <w:r/>
            <w:r>
              <w:rPr>
                <w:b w:val="0"/>
                <w:sz w:val="18"/>
              </w:rPr>
              <w:t>False</w:t>
            </w:r>
          </w:p>
        </w:tc>
      </w:tr>
      <w:tr>
        <w:tc>
          <w:tcPr>
            <w:tcW w:type="dxa" w:w="3168"/>
            <w:vAlign w:val="center"/>
          </w:tcPr>
          <w:p>
            <w:r/>
            <w:r>
              <w:rPr>
                <w:b w:val="0"/>
                <w:sz w:val="18"/>
              </w:rPr>
              <w:t>Ratio robustness: IEF -&gt; innovation/risk balance</w:t>
            </w:r>
          </w:p>
        </w:tc>
        <w:tc>
          <w:tcPr>
            <w:tcW w:type="dxa" w:w="2016"/>
            <w:vAlign w:val="center"/>
          </w:tcPr>
          <w:p>
            <w:r/>
            <w:r>
              <w:rPr>
                <w:b w:val="0"/>
                <w:sz w:val="18"/>
              </w:rPr>
              <w:t>IEF Overall Score</w:t>
            </w:r>
          </w:p>
        </w:tc>
        <w:tc>
          <w:tcPr>
            <w:tcW w:type="dxa" w:w="2448"/>
            <w:vAlign w:val="center"/>
          </w:tcPr>
          <w:p>
            <w:r/>
            <w:r>
              <w:rPr>
                <w:b w:val="0"/>
                <w:sz w:val="18"/>
              </w:rPr>
              <w:t>Log Innovation to Risk Ratio</w:t>
            </w:r>
          </w:p>
        </w:tc>
        <w:tc>
          <w:tcPr>
            <w:tcW w:type="dxa" w:w="1296"/>
            <w:vAlign w:val="center"/>
          </w:tcPr>
          <w:p>
            <w:r/>
            <w:r>
              <w:rPr>
                <w:b w:val="0"/>
                <w:sz w:val="18"/>
              </w:rPr>
              <w:t>positive</w:t>
            </w:r>
          </w:p>
        </w:tc>
        <w:tc>
          <w:tcPr>
            <w:tcW w:type="dxa" w:w="648"/>
            <w:vAlign w:val="center"/>
          </w:tcPr>
          <w:p>
            <w:r/>
            <w:r>
              <w:rPr>
                <w:b w:val="0"/>
                <w:sz w:val="18"/>
              </w:rPr>
              <w:t>8</w:t>
            </w:r>
          </w:p>
        </w:tc>
        <w:tc>
          <w:tcPr>
            <w:tcW w:type="dxa" w:w="1008"/>
            <w:vAlign w:val="center"/>
          </w:tcPr>
          <w:p>
            <w:r/>
            <w:r>
              <w:rPr>
                <w:b w:val="0"/>
                <w:sz w:val="18"/>
              </w:rPr>
              <w:t>-0.478</w:t>
            </w:r>
          </w:p>
        </w:tc>
        <w:tc>
          <w:tcPr>
            <w:tcW w:type="dxa" w:w="1008"/>
            <w:vAlign w:val="center"/>
          </w:tcPr>
          <w:p>
            <w:r/>
            <w:r>
              <w:rPr>
                <w:b w:val="0"/>
                <w:sz w:val="18"/>
              </w:rPr>
              <w:t>0.2312</w:t>
            </w:r>
          </w:p>
        </w:tc>
        <w:tc>
          <w:tcPr>
            <w:tcW w:type="dxa" w:w="1296"/>
            <w:vAlign w:val="center"/>
          </w:tcPr>
          <w:p>
            <w:r/>
            <w:r>
              <w:rPr>
                <w:b w:val="0"/>
                <w:sz w:val="18"/>
              </w:rPr>
              <w:t>False</w:t>
            </w:r>
          </w:p>
        </w:tc>
      </w:tr>
      <w:tr>
        <w:tc>
          <w:tcPr>
            <w:tcW w:type="dxa" w:w="3168"/>
            <w:vAlign w:val="center"/>
          </w:tcPr>
          <w:p>
            <w:r/>
            <w:r>
              <w:rPr>
                <w:b w:val="0"/>
                <w:sz w:val="18"/>
              </w:rPr>
              <w:t>Background association: Vibrancy and IEF</w:t>
            </w:r>
          </w:p>
        </w:tc>
        <w:tc>
          <w:tcPr>
            <w:tcW w:type="dxa" w:w="2016"/>
            <w:vAlign w:val="center"/>
          </w:tcPr>
          <w:p>
            <w:r/>
            <w:r>
              <w:rPr>
                <w:b w:val="0"/>
                <w:sz w:val="18"/>
              </w:rPr>
              <w:t>AI Vibrancy Score</w:t>
            </w:r>
          </w:p>
        </w:tc>
        <w:tc>
          <w:tcPr>
            <w:tcW w:type="dxa" w:w="2448"/>
            <w:vAlign w:val="center"/>
          </w:tcPr>
          <w:p>
            <w:r/>
            <w:r>
              <w:rPr>
                <w:b w:val="0"/>
                <w:sz w:val="18"/>
              </w:rPr>
              <w:t>IEF Overall Score</w:t>
            </w:r>
          </w:p>
        </w:tc>
        <w:tc>
          <w:tcPr>
            <w:tcW w:type="dxa" w:w="1296"/>
            <w:vAlign w:val="center"/>
          </w:tcPr>
          <w:p>
            <w:r/>
            <w:r>
              <w:rPr>
                <w:b w:val="0"/>
                <w:sz w:val="18"/>
              </w:rPr>
              <w:t>positive</w:t>
            </w:r>
          </w:p>
        </w:tc>
        <w:tc>
          <w:tcPr>
            <w:tcW w:type="dxa" w:w="648"/>
            <w:vAlign w:val="center"/>
          </w:tcPr>
          <w:p>
            <w:r/>
            <w:r>
              <w:rPr>
                <w:b w:val="0"/>
                <w:sz w:val="18"/>
              </w:rPr>
              <w:t>8</w:t>
            </w:r>
          </w:p>
        </w:tc>
        <w:tc>
          <w:tcPr>
            <w:tcW w:type="dxa" w:w="1008"/>
            <w:vAlign w:val="center"/>
          </w:tcPr>
          <w:p>
            <w:r/>
            <w:r>
              <w:rPr>
                <w:b w:val="0"/>
                <w:sz w:val="18"/>
              </w:rPr>
              <w:t>-0.001</w:t>
            </w:r>
          </w:p>
        </w:tc>
        <w:tc>
          <w:tcPr>
            <w:tcW w:type="dxa" w:w="1008"/>
            <w:vAlign w:val="center"/>
          </w:tcPr>
          <w:p>
            <w:r/>
            <w:r>
              <w:rPr>
                <w:b w:val="0"/>
                <w:sz w:val="18"/>
              </w:rPr>
              <w:t>0.9973</w:t>
            </w:r>
          </w:p>
        </w:tc>
        <w:tc>
          <w:tcPr>
            <w:tcW w:type="dxa" w:w="1296"/>
            <w:vAlign w:val="center"/>
          </w:tcPr>
          <w:p>
            <w:r/>
            <w:r>
              <w:rPr>
                <w:b w:val="0"/>
                <w:sz w:val="18"/>
              </w:rPr>
              <w:t>False</w:t>
            </w:r>
          </w:p>
        </w:tc>
      </w:tr>
    </w:tbl>
    <w:p/>
    <w:p>
      <w:pPr>
        <w:pStyle w:val="Heading1"/>
      </w:pPr>
      <w:r>
        <w:rPr>
          <w:rFonts w:ascii="Times New Roman" w:hAnsi="Times New Roman" w:eastAsia="SimSun"/>
        </w:rPr>
        <w:t>11. Limitations and Interpretation</w:t>
      </w:r>
    </w:p>
    <w:p>
      <w:pPr>
        <w:pStyle w:val="ListBullet"/>
      </w:pPr>
      <w:r>
        <w:rPr>
          <w:rFonts w:ascii="Times New Roman" w:hAnsi="Times New Roman" w:eastAsia="SimSun"/>
        </w:rPr>
        <w:t>The correlation analysis is based on eight countries, so findings should be interpreted as exploratory patterns rather than causal estimates.</w:t>
      </w:r>
    </w:p>
    <w:p>
      <w:pPr>
        <w:pStyle w:val="ListBullet"/>
      </w:pPr>
      <w:r>
        <w:rPr>
          <w:rFonts w:ascii="Times New Roman" w:hAnsi="Times New Roman" w:eastAsia="SimSun"/>
        </w:rPr>
        <w:t>Policy documents differ in length, scope, publication year, and institutional purpose; sentence shares and normalized ratios are used to reduce but not eliminate comparability issues.</w:t>
      </w:r>
    </w:p>
    <w:p>
      <w:pPr>
        <w:pStyle w:val="ListBullet"/>
      </w:pPr>
      <w:r>
        <w:rPr>
          <w:rFonts w:ascii="Times New Roman" w:hAnsi="Times New Roman" w:eastAsia="SimSun"/>
        </w:rPr>
        <w:t>LLM labels are calibrated with human annotations, but the human gold set remains small. The current no-unsure substantive gold set contains 16 evaluation sentences.</w:t>
      </w:r>
    </w:p>
    <w:p>
      <w:pPr>
        <w:pStyle w:val="ListBullet"/>
      </w:pPr>
      <w:r>
        <w:rPr>
          <w:rFonts w:ascii="Times New Roman" w:hAnsi="Times New Roman" w:eastAsia="SimSun"/>
        </w:rPr>
        <w:t>Translation and OCR quality may affect sentence segmentation and model labeling, especially for non-English source material.</w:t>
      </w:r>
    </w:p>
    <w:p>
      <w:pPr>
        <w:pStyle w:val="ListBullet"/>
      </w:pPr>
      <w:r>
        <w:rPr>
          <w:rFonts w:ascii="Times New Roman" w:hAnsi="Times New Roman" w:eastAsia="SimSun"/>
        </w:rPr>
        <w:t>The European Union is included in descriptive text analysis but excluded from the country-level correlation sample to maintain comparability with AI Vibrancy and IEF country scores.</w:t>
      </w:r>
    </w:p>
    <w:p>
      <w:pPr>
        <w:pStyle w:val="Heading1"/>
      </w:pPr>
      <w:r>
        <w:rPr>
          <w:rFonts w:ascii="Times New Roman" w:hAnsi="Times New Roman" w:eastAsia="SimSun"/>
        </w:rPr>
        <w:t>12. Reproducibility Outputs</w:t>
      </w:r>
    </w:p>
    <w:p>
      <w:pPr>
        <w:pStyle w:val="ListBullet"/>
      </w:pPr>
      <w:r>
        <w:rPr>
          <w:rFonts w:ascii="Times New Roman" w:hAnsi="Times New Roman" w:eastAsia="SimSun"/>
        </w:rPr>
        <w:t>Raw sentence labels: outputs/deepseek_ai_framing_sentence_labels_raw_daria_stephen_no_unsure_full.csv.</w:t>
      </w:r>
    </w:p>
    <w:p>
      <w:pPr>
        <w:pStyle w:val="ListBullet"/>
      </w:pPr>
      <w:r>
        <w:rPr>
          <w:rFonts w:ascii="Times New Roman" w:hAnsi="Times New Roman" w:eastAsia="SimSun"/>
        </w:rPr>
        <w:t>Corrected sentence labels: outputs/deepseek_ai_framing_sentence_labels_corrected_daria_stephen_no_unsure_full.csv.</w:t>
      </w:r>
    </w:p>
    <w:p>
      <w:pPr>
        <w:pStyle w:val="ListBullet"/>
      </w:pPr>
      <w:r>
        <w:rPr>
          <w:rFonts w:ascii="Times New Roman" w:hAnsi="Times New Roman" w:eastAsia="SimSun"/>
        </w:rPr>
        <w:t>Corrected country summary: outputs/deepseek_ai_framing_summary_corrected_daria_stephen_no_unsure_full.csv.</w:t>
      </w:r>
    </w:p>
    <w:p>
      <w:pPr>
        <w:pStyle w:val="ListBullet"/>
      </w:pPr>
      <w:r>
        <w:rPr>
          <w:rFonts w:ascii="Times New Roman" w:hAnsi="Times New Roman" w:eastAsia="SimSun"/>
        </w:rPr>
        <w:t>Gold metrics: outputs/deepseek_ai_framing_gold_metrics_daria_stephen_no_unsure_full.csv.</w:t>
      </w:r>
    </w:p>
    <w:p>
      <w:pPr>
        <w:pStyle w:val="ListBullet"/>
      </w:pPr>
      <w:r>
        <w:rPr>
          <w:rFonts w:ascii="Times New Roman" w:hAnsi="Times New Roman" w:eastAsia="SimSun"/>
        </w:rPr>
        <w:t>Correlation dataset: outputs/correlation_study_dataset_deepseek_corrected_daria_stephen_no_unsure_full.csv.</w:t>
      </w:r>
    </w:p>
    <w:p>
      <w:pPr>
        <w:pStyle w:val="ListBullet"/>
      </w:pPr>
      <w:r>
        <w:rPr>
          <w:rFonts w:ascii="Times New Roman" w:hAnsi="Times New Roman" w:eastAsia="SimSun"/>
        </w:rPr>
        <w:t>Correlation results: outputs/correlation_study_correlations_deepseek_corrected_daria_stephen_no_unsure_full.csv.</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