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6"/>
        </w:rPr>
        <w:t>Methodology</w:t>
      </w:r>
    </w:p>
    <w:p>
      <w:pPr>
        <w:jc w:val="center"/>
      </w:pPr>
      <w:r>
        <w:rPr>
          <w:rFonts w:ascii="Times New Roman" w:hAnsi="Times New Roman" w:eastAsia="SimSun"/>
          <w:sz w:val="24"/>
        </w:rPr>
        <w:t>AI Vibrancy, Economic Freedom, and Human-Calibrated AI Policy Framing</w:t>
      </w:r>
    </w:p>
    <w:p/>
    <w:p>
      <w:pPr>
        <w:pStyle w:val="Heading1"/>
      </w:pPr>
      <w:r>
        <w:rPr>
          <w:rFonts w:ascii="Times New Roman" w:hAnsi="Times New Roman" w:eastAsia="SimSun"/>
        </w:rPr>
        <w:t>1. Research Design</w:t>
      </w:r>
    </w:p>
    <w:p>
      <w:r>
        <w:rPr>
          <w:rFonts w:ascii="Times New Roman" w:hAnsi="Times New Roman" w:eastAsia="SimSun"/>
        </w:rPr>
        <w:t>This study uses a mixed quantitative text-analysis design to examine whether AI ecosystem strength and economic freedom are associated with how governments frame artificial intelligence in national AI policy discourse. The analysis combines country-level quantitative indicators with sentence-level regulatory framing measures derived from national AI strategy and AI policy documents.</w:t>
      </w:r>
    </w:p>
    <w:p>
      <w:pPr>
        <w:pStyle w:val="ListBullet"/>
      </w:pPr>
      <w:r>
        <w:rPr>
          <w:rFonts w:ascii="Times New Roman" w:hAnsi="Times New Roman" w:eastAsia="SimSun"/>
        </w:rPr>
        <w:t>Core correlation sample: G7 countries plus China, N = 8.</w:t>
      </w:r>
    </w:p>
    <w:p>
      <w:pPr>
        <w:pStyle w:val="ListBullet"/>
      </w:pPr>
      <w:r>
        <w:rPr>
          <w:rFonts w:ascii="Times New Roman" w:hAnsi="Times New Roman" w:eastAsia="SimSun"/>
        </w:rPr>
        <w:t>Descriptive text-framing sample: G7 countries, China, and the European Union. The European Union is included as a regulatory benchmark but excluded from correlations because the predictor variables are country-level measures.</w:t>
      </w:r>
    </w:p>
    <w:p>
      <w:pPr>
        <w:pStyle w:val="ListBullet"/>
      </w:pPr>
      <w:r>
        <w:rPr>
          <w:rFonts w:ascii="Times New Roman" w:hAnsi="Times New Roman" w:eastAsia="SimSun"/>
        </w:rPr>
        <w:t>Unit of text analysis: sentence.</w:t>
      </w:r>
    </w:p>
    <w:p>
      <w:pPr>
        <w:pStyle w:val="ListBullet"/>
      </w:pPr>
      <w:r>
        <w:rPr>
          <w:rFonts w:ascii="Times New Roman" w:hAnsi="Times New Roman" w:eastAsia="SimSun"/>
        </w:rPr>
        <w:t>Main framing source: corrected DeepSeek labels calibrated with Daria + Stephen human agreement labels.</w:t>
      </w:r>
    </w:p>
    <w:p>
      <w:pPr>
        <w:pStyle w:val="Heading1"/>
      </w:pPr>
      <w:r>
        <w:rPr>
          <w:rFonts w:ascii="Times New Roman" w:hAnsi="Times New Roman" w:eastAsia="SimSun"/>
        </w:rPr>
        <w:t>2. AI Vibrancy</w:t>
      </w:r>
    </w:p>
    <w:p>
      <w:r>
        <w:rPr>
          <w:rFonts w:ascii="Times New Roman" w:hAnsi="Times New Roman" w:eastAsia="SimSun"/>
        </w:rPr>
        <w:t>AI Vibrancy measures national AI ecosystem strength using Stanford AI Index country scores. The main variable is Total Score, renamed AI Vibrancy Score in the merged analysis dataset.</w:t>
      </w:r>
    </w:p>
    <w:p>
      <w:pPr>
        <w:pStyle w:val="ListBullet"/>
      </w:pPr>
      <w:r>
        <w:rPr>
          <w:rFonts w:ascii="Times New Roman" w:hAnsi="Times New Roman" w:eastAsia="SimSun"/>
        </w:rPr>
        <w:t>Data file: data/AI vibrancy tool screen shot/ai_country_scores.csv.</w:t>
      </w:r>
    </w:p>
    <w:p>
      <w:pPr>
        <w:pStyle w:val="ListBullet"/>
      </w:pPr>
      <w:r>
        <w:rPr>
          <w:rFonts w:ascii="Times New Roman" w:hAnsi="Times New Roman" w:eastAsia="SimSun"/>
        </w:rPr>
        <w:t>Main variable: AI Vibrancy Score.</w:t>
      </w:r>
    </w:p>
    <w:p>
      <w:pPr>
        <w:pStyle w:val="ListBullet"/>
      </w:pPr>
      <w:r>
        <w:rPr>
          <w:rFonts w:ascii="Times New Roman" w:hAnsi="Times New Roman" w:eastAsia="SimSun"/>
        </w:rPr>
        <w:t>Component dimensions retained for descriptive analysis: R&amp;D, Responsible AI, Economy, Talent, Policy and Governance, Public Opinion, and Infrastructure.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eastAsia="SimSun"/>
                <w:b/>
                <w:sz w:val="18"/>
              </w:rPr>
              <w:t>Country</w:t>
            </w:r>
          </w:p>
        </w:tc>
        <w:tc>
          <w:tcPr>
            <w:tcW w:type="dxa" w:w="4896"/>
            <w:vAlign w:val="center"/>
            <w:shd w:fill="D9EAF7"/>
          </w:tcPr>
          <w:p>
            <w:r/>
            <w:r>
              <w:rPr>
                <w:rFonts w:ascii="Times New Roman" w:hAnsi="Times New Roman" w:eastAsia="SimSun"/>
                <w:b/>
                <w:sz w:val="18"/>
              </w:rPr>
              <w:t>AI Vibrancy Score</w:t>
            </w:r>
          </w:p>
        </w:tc>
      </w:tr>
      <w:tr>
        <w:tc>
          <w:tcPr>
            <w:tcW w:type="dxa" w:w="4896"/>
            <w:vAlign w:val="center"/>
          </w:tcPr>
          <w:p>
            <w:r/>
            <w:r>
              <w:rPr>
                <w:rFonts w:ascii="Times New Roman" w:hAnsi="Times New Roman" w:eastAsia="SimSun"/>
                <w:b w:val="0"/>
                <w:sz w:val="18"/>
              </w:rPr>
              <w:t>United States</w:t>
            </w:r>
          </w:p>
        </w:tc>
        <w:tc>
          <w:tcPr>
            <w:tcW w:type="dxa" w:w="4896"/>
            <w:vAlign w:val="center"/>
          </w:tcPr>
          <w:p>
            <w:r/>
            <w:r>
              <w:rPr>
                <w:rFonts w:ascii="Times New Roman" w:hAnsi="Times New Roman" w:eastAsia="SimSun"/>
                <w:b w:val="0"/>
                <w:sz w:val="18"/>
              </w:rPr>
              <w:t>77.85</w:t>
            </w:r>
          </w:p>
        </w:tc>
      </w:tr>
      <w:tr>
        <w:tc>
          <w:tcPr>
            <w:tcW w:type="dxa" w:w="4896"/>
            <w:vAlign w:val="center"/>
          </w:tcPr>
          <w:p>
            <w:r/>
            <w:r>
              <w:rPr>
                <w:rFonts w:ascii="Times New Roman" w:hAnsi="Times New Roman" w:eastAsia="SimSun"/>
                <w:b w:val="0"/>
                <w:sz w:val="18"/>
              </w:rPr>
              <w:t>China</w:t>
            </w:r>
          </w:p>
        </w:tc>
        <w:tc>
          <w:tcPr>
            <w:tcW w:type="dxa" w:w="4896"/>
            <w:vAlign w:val="center"/>
          </w:tcPr>
          <w:p>
            <w:r/>
            <w:r>
              <w:rPr>
                <w:rFonts w:ascii="Times New Roman" w:hAnsi="Times New Roman" w:eastAsia="SimSun"/>
                <w:b w:val="0"/>
                <w:sz w:val="18"/>
              </w:rPr>
              <w:t>35.10</w:t>
            </w:r>
          </w:p>
        </w:tc>
      </w:tr>
      <w:tr>
        <w:tc>
          <w:tcPr>
            <w:tcW w:type="dxa" w:w="4896"/>
            <w:vAlign w:val="center"/>
          </w:tcPr>
          <w:p>
            <w:r/>
            <w:r>
              <w:rPr>
                <w:rFonts w:ascii="Times New Roman" w:hAnsi="Times New Roman" w:eastAsia="SimSun"/>
                <w:b w:val="0"/>
                <w:sz w:val="18"/>
              </w:rPr>
              <w:t>United Kingdom</w:t>
            </w:r>
          </w:p>
        </w:tc>
        <w:tc>
          <w:tcPr>
            <w:tcW w:type="dxa" w:w="4896"/>
            <w:vAlign w:val="center"/>
          </w:tcPr>
          <w:p>
            <w:r/>
            <w:r>
              <w:rPr>
                <w:rFonts w:ascii="Times New Roman" w:hAnsi="Times New Roman" w:eastAsia="SimSun"/>
                <w:b w:val="0"/>
                <w:sz w:val="18"/>
              </w:rPr>
              <w:t>20.06</w:t>
            </w:r>
          </w:p>
        </w:tc>
      </w:tr>
      <w:tr>
        <w:tc>
          <w:tcPr>
            <w:tcW w:type="dxa" w:w="4896"/>
            <w:vAlign w:val="center"/>
          </w:tcPr>
          <w:p>
            <w:r/>
            <w:r>
              <w:rPr>
                <w:rFonts w:ascii="Times New Roman" w:hAnsi="Times New Roman" w:eastAsia="SimSun"/>
                <w:b w:val="0"/>
                <w:sz w:val="18"/>
              </w:rPr>
              <w:t>Japan</w:t>
            </w:r>
          </w:p>
        </w:tc>
        <w:tc>
          <w:tcPr>
            <w:tcW w:type="dxa" w:w="4896"/>
            <w:vAlign w:val="center"/>
          </w:tcPr>
          <w:p>
            <w:r/>
            <w:r>
              <w:rPr>
                <w:rFonts w:ascii="Times New Roman" w:hAnsi="Times New Roman" w:eastAsia="SimSun"/>
                <w:b w:val="0"/>
                <w:sz w:val="18"/>
              </w:rPr>
              <w:t>17.70</w:t>
            </w:r>
          </w:p>
        </w:tc>
      </w:tr>
      <w:tr>
        <w:tc>
          <w:tcPr>
            <w:tcW w:type="dxa" w:w="4896"/>
            <w:vAlign w:val="center"/>
          </w:tcPr>
          <w:p>
            <w:r/>
            <w:r>
              <w:rPr>
                <w:rFonts w:ascii="Times New Roman" w:hAnsi="Times New Roman" w:eastAsia="SimSun"/>
                <w:b w:val="0"/>
                <w:sz w:val="18"/>
              </w:rPr>
              <w:t>France</w:t>
            </w:r>
          </w:p>
        </w:tc>
        <w:tc>
          <w:tcPr>
            <w:tcW w:type="dxa" w:w="4896"/>
            <w:vAlign w:val="center"/>
          </w:tcPr>
          <w:p>
            <w:r/>
            <w:r>
              <w:rPr>
                <w:rFonts w:ascii="Times New Roman" w:hAnsi="Times New Roman" w:eastAsia="SimSun"/>
                <w:b w:val="0"/>
                <w:sz w:val="18"/>
              </w:rPr>
              <w:t>16.62</w:t>
            </w:r>
          </w:p>
        </w:tc>
      </w:tr>
      <w:tr>
        <w:tc>
          <w:tcPr>
            <w:tcW w:type="dxa" w:w="4896"/>
            <w:vAlign w:val="center"/>
          </w:tcPr>
          <w:p>
            <w:r/>
            <w:r>
              <w:rPr>
                <w:rFonts w:ascii="Times New Roman" w:hAnsi="Times New Roman" w:eastAsia="SimSun"/>
                <w:b w:val="0"/>
                <w:sz w:val="18"/>
              </w:rPr>
              <w:t>Canada</w:t>
            </w:r>
          </w:p>
        </w:tc>
        <w:tc>
          <w:tcPr>
            <w:tcW w:type="dxa" w:w="4896"/>
            <w:vAlign w:val="center"/>
          </w:tcPr>
          <w:p>
            <w:r/>
            <w:r>
              <w:rPr>
                <w:rFonts w:ascii="Times New Roman" w:hAnsi="Times New Roman" w:eastAsia="SimSun"/>
                <w:b w:val="0"/>
                <w:sz w:val="18"/>
              </w:rPr>
              <w:t>15.46</w:t>
            </w:r>
          </w:p>
        </w:tc>
      </w:tr>
      <w:tr>
        <w:tc>
          <w:tcPr>
            <w:tcW w:type="dxa" w:w="4896"/>
            <w:vAlign w:val="center"/>
          </w:tcPr>
          <w:p>
            <w:r/>
            <w:r>
              <w:rPr>
                <w:rFonts w:ascii="Times New Roman" w:hAnsi="Times New Roman" w:eastAsia="SimSun"/>
                <w:b w:val="0"/>
                <w:sz w:val="18"/>
              </w:rPr>
              <w:t>Italy</w:t>
            </w:r>
          </w:p>
        </w:tc>
        <w:tc>
          <w:tcPr>
            <w:tcW w:type="dxa" w:w="4896"/>
            <w:vAlign w:val="center"/>
          </w:tcPr>
          <w:p>
            <w:r/>
            <w:r>
              <w:rPr>
                <w:rFonts w:ascii="Times New Roman" w:hAnsi="Times New Roman" w:eastAsia="SimSun"/>
                <w:b w:val="0"/>
                <w:sz w:val="18"/>
              </w:rPr>
              <w:t>13.18</w:t>
            </w:r>
          </w:p>
        </w:tc>
      </w:tr>
      <w:tr>
        <w:tc>
          <w:tcPr>
            <w:tcW w:type="dxa" w:w="4896"/>
            <w:vAlign w:val="center"/>
          </w:tcPr>
          <w:p>
            <w:r/>
            <w:r>
              <w:rPr>
                <w:rFonts w:ascii="Times New Roman" w:hAnsi="Times New Roman" w:eastAsia="SimSun"/>
                <w:b w:val="0"/>
                <w:sz w:val="18"/>
              </w:rPr>
              <w:t>Germany</w:t>
            </w:r>
          </w:p>
        </w:tc>
        <w:tc>
          <w:tcPr>
            <w:tcW w:type="dxa" w:w="4896"/>
            <w:vAlign w:val="center"/>
          </w:tcPr>
          <w:p>
            <w:r/>
            <w:r>
              <w:rPr>
                <w:rFonts w:ascii="Times New Roman" w:hAnsi="Times New Roman" w:eastAsia="SimSun"/>
                <w:b w:val="0"/>
                <w:sz w:val="18"/>
              </w:rPr>
              <w:t>12.35</w:t>
            </w:r>
          </w:p>
        </w:tc>
      </w:tr>
    </w:tbl>
    <w:p/>
    <w:p>
      <w:pPr>
        <w:pStyle w:val="Heading1"/>
      </w:pPr>
      <w:r>
        <w:rPr>
          <w:rFonts w:ascii="Times New Roman" w:hAnsi="Times New Roman" w:eastAsia="SimSun"/>
        </w:rPr>
        <w:t>3. Economic Freedom</w:t>
      </w:r>
    </w:p>
    <w:p>
      <w:r>
        <w:rPr>
          <w:rFonts w:ascii="Times New Roman" w:hAnsi="Times New Roman" w:eastAsia="SimSun"/>
        </w:rPr>
        <w:t>Economic freedom is measured using the Heritage Foundation Index of Economic Freedom panel. The analysis selects the latest available year programmatically, currently 2026, and uses Overall Score as IEF Overall Score.</w:t>
      </w:r>
    </w:p>
    <w:p>
      <w:pPr>
        <w:pStyle w:val="ListBullet"/>
      </w:pPr>
      <w:r>
        <w:rPr>
          <w:rFonts w:ascii="Times New Roman" w:hAnsi="Times New Roman" w:eastAsia="SimSun"/>
        </w:rPr>
        <w:t>Data file: data/number/ief_g7_china_panel.csv.</w:t>
      </w:r>
    </w:p>
    <w:p>
      <w:pPr>
        <w:pStyle w:val="ListBullet"/>
      </w:pPr>
      <w:r>
        <w:rPr>
          <w:rFonts w:ascii="Times New Roman" w:hAnsi="Times New Roman" w:eastAsia="SimSun"/>
        </w:rPr>
        <w:t>Main variable: IEF Overall Score.</w:t>
      </w:r>
    </w:p>
    <w:p>
      <w:pPr>
        <w:pStyle w:val="ListBullet"/>
      </w:pPr>
      <w:r>
        <w:rPr>
          <w:rFonts w:ascii="Times New Roman" w:hAnsi="Times New Roman" w:eastAsia="SimSun"/>
        </w:rPr>
        <w:t>Interpretation: higher values indicate a more economically free policy environment according to the IEF methodology.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eastAsia="SimSun"/>
                <w:b/>
                <w:sz w:val="18"/>
              </w:rPr>
              <w:t>Country</w:t>
            </w:r>
          </w:p>
        </w:tc>
        <w:tc>
          <w:tcPr>
            <w:tcW w:type="dxa" w:w="3264"/>
            <w:vAlign w:val="center"/>
            <w:shd w:fill="D9EAF7"/>
          </w:tcPr>
          <w:p>
            <w:r/>
            <w:r>
              <w:rPr>
                <w:rFonts w:ascii="Times New Roman" w:hAnsi="Times New Roman" w:eastAsia="SimSun"/>
                <w:b/>
                <w:sz w:val="18"/>
              </w:rPr>
              <w:t>Index Year</w:t>
            </w:r>
          </w:p>
        </w:tc>
        <w:tc>
          <w:tcPr>
            <w:tcW w:type="dxa" w:w="3264"/>
            <w:vAlign w:val="center"/>
            <w:shd w:fill="D9EAF7"/>
          </w:tcPr>
          <w:p>
            <w:r/>
            <w:r>
              <w:rPr>
                <w:rFonts w:ascii="Times New Roman" w:hAnsi="Times New Roman" w:eastAsia="SimSun"/>
                <w:b/>
                <w:sz w:val="18"/>
              </w:rPr>
              <w:t>IEF Overall Score</w:t>
            </w:r>
          </w:p>
        </w:tc>
      </w:tr>
      <w:tr>
        <w:tc>
          <w:tcPr>
            <w:tcW w:type="dxa" w:w="3264"/>
            <w:vAlign w:val="center"/>
          </w:tcPr>
          <w:p>
            <w:r/>
            <w:r>
              <w:rPr>
                <w:rFonts w:ascii="Times New Roman" w:hAnsi="Times New Roman" w:eastAsia="SimSun"/>
                <w:b w:val="0"/>
                <w:sz w:val="18"/>
              </w:rPr>
              <w:t>Canada</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75.6</w:t>
            </w:r>
          </w:p>
        </w:tc>
      </w:tr>
      <w:tr>
        <w:tc>
          <w:tcPr>
            <w:tcW w:type="dxa" w:w="3264"/>
            <w:vAlign w:val="center"/>
          </w:tcPr>
          <w:p>
            <w:r/>
            <w:r>
              <w:rPr>
                <w:rFonts w:ascii="Times New Roman" w:hAnsi="Times New Roman" w:eastAsia="SimSun"/>
                <w:b w:val="0"/>
                <w:sz w:val="18"/>
              </w:rPr>
              <w:t>United States</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72.8</w:t>
            </w:r>
          </w:p>
        </w:tc>
      </w:tr>
      <w:tr>
        <w:tc>
          <w:tcPr>
            <w:tcW w:type="dxa" w:w="3264"/>
            <w:vAlign w:val="center"/>
          </w:tcPr>
          <w:p>
            <w:r/>
            <w:r>
              <w:rPr>
                <w:rFonts w:ascii="Times New Roman" w:hAnsi="Times New Roman" w:eastAsia="SimSun"/>
                <w:b w:val="0"/>
                <w:sz w:val="18"/>
              </w:rPr>
              <w:t>Germany</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71.7</w:t>
            </w:r>
          </w:p>
        </w:tc>
      </w:tr>
      <w:tr>
        <w:tc>
          <w:tcPr>
            <w:tcW w:type="dxa" w:w="3264"/>
            <w:vAlign w:val="center"/>
          </w:tcPr>
          <w:p>
            <w:r/>
            <w:r>
              <w:rPr>
                <w:rFonts w:ascii="Times New Roman" w:hAnsi="Times New Roman" w:eastAsia="SimSun"/>
                <w:b w:val="0"/>
                <w:sz w:val="18"/>
              </w:rPr>
              <w:t>United Kingdom</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70.4</w:t>
            </w:r>
          </w:p>
        </w:tc>
      </w:tr>
      <w:tr>
        <w:tc>
          <w:tcPr>
            <w:tcW w:type="dxa" w:w="3264"/>
            <w:vAlign w:val="center"/>
          </w:tcPr>
          <w:p>
            <w:r/>
            <w:r>
              <w:rPr>
                <w:rFonts w:ascii="Times New Roman" w:hAnsi="Times New Roman" w:eastAsia="SimSun"/>
                <w:b w:val="0"/>
                <w:sz w:val="18"/>
              </w:rPr>
              <w:t>Japan</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70.3</w:t>
            </w:r>
          </w:p>
        </w:tc>
      </w:tr>
      <w:tr>
        <w:tc>
          <w:tcPr>
            <w:tcW w:type="dxa" w:w="3264"/>
            <w:vAlign w:val="center"/>
          </w:tcPr>
          <w:p>
            <w:r/>
            <w:r>
              <w:rPr>
                <w:rFonts w:ascii="Times New Roman" w:hAnsi="Times New Roman" w:eastAsia="SimSun"/>
                <w:b w:val="0"/>
                <w:sz w:val="18"/>
              </w:rPr>
              <w:t>France</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64.6</w:t>
            </w:r>
          </w:p>
        </w:tc>
      </w:tr>
      <w:tr>
        <w:tc>
          <w:tcPr>
            <w:tcW w:type="dxa" w:w="3264"/>
            <w:vAlign w:val="center"/>
          </w:tcPr>
          <w:p>
            <w:r/>
            <w:r>
              <w:rPr>
                <w:rFonts w:ascii="Times New Roman" w:hAnsi="Times New Roman" w:eastAsia="SimSun"/>
                <w:b w:val="0"/>
                <w:sz w:val="18"/>
              </w:rPr>
              <w:t>Italy</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63.3</w:t>
            </w:r>
          </w:p>
        </w:tc>
      </w:tr>
      <w:tr>
        <w:tc>
          <w:tcPr>
            <w:tcW w:type="dxa" w:w="3264"/>
            <w:vAlign w:val="center"/>
          </w:tcPr>
          <w:p>
            <w:r/>
            <w:r>
              <w:rPr>
                <w:rFonts w:ascii="Times New Roman" w:hAnsi="Times New Roman" w:eastAsia="SimSun"/>
                <w:b w:val="0"/>
                <w:sz w:val="18"/>
              </w:rPr>
              <w:t>China</w:t>
            </w:r>
          </w:p>
        </w:tc>
        <w:tc>
          <w:tcPr>
            <w:tcW w:type="dxa" w:w="3264"/>
            <w:vAlign w:val="center"/>
          </w:tcPr>
          <w:p>
            <w:r/>
            <w:r>
              <w:rPr>
                <w:rFonts w:ascii="Times New Roman" w:hAnsi="Times New Roman" w:eastAsia="SimSun"/>
                <w:b w:val="0"/>
                <w:sz w:val="18"/>
              </w:rPr>
              <w:t>2026</w:t>
            </w:r>
          </w:p>
        </w:tc>
        <w:tc>
          <w:tcPr>
            <w:tcW w:type="dxa" w:w="3264"/>
            <w:vAlign w:val="center"/>
          </w:tcPr>
          <w:p>
            <w:r/>
            <w:r>
              <w:rPr>
                <w:rFonts w:ascii="Times New Roman" w:hAnsi="Times New Roman" w:eastAsia="SimSun"/>
                <w:b w:val="0"/>
                <w:sz w:val="18"/>
              </w:rPr>
              <w:t>48.3</w:t>
            </w:r>
          </w:p>
        </w:tc>
      </w:tr>
    </w:tbl>
    <w:p/>
    <w:p>
      <w:pPr>
        <w:pStyle w:val="Heading1"/>
      </w:pPr>
      <w:r>
        <w:rPr>
          <w:rFonts w:ascii="Times New Roman" w:hAnsi="Times New Roman" w:eastAsia="SimSun"/>
        </w:rPr>
        <w:t>4. Text Corpus and Unit of Analysis</w:t>
      </w:r>
    </w:p>
    <w:p>
      <w:r>
        <w:rPr>
          <w:rFonts w:ascii="Times New Roman" w:hAnsi="Times New Roman" w:eastAsia="SimSun"/>
        </w:rPr>
        <w:t>The text corpus consists of national AI strategy and AI policy documents. English documents are used directly. Chinese-heavy texts are translated into English using NLLB or analyzed through existing English corpora where available. All documents are segmented and analyzed at the sentence level.</w:t>
      </w:r>
    </w:p>
    <w:p>
      <w:pPr>
        <w:pStyle w:val="ListBullet"/>
      </w:pPr>
      <w:r>
        <w:rPr>
          <w:rFonts w:ascii="Times New Roman" w:hAnsi="Times New Roman" w:eastAsia="SimSun"/>
        </w:rPr>
        <w:t>Document scope: national AI strategy / AI policy documents.</w:t>
      </w:r>
    </w:p>
    <w:p>
      <w:pPr>
        <w:pStyle w:val="ListBullet"/>
      </w:pPr>
      <w:r>
        <w:rPr>
          <w:rFonts w:ascii="Times New Roman" w:hAnsi="Times New Roman" w:eastAsia="SimSun"/>
        </w:rPr>
        <w:t>Country/entity coverage: G7 countries, China, and European Union for descriptive framing.</w:t>
      </w:r>
    </w:p>
    <w:p>
      <w:pPr>
        <w:pStyle w:val="ListBullet"/>
      </w:pPr>
      <w:r>
        <w:rPr>
          <w:rFonts w:ascii="Times New Roman" w:hAnsi="Times New Roman" w:eastAsia="SimSun"/>
        </w:rPr>
        <w:t>Current corrected full run: 3730 sentences across 9 countries/entities.</w:t>
      </w:r>
    </w:p>
    <w:p>
      <w:pPr>
        <w:pStyle w:val="Heading1"/>
      </w:pPr>
      <w:r>
        <w:rPr>
          <w:rFonts w:ascii="Times New Roman" w:hAnsi="Times New Roman" w:eastAsia="SimSun"/>
        </w:rPr>
        <w:t>5. Conceptual Framing Labels</w:t>
      </w:r>
    </w:p>
    <w:p>
      <w:r>
        <w:rPr>
          <w:rFonts w:ascii="Times New Roman" w:hAnsi="Times New Roman" w:eastAsia="SimSun"/>
        </w:rPr>
        <w:t>The primary contrast is between innovation-oriented and risk-oriented AI policy framing.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eastAsia="SimSun"/>
                <w:b/>
                <w:sz w:val="18"/>
              </w:rPr>
              <w:t>Label</w:t>
            </w:r>
          </w:p>
        </w:tc>
        <w:tc>
          <w:tcPr>
            <w:tcW w:type="dxa" w:w="4896"/>
            <w:vAlign w:val="center"/>
            <w:shd w:fill="D9EAF7"/>
          </w:tcPr>
          <w:p>
            <w:r/>
            <w:r>
              <w:rPr>
                <w:rFonts w:ascii="Times New Roman" w:hAnsi="Times New Roman" w:eastAsia="SimSun"/>
                <w:b/>
                <w:sz w:val="18"/>
              </w:rPr>
              <w:t>Meaning</w:t>
            </w:r>
          </w:p>
        </w:tc>
      </w:tr>
      <w:tr>
        <w:tc>
          <w:tcPr>
            <w:tcW w:type="dxa" w:w="4896"/>
            <w:vAlign w:val="center"/>
          </w:tcPr>
          <w:p>
            <w:r/>
            <w:r>
              <w:rPr>
                <w:rFonts w:ascii="Times New Roman" w:hAnsi="Times New Roman" w:eastAsia="SimSun"/>
                <w:b w:val="0"/>
                <w:sz w:val="18"/>
              </w:rPr>
              <w:t>Innovation-oriented</w:t>
            </w:r>
          </w:p>
        </w:tc>
        <w:tc>
          <w:tcPr>
            <w:tcW w:type="dxa" w:w="4896"/>
            <w:vAlign w:val="center"/>
          </w:tcPr>
          <w:p>
            <w:r/>
            <w:r>
              <w:rPr>
                <w:rFonts w:ascii="Times New Roman" w:hAnsi="Times New Roman" w:eastAsia="SimSun"/>
                <w:b w:val="0"/>
                <w:sz w:val="18"/>
              </w:rPr>
              <w:t>Emphasizes innovation, investment, adoption, competitiveness, productivity, and flexible regulation.</w:t>
            </w:r>
          </w:p>
        </w:tc>
      </w:tr>
      <w:tr>
        <w:tc>
          <w:tcPr>
            <w:tcW w:type="dxa" w:w="4896"/>
            <w:vAlign w:val="center"/>
          </w:tcPr>
          <w:p>
            <w:r/>
            <w:r>
              <w:rPr>
                <w:rFonts w:ascii="Times New Roman" w:hAnsi="Times New Roman" w:eastAsia="SimSun"/>
                <w:b w:val="0"/>
                <w:sz w:val="18"/>
              </w:rPr>
              <w:t>Risk-oriented</w:t>
            </w:r>
          </w:p>
        </w:tc>
        <w:tc>
          <w:tcPr>
            <w:tcW w:type="dxa" w:w="4896"/>
            <w:vAlign w:val="center"/>
          </w:tcPr>
          <w:p>
            <w:r/>
            <w:r>
              <w:rPr>
                <w:rFonts w:ascii="Times New Roman" w:hAnsi="Times New Roman" w:eastAsia="SimSun"/>
                <w:b w:val="0"/>
                <w:sz w:val="18"/>
              </w:rPr>
              <w:t>Emphasizes risk, safety, accountability, privacy, fairness, human rights, and regulatory obligations.</w:t>
            </w:r>
          </w:p>
        </w:tc>
      </w:tr>
      <w:tr>
        <w:tc>
          <w:tcPr>
            <w:tcW w:type="dxa" w:w="4896"/>
            <w:vAlign w:val="center"/>
          </w:tcPr>
          <w:p>
            <w:r/>
            <w:r>
              <w:rPr>
                <w:rFonts w:ascii="Times New Roman" w:hAnsi="Times New Roman" w:eastAsia="SimSun"/>
                <w:b w:val="0"/>
                <w:sz w:val="18"/>
              </w:rPr>
              <w:t>Mixed</w:t>
            </w:r>
          </w:p>
        </w:tc>
        <w:tc>
          <w:tcPr>
            <w:tcW w:type="dxa" w:w="4896"/>
            <w:vAlign w:val="center"/>
          </w:tcPr>
          <w:p>
            <w:r/>
            <w:r>
              <w:rPr>
                <w:rFonts w:ascii="Times New Roman" w:hAnsi="Times New Roman" w:eastAsia="SimSun"/>
                <w:b w:val="0"/>
                <w:sz w:val="18"/>
              </w:rPr>
              <w:t>A single sentence contains both innovation and risk framing.</w:t>
            </w:r>
          </w:p>
        </w:tc>
      </w:tr>
      <w:tr>
        <w:tc>
          <w:tcPr>
            <w:tcW w:type="dxa" w:w="4896"/>
            <w:vAlign w:val="center"/>
          </w:tcPr>
          <w:p>
            <w:r/>
            <w:r>
              <w:rPr>
                <w:rFonts w:ascii="Times New Roman" w:hAnsi="Times New Roman" w:eastAsia="SimSun"/>
                <w:b w:val="0"/>
                <w:sz w:val="18"/>
              </w:rPr>
              <w:t>Neutral</w:t>
            </w:r>
          </w:p>
        </w:tc>
        <w:tc>
          <w:tcPr>
            <w:tcW w:type="dxa" w:w="4896"/>
            <w:vAlign w:val="center"/>
          </w:tcPr>
          <w:p>
            <w:r/>
            <w:r>
              <w:rPr>
                <w:rFonts w:ascii="Times New Roman" w:hAnsi="Times New Roman" w:eastAsia="SimSun"/>
                <w:b w:val="0"/>
                <w:sz w:val="18"/>
              </w:rPr>
              <w:t>Descriptive, administrative, or procedural content.</w:t>
            </w:r>
          </w:p>
        </w:tc>
      </w:tr>
      <w:tr>
        <w:tc>
          <w:tcPr>
            <w:tcW w:type="dxa" w:w="4896"/>
            <w:vAlign w:val="center"/>
          </w:tcPr>
          <w:p>
            <w:r/>
            <w:r>
              <w:rPr>
                <w:rFonts w:ascii="Times New Roman" w:hAnsi="Times New Roman" w:eastAsia="SimSun"/>
                <w:b w:val="0"/>
                <w:sz w:val="18"/>
              </w:rPr>
              <w:t>Unsure</w:t>
            </w:r>
          </w:p>
        </w:tc>
        <w:tc>
          <w:tcPr>
            <w:tcW w:type="dxa" w:w="4896"/>
            <w:vAlign w:val="center"/>
          </w:tcPr>
          <w:p>
            <w:r/>
            <w:r>
              <w:rPr>
                <w:rFonts w:ascii="Times New Roman" w:hAnsi="Times New Roman" w:eastAsia="SimSun"/>
                <w:b w:val="0"/>
                <w:sz w:val="18"/>
              </w:rPr>
              <w:t>Unclear residual category; excluded from the no-unsure human-gold calibration set.</w:t>
            </w:r>
          </w:p>
        </w:tc>
      </w:tr>
    </w:tbl>
    <w:p/>
    <w:p>
      <w:pPr>
        <w:pStyle w:val="Heading1"/>
      </w:pPr>
      <w:r>
        <w:rPr>
          <w:rFonts w:ascii="Times New Roman" w:hAnsi="Times New Roman" w:eastAsia="SimSun"/>
        </w:rPr>
        <w:t>6. LLM Labeling and Human Calibration</w:t>
      </w:r>
    </w:p>
    <w:p>
      <w:r>
        <w:rPr>
          <w:rFonts w:ascii="Times New Roman" w:hAnsi="Times New Roman" w:eastAsia="SimSun"/>
        </w:rPr>
        <w:t>Sentence labels are generated locally using DeepSeek R1 14B through Ollama. The prompt includes the project codebook and human-annotated examples, and the model returns structured JSON containing label, confidence, and reason.</w:t>
      </w:r>
    </w:p>
    <w:p>
      <w:pPr>
        <w:pStyle w:val="ListBullet"/>
      </w:pPr>
      <w:r>
        <w:rPr>
          <w:rFonts w:ascii="Times New Roman" w:hAnsi="Times New Roman" w:eastAsia="SimSun"/>
        </w:rPr>
        <w:t>Local model: deepseek-r1:14b.</w:t>
      </w:r>
    </w:p>
    <w:p>
      <w:pPr>
        <w:pStyle w:val="ListBullet"/>
      </w:pPr>
      <w:r>
        <w:rPr>
          <w:rFonts w:ascii="Times New Roman" w:hAnsi="Times New Roman" w:eastAsia="SimSun"/>
        </w:rPr>
        <w:t>Classification: each sentence is labeled independently.</w:t>
      </w:r>
    </w:p>
    <w:p>
      <w:pPr>
        <w:pStyle w:val="ListBullet"/>
      </w:pPr>
      <w:r>
        <w:rPr>
          <w:rFonts w:ascii="Times New Roman" w:hAnsi="Times New Roman" w:eastAsia="SimSun"/>
        </w:rPr>
        <w:t>Structured output: JSON with label, confidence score, and reason.</w:t>
      </w:r>
    </w:p>
    <w:p>
      <w:pPr>
        <w:pStyle w:val="ListBullet"/>
      </w:pPr>
      <w:r>
        <w:rPr>
          <w:rFonts w:ascii="Times New Roman" w:hAnsi="Times New Roman" w:eastAsia="SimSun"/>
        </w:rPr>
        <w:t>Auditability: both raw model labels and corrected labels are retained.</w:t>
      </w:r>
    </w:p>
    <w:p>
      <w:pPr>
        <w:pStyle w:val="ListBullet"/>
      </w:pPr>
      <w:r>
        <w:rPr>
          <w:rFonts w:ascii="Times New Roman" w:hAnsi="Times New Roman" w:eastAsia="SimSun"/>
        </w:rPr>
        <w:t>Human calibration: Daria + Stephen agreed on 23 sentences; after excluding Unsure, 16 substantive labels were used for the no-unsure workflow.</w:t>
      </w:r>
    </w:p>
    <w:p>
      <w:pPr>
        <w:pStyle w:val="ListBullet"/>
      </w:pPr>
      <w:r>
        <w:rPr>
          <w:rFonts w:ascii="Times New Roman" w:hAnsi="Times New Roman" w:eastAsia="SimSun"/>
        </w:rPr>
        <w:t>Gold evaluation: raw model accuracy = 75%; corrected accuracy = 100%; human overrides = 4.</w:t>
      </w:r>
    </w:p>
    <w:p>
      <w:r>
        <w:rPr>
          <w:rFonts w:ascii="Times New Roman" w:hAnsi="Times New Roman" w:eastAsia="SimSun"/>
        </w:rPr>
        <w:t>Correction rule:</w:t>
      </w:r>
    </w:p>
    <w:p>
      <w:r>
        <w:rPr>
          <w:rFonts w:ascii="Courier New" w:hAnsi="Courier New" w:eastAsia="Courier New"/>
          <w:sz w:val="19"/>
        </w:rPr>
        <w:t>corrected_label =</w:t>
        <w:br/>
        <w:t xml:space="preserve">    human_gold_label, if the sentence is present in the usable human gold set</w:t>
        <w:br/>
        <w:t xml:space="preserve">    model_label, otherwise</w:t>
      </w:r>
    </w:p>
    <w:p>
      <w:pPr>
        <w:pStyle w:val="Heading1"/>
      </w:pPr>
      <w:r>
        <w:rPr>
          <w:rFonts w:ascii="Times New Roman" w:hAnsi="Times New Roman" w:eastAsia="SimSun"/>
        </w:rPr>
        <w:t>7. Country-Level Framing Measures</w:t>
      </w:r>
    </w:p>
    <w:p>
      <w:r>
        <w:rPr>
          <w:rFonts w:ascii="Times New Roman" w:hAnsi="Times New Roman" w:eastAsia="SimSun"/>
        </w:rPr>
        <w:t>Corrected sentence labels are aggregated to country/entity-level measures. Innovation-oriented sentences receive +1, risk-oriented sentences receive -1, and mixed, neutral, and unsure sentences receive 0 for the net framing score.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eastAsia="SimSun"/>
                <w:b/>
                <w:sz w:val="18"/>
              </w:rPr>
              <w:t>Measure</w:t>
            </w:r>
          </w:p>
        </w:tc>
        <w:tc>
          <w:tcPr>
            <w:tcW w:type="dxa" w:w="3264"/>
            <w:vAlign w:val="center"/>
            <w:shd w:fill="D9EAF7"/>
          </w:tcPr>
          <w:p>
            <w:r/>
            <w:r>
              <w:rPr>
                <w:rFonts w:ascii="Times New Roman" w:hAnsi="Times New Roman" w:eastAsia="SimSun"/>
                <w:b/>
                <w:sz w:val="18"/>
              </w:rPr>
              <w:t>Definition</w:t>
            </w:r>
          </w:p>
        </w:tc>
        <w:tc>
          <w:tcPr>
            <w:tcW w:type="dxa" w:w="3264"/>
            <w:vAlign w:val="center"/>
            <w:shd w:fill="D9EAF7"/>
          </w:tcPr>
          <w:p>
            <w:r/>
            <w:r>
              <w:rPr>
                <w:rFonts w:ascii="Times New Roman" w:hAnsi="Times New Roman" w:eastAsia="SimSun"/>
                <w:b/>
                <w:sz w:val="18"/>
              </w:rPr>
              <w:t>Interpretation</w:t>
            </w:r>
          </w:p>
        </w:tc>
      </w:tr>
      <w:tr>
        <w:tc>
          <w:tcPr>
            <w:tcW w:type="dxa" w:w="3264"/>
            <w:vAlign w:val="center"/>
          </w:tcPr>
          <w:p>
            <w:r/>
            <w:r>
              <w:rPr>
                <w:rFonts w:ascii="Times New Roman" w:hAnsi="Times New Roman" w:eastAsia="SimSun"/>
                <w:b w:val="0"/>
                <w:sz w:val="18"/>
              </w:rPr>
              <w:t>Innovation Share</w:t>
            </w:r>
          </w:p>
        </w:tc>
        <w:tc>
          <w:tcPr>
            <w:tcW w:type="dxa" w:w="3264"/>
            <w:vAlign w:val="center"/>
          </w:tcPr>
          <w:p>
            <w:r/>
            <w:r>
              <w:rPr>
                <w:rFonts w:ascii="Times New Roman" w:hAnsi="Times New Roman" w:eastAsia="SimSun"/>
                <w:b w:val="0"/>
                <w:sz w:val="18"/>
              </w:rPr>
              <w:t>Innovation-oriented sentences / total sentences</w:t>
            </w:r>
          </w:p>
        </w:tc>
        <w:tc>
          <w:tcPr>
            <w:tcW w:type="dxa" w:w="3264"/>
            <w:vAlign w:val="center"/>
          </w:tcPr>
          <w:p>
            <w:r/>
            <w:r>
              <w:rPr>
                <w:rFonts w:ascii="Times New Roman" w:hAnsi="Times New Roman" w:eastAsia="SimSun"/>
                <w:b w:val="0"/>
                <w:sz w:val="18"/>
              </w:rPr>
              <w:t>Higher values indicate greater innovation emphasis.</w:t>
            </w:r>
          </w:p>
        </w:tc>
      </w:tr>
      <w:tr>
        <w:tc>
          <w:tcPr>
            <w:tcW w:type="dxa" w:w="3264"/>
            <w:vAlign w:val="center"/>
          </w:tcPr>
          <w:p>
            <w:r/>
            <w:r>
              <w:rPr>
                <w:rFonts w:ascii="Times New Roman" w:hAnsi="Times New Roman" w:eastAsia="SimSun"/>
                <w:b w:val="0"/>
                <w:sz w:val="18"/>
              </w:rPr>
              <w:t>Risk Share</w:t>
            </w:r>
          </w:p>
        </w:tc>
        <w:tc>
          <w:tcPr>
            <w:tcW w:type="dxa" w:w="3264"/>
            <w:vAlign w:val="center"/>
          </w:tcPr>
          <w:p>
            <w:r/>
            <w:r>
              <w:rPr>
                <w:rFonts w:ascii="Times New Roman" w:hAnsi="Times New Roman" w:eastAsia="SimSun"/>
                <w:b w:val="0"/>
                <w:sz w:val="18"/>
              </w:rPr>
              <w:t>Risk-oriented sentences / total sentences</w:t>
            </w:r>
          </w:p>
        </w:tc>
        <w:tc>
          <w:tcPr>
            <w:tcW w:type="dxa" w:w="3264"/>
            <w:vAlign w:val="center"/>
          </w:tcPr>
          <w:p>
            <w:r/>
            <w:r>
              <w:rPr>
                <w:rFonts w:ascii="Times New Roman" w:hAnsi="Times New Roman" w:eastAsia="SimSun"/>
                <w:b w:val="0"/>
                <w:sz w:val="18"/>
              </w:rPr>
              <w:t>Higher values indicate greater risk/safety emphasis.</w:t>
            </w:r>
          </w:p>
        </w:tc>
      </w:tr>
      <w:tr>
        <w:tc>
          <w:tcPr>
            <w:tcW w:type="dxa" w:w="3264"/>
            <w:vAlign w:val="center"/>
          </w:tcPr>
          <w:p>
            <w:r/>
            <w:r>
              <w:rPr>
                <w:rFonts w:ascii="Times New Roman" w:hAnsi="Times New Roman" w:eastAsia="SimSun"/>
                <w:b w:val="0"/>
                <w:sz w:val="18"/>
              </w:rPr>
              <w:t>Mean Framing Score</w:t>
            </w:r>
          </w:p>
        </w:tc>
        <w:tc>
          <w:tcPr>
            <w:tcW w:type="dxa" w:w="3264"/>
            <w:vAlign w:val="center"/>
          </w:tcPr>
          <w:p>
            <w:r/>
            <w:r>
              <w:rPr>
                <w:rFonts w:ascii="Times New Roman" w:hAnsi="Times New Roman" w:eastAsia="SimSun"/>
                <w:b w:val="0"/>
                <w:sz w:val="18"/>
              </w:rPr>
              <w:t>(Innovation count - Risk count) / total sentences</w:t>
            </w:r>
          </w:p>
        </w:tc>
        <w:tc>
          <w:tcPr>
            <w:tcW w:type="dxa" w:w="3264"/>
            <w:vAlign w:val="center"/>
          </w:tcPr>
          <w:p>
            <w:r/>
            <w:r>
              <w:rPr>
                <w:rFonts w:ascii="Times New Roman" w:hAnsi="Times New Roman" w:eastAsia="SimSun"/>
                <w:b w:val="0"/>
                <w:sz w:val="18"/>
              </w:rPr>
              <w:t>Positive values indicate more innovation-oriented discourse; lower values indicate more risk-oriented discourse.</w:t>
            </w:r>
          </w:p>
        </w:tc>
      </w:tr>
      <w:tr>
        <w:tc>
          <w:tcPr>
            <w:tcW w:type="dxa" w:w="3264"/>
            <w:vAlign w:val="center"/>
          </w:tcPr>
          <w:p>
            <w:r/>
            <w:r>
              <w:rPr>
                <w:rFonts w:ascii="Times New Roman" w:hAnsi="Times New Roman" w:eastAsia="SimSun"/>
                <w:b w:val="0"/>
                <w:sz w:val="18"/>
              </w:rPr>
              <w:t>Innovation-to-Risk Ratio</w:t>
            </w:r>
          </w:p>
        </w:tc>
        <w:tc>
          <w:tcPr>
            <w:tcW w:type="dxa" w:w="3264"/>
            <w:vAlign w:val="center"/>
          </w:tcPr>
          <w:p>
            <w:r/>
            <w:r>
              <w:rPr>
                <w:rFonts w:ascii="Times New Roman" w:hAnsi="Times New Roman" w:eastAsia="SimSun"/>
                <w:b w:val="0"/>
                <w:sz w:val="18"/>
              </w:rPr>
              <w:t>(Innovation count + 0.5) / (Risk count + 0.5)</w:t>
            </w:r>
          </w:p>
        </w:tc>
        <w:tc>
          <w:tcPr>
            <w:tcW w:type="dxa" w:w="3264"/>
            <w:vAlign w:val="center"/>
          </w:tcPr>
          <w:p>
            <w:r/>
            <w:r>
              <w:rPr>
                <w:rFonts w:ascii="Times New Roman" w:hAnsi="Times New Roman" w:eastAsia="SimSun"/>
                <w:b w:val="0"/>
                <w:sz w:val="18"/>
              </w:rPr>
              <w:t>Smoothed ratio comparing innovation and risk counts.</w:t>
            </w:r>
          </w:p>
        </w:tc>
      </w:tr>
      <w:tr>
        <w:tc>
          <w:tcPr>
            <w:tcW w:type="dxa" w:w="3264"/>
            <w:vAlign w:val="center"/>
          </w:tcPr>
          <w:p>
            <w:r/>
            <w:r>
              <w:rPr>
                <w:rFonts w:ascii="Times New Roman" w:hAnsi="Times New Roman" w:eastAsia="SimSun"/>
                <w:b w:val="0"/>
                <w:sz w:val="18"/>
              </w:rPr>
              <w:t>Log Innovation-to-Risk Ratio</w:t>
            </w:r>
          </w:p>
        </w:tc>
        <w:tc>
          <w:tcPr>
            <w:tcW w:type="dxa" w:w="3264"/>
            <w:vAlign w:val="center"/>
          </w:tcPr>
          <w:p>
            <w:r/>
            <w:r>
              <w:rPr>
                <w:rFonts w:ascii="Times New Roman" w:hAnsi="Times New Roman" w:eastAsia="SimSun"/>
                <w:b w:val="0"/>
                <w:sz w:val="18"/>
              </w:rPr>
              <w:t>Natural log of Innovation-to-Risk Ratio</w:t>
            </w:r>
          </w:p>
        </w:tc>
        <w:tc>
          <w:tcPr>
            <w:tcW w:type="dxa" w:w="3264"/>
            <w:vAlign w:val="center"/>
          </w:tcPr>
          <w:p>
            <w:r/>
            <w:r>
              <w:rPr>
                <w:rFonts w:ascii="Times New Roman" w:hAnsi="Times New Roman" w:eastAsia="SimSun"/>
                <w:b w:val="0"/>
                <w:sz w:val="18"/>
              </w:rPr>
              <w:t>Modeling-friendly balance measure used in robustness checks.</w:t>
            </w:r>
          </w:p>
        </w:tc>
      </w:tr>
    </w:tbl>
    <w:p/>
    <w:p>
      <w:pPr>
        <w:pStyle w:val="Heading1"/>
      </w:pPr>
      <w:r>
        <w:rPr>
          <w:rFonts w:ascii="Times New Roman" w:hAnsi="Times New Roman" w:eastAsia="SimSun"/>
        </w:rPr>
        <w:t>8. Correlation Study and Outlier Sensitivity</w:t>
      </w:r>
    </w:p>
    <w:p>
      <w:r>
        <w:rPr>
          <w:rFonts w:ascii="Times New Roman" w:hAnsi="Times New Roman" w:eastAsia="SimSun"/>
        </w:rPr>
        <w:t>The correlation study merges AI Vibrancy, IEF, and corrected framing measures for G7 + China. Since N = 8, the results are exploratory and interpreted as directional diagnostics rather than causal tests.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Times New Roman" w:hAnsi="Times New Roman" w:eastAsia="SimSun"/>
                <w:b/>
                <w:sz w:val="18"/>
              </w:rPr>
              <w:t>Hypothesis</w:t>
            </w:r>
          </w:p>
        </w:tc>
        <w:tc>
          <w:tcPr>
            <w:tcW w:type="dxa" w:w="2448"/>
            <w:vAlign w:val="center"/>
            <w:shd w:fill="D9EAF7"/>
          </w:tcPr>
          <w:p>
            <w:r/>
            <w:r>
              <w:rPr>
                <w:rFonts w:ascii="Times New Roman" w:hAnsi="Times New Roman" w:eastAsia="SimSun"/>
                <w:b/>
                <w:sz w:val="18"/>
              </w:rPr>
              <w:t>X</w:t>
            </w:r>
          </w:p>
        </w:tc>
        <w:tc>
          <w:tcPr>
            <w:tcW w:type="dxa" w:w="2448"/>
            <w:vAlign w:val="center"/>
            <w:shd w:fill="D9EAF7"/>
          </w:tcPr>
          <w:p>
            <w:r/>
            <w:r>
              <w:rPr>
                <w:rFonts w:ascii="Times New Roman" w:hAnsi="Times New Roman" w:eastAsia="SimSun"/>
                <w:b/>
                <w:sz w:val="18"/>
              </w:rPr>
              <w:t>Y</w:t>
            </w:r>
          </w:p>
        </w:tc>
        <w:tc>
          <w:tcPr>
            <w:tcW w:type="dxa" w:w="2448"/>
            <w:vAlign w:val="center"/>
            <w:shd w:fill="D9EAF7"/>
          </w:tcPr>
          <w:p>
            <w:r/>
            <w:r>
              <w:rPr>
                <w:rFonts w:ascii="Times New Roman" w:hAnsi="Times New Roman" w:eastAsia="SimSun"/>
                <w:b/>
                <w:sz w:val="18"/>
              </w:rPr>
              <w:t>Expected direction</w:t>
            </w:r>
          </w:p>
        </w:tc>
      </w:tr>
      <w:tr>
        <w:tc>
          <w:tcPr>
            <w:tcW w:type="dxa" w:w="2448"/>
            <w:vAlign w:val="center"/>
          </w:tcPr>
          <w:p>
            <w:r/>
            <w:r>
              <w:rPr>
                <w:rFonts w:ascii="Times New Roman" w:hAnsi="Times New Roman" w:eastAsia="SimSun"/>
                <w:b w:val="0"/>
                <w:sz w:val="18"/>
              </w:rPr>
              <w:t>H1</w:t>
            </w:r>
          </w:p>
        </w:tc>
        <w:tc>
          <w:tcPr>
            <w:tcW w:type="dxa" w:w="2448"/>
            <w:vAlign w:val="center"/>
          </w:tcPr>
          <w:p>
            <w:r/>
            <w:r>
              <w:rPr>
                <w:rFonts w:ascii="Times New Roman" w:hAnsi="Times New Roman" w:eastAsia="SimSun"/>
                <w:b w:val="0"/>
                <w:sz w:val="18"/>
              </w:rPr>
              <w:t>AI Vibrancy Score</w:t>
            </w:r>
          </w:p>
        </w:tc>
        <w:tc>
          <w:tcPr>
            <w:tcW w:type="dxa" w:w="2448"/>
            <w:vAlign w:val="center"/>
          </w:tcPr>
          <w:p>
            <w:r/>
            <w:r>
              <w:rPr>
                <w:rFonts w:ascii="Times New Roman" w:hAnsi="Times New Roman" w:eastAsia="SimSun"/>
                <w:b w:val="0"/>
                <w:sz w:val="18"/>
              </w:rPr>
              <w:t>Innovation Share</w:t>
            </w:r>
          </w:p>
        </w:tc>
        <w:tc>
          <w:tcPr>
            <w:tcW w:type="dxa" w:w="2448"/>
            <w:vAlign w:val="center"/>
          </w:tcPr>
          <w:p>
            <w:r/>
            <w:r>
              <w:rPr>
                <w:rFonts w:ascii="Times New Roman" w:hAnsi="Times New Roman" w:eastAsia="SimSun"/>
                <w:b w:val="0"/>
                <w:sz w:val="18"/>
              </w:rPr>
              <w:t>Positive</w:t>
            </w:r>
          </w:p>
        </w:tc>
      </w:tr>
      <w:tr>
        <w:tc>
          <w:tcPr>
            <w:tcW w:type="dxa" w:w="2448"/>
            <w:vAlign w:val="center"/>
          </w:tcPr>
          <w:p>
            <w:r/>
            <w:r>
              <w:rPr>
                <w:rFonts w:ascii="Times New Roman" w:hAnsi="Times New Roman" w:eastAsia="SimSun"/>
                <w:b w:val="0"/>
                <w:sz w:val="18"/>
              </w:rPr>
              <w:t>H2</w:t>
            </w:r>
          </w:p>
        </w:tc>
        <w:tc>
          <w:tcPr>
            <w:tcW w:type="dxa" w:w="2448"/>
            <w:vAlign w:val="center"/>
          </w:tcPr>
          <w:p>
            <w:r/>
            <w:r>
              <w:rPr>
                <w:rFonts w:ascii="Times New Roman" w:hAnsi="Times New Roman" w:eastAsia="SimSun"/>
                <w:b w:val="0"/>
                <w:sz w:val="18"/>
              </w:rPr>
              <w:t>AI Vibrancy Score</w:t>
            </w:r>
          </w:p>
        </w:tc>
        <w:tc>
          <w:tcPr>
            <w:tcW w:type="dxa" w:w="2448"/>
            <w:vAlign w:val="center"/>
          </w:tcPr>
          <w:p>
            <w:r/>
            <w:r>
              <w:rPr>
                <w:rFonts w:ascii="Times New Roman" w:hAnsi="Times New Roman" w:eastAsia="SimSun"/>
                <w:b w:val="0"/>
                <w:sz w:val="18"/>
              </w:rPr>
              <w:t>Risk Share</w:t>
            </w:r>
          </w:p>
        </w:tc>
        <w:tc>
          <w:tcPr>
            <w:tcW w:type="dxa" w:w="2448"/>
            <w:vAlign w:val="center"/>
          </w:tcPr>
          <w:p>
            <w:r/>
            <w:r>
              <w:rPr>
                <w:rFonts w:ascii="Times New Roman" w:hAnsi="Times New Roman" w:eastAsia="SimSun"/>
                <w:b w:val="0"/>
                <w:sz w:val="18"/>
              </w:rPr>
              <w:t>Negative</w:t>
            </w:r>
          </w:p>
        </w:tc>
      </w:tr>
      <w:tr>
        <w:tc>
          <w:tcPr>
            <w:tcW w:type="dxa" w:w="2448"/>
            <w:vAlign w:val="center"/>
          </w:tcPr>
          <w:p>
            <w:r/>
            <w:r>
              <w:rPr>
                <w:rFonts w:ascii="Times New Roman" w:hAnsi="Times New Roman" w:eastAsia="SimSun"/>
                <w:b w:val="0"/>
                <w:sz w:val="18"/>
              </w:rPr>
              <w:t>H3</w:t>
            </w:r>
          </w:p>
        </w:tc>
        <w:tc>
          <w:tcPr>
            <w:tcW w:type="dxa" w:w="2448"/>
            <w:vAlign w:val="center"/>
          </w:tcPr>
          <w:p>
            <w:r/>
            <w:r>
              <w:rPr>
                <w:rFonts w:ascii="Times New Roman" w:hAnsi="Times New Roman" w:eastAsia="SimSun"/>
                <w:b w:val="0"/>
                <w:sz w:val="18"/>
              </w:rPr>
              <w:t>IEF Overall Score</w:t>
            </w:r>
          </w:p>
        </w:tc>
        <w:tc>
          <w:tcPr>
            <w:tcW w:type="dxa" w:w="2448"/>
            <w:vAlign w:val="center"/>
          </w:tcPr>
          <w:p>
            <w:r/>
            <w:r>
              <w:rPr>
                <w:rFonts w:ascii="Times New Roman" w:hAnsi="Times New Roman" w:eastAsia="SimSun"/>
                <w:b w:val="0"/>
                <w:sz w:val="18"/>
              </w:rPr>
              <w:t>Innovation Share</w:t>
            </w:r>
          </w:p>
        </w:tc>
        <w:tc>
          <w:tcPr>
            <w:tcW w:type="dxa" w:w="2448"/>
            <w:vAlign w:val="center"/>
          </w:tcPr>
          <w:p>
            <w:r/>
            <w:r>
              <w:rPr>
                <w:rFonts w:ascii="Times New Roman" w:hAnsi="Times New Roman" w:eastAsia="SimSun"/>
                <w:b w:val="0"/>
                <w:sz w:val="18"/>
              </w:rPr>
              <w:t>Positive</w:t>
            </w:r>
          </w:p>
        </w:tc>
      </w:tr>
      <w:tr>
        <w:tc>
          <w:tcPr>
            <w:tcW w:type="dxa" w:w="2448"/>
            <w:vAlign w:val="center"/>
          </w:tcPr>
          <w:p>
            <w:r/>
            <w:r>
              <w:rPr>
                <w:rFonts w:ascii="Times New Roman" w:hAnsi="Times New Roman" w:eastAsia="SimSun"/>
                <w:b w:val="0"/>
                <w:sz w:val="18"/>
              </w:rPr>
              <w:t>H4</w:t>
            </w:r>
          </w:p>
        </w:tc>
        <w:tc>
          <w:tcPr>
            <w:tcW w:type="dxa" w:w="2448"/>
            <w:vAlign w:val="center"/>
          </w:tcPr>
          <w:p>
            <w:r/>
            <w:r>
              <w:rPr>
                <w:rFonts w:ascii="Times New Roman" w:hAnsi="Times New Roman" w:eastAsia="SimSun"/>
                <w:b w:val="0"/>
                <w:sz w:val="18"/>
              </w:rPr>
              <w:t>Risk Share</w:t>
            </w:r>
          </w:p>
        </w:tc>
        <w:tc>
          <w:tcPr>
            <w:tcW w:type="dxa" w:w="2448"/>
            <w:vAlign w:val="center"/>
          </w:tcPr>
          <w:p>
            <w:r/>
            <w:r>
              <w:rPr>
                <w:rFonts w:ascii="Times New Roman" w:hAnsi="Times New Roman" w:eastAsia="SimSun"/>
                <w:b w:val="0"/>
                <w:sz w:val="18"/>
              </w:rPr>
              <w:t>IEF Overall Score</w:t>
            </w:r>
          </w:p>
        </w:tc>
        <w:tc>
          <w:tcPr>
            <w:tcW w:type="dxa" w:w="2448"/>
            <w:vAlign w:val="center"/>
          </w:tcPr>
          <w:p>
            <w:r/>
            <w:r>
              <w:rPr>
                <w:rFonts w:ascii="Times New Roman" w:hAnsi="Times New Roman" w:eastAsia="SimSun"/>
                <w:b w:val="0"/>
                <w:sz w:val="18"/>
              </w:rPr>
              <w:t>Negative</w:t>
            </w:r>
          </w:p>
        </w:tc>
      </w:tr>
    </w:tbl>
    <w:p/>
    <w:p>
      <w:r>
        <w:rPr>
          <w:rFonts w:ascii="Times New Roman" w:hAnsi="Times New Roman" w:eastAsia="SimSun"/>
        </w:rPr>
        <w:t>Outlier sensitivity checks are included as diagnostics. The United States is evaluated for H1/H2 because it has by far the highest AI Vibrancy score but relatively risk-conscious framing. China is evaluated for H3/H4 because it has the lowest IEF score but strongly innovation-oriented framing. These exclusions are not preferred specifications; they test sensitivity to theoretically unusual cases.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eastAsia="SimSun"/>
                <w:b/>
                <w:sz w:val="18"/>
              </w:rPr>
              <w:t>Sensitivity check</w:t>
            </w:r>
          </w:p>
        </w:tc>
        <w:tc>
          <w:tcPr>
            <w:tcW w:type="dxa" w:w="3264"/>
            <w:vAlign w:val="center"/>
            <w:shd w:fill="D9EAF7"/>
          </w:tcPr>
          <w:p>
            <w:r/>
            <w:r>
              <w:rPr>
                <w:rFonts w:ascii="Times New Roman" w:hAnsi="Times New Roman" w:eastAsia="SimSun"/>
                <w:b/>
                <w:sz w:val="18"/>
              </w:rPr>
              <w:t>Excluded case</w:t>
            </w:r>
          </w:p>
        </w:tc>
        <w:tc>
          <w:tcPr>
            <w:tcW w:type="dxa" w:w="3264"/>
            <w:vAlign w:val="center"/>
            <w:shd w:fill="D9EAF7"/>
          </w:tcPr>
          <w:p>
            <w:r/>
            <w:r>
              <w:rPr>
                <w:rFonts w:ascii="Times New Roman" w:hAnsi="Times New Roman" w:eastAsia="SimSun"/>
                <w:b/>
                <w:sz w:val="18"/>
              </w:rPr>
              <w:t>Rationale</w:t>
            </w:r>
          </w:p>
        </w:tc>
      </w:tr>
      <w:tr>
        <w:tc>
          <w:tcPr>
            <w:tcW w:type="dxa" w:w="3264"/>
            <w:vAlign w:val="center"/>
          </w:tcPr>
          <w:p>
            <w:r/>
            <w:r>
              <w:rPr>
                <w:rFonts w:ascii="Times New Roman" w:hAnsi="Times New Roman" w:eastAsia="SimSun"/>
                <w:b w:val="0"/>
                <w:sz w:val="18"/>
              </w:rPr>
              <w:t>H1/H2</w:t>
            </w:r>
          </w:p>
        </w:tc>
        <w:tc>
          <w:tcPr>
            <w:tcW w:type="dxa" w:w="3264"/>
            <w:vAlign w:val="center"/>
          </w:tcPr>
          <w:p>
            <w:r/>
            <w:r>
              <w:rPr>
                <w:rFonts w:ascii="Times New Roman" w:hAnsi="Times New Roman" w:eastAsia="SimSun"/>
                <w:b w:val="0"/>
                <w:sz w:val="18"/>
              </w:rPr>
              <w:t>United States</w:t>
            </w:r>
          </w:p>
        </w:tc>
        <w:tc>
          <w:tcPr>
            <w:tcW w:type="dxa" w:w="3264"/>
            <w:vAlign w:val="center"/>
          </w:tcPr>
          <w:p>
            <w:r/>
            <w:r>
              <w:rPr>
                <w:rFonts w:ascii="Times New Roman" w:hAnsi="Times New Roman" w:eastAsia="SimSun"/>
                <w:b w:val="0"/>
                <w:sz w:val="18"/>
              </w:rPr>
              <w:t>Highest AI Vibrancy case with comparatively risk-conscious framing; high leverage for vibrancy-framing tests.</w:t>
            </w:r>
          </w:p>
        </w:tc>
      </w:tr>
      <w:tr>
        <w:tc>
          <w:tcPr>
            <w:tcW w:type="dxa" w:w="3264"/>
            <w:vAlign w:val="center"/>
          </w:tcPr>
          <w:p>
            <w:r/>
            <w:r>
              <w:rPr>
                <w:rFonts w:ascii="Times New Roman" w:hAnsi="Times New Roman" w:eastAsia="SimSun"/>
                <w:b w:val="0"/>
                <w:sz w:val="18"/>
              </w:rPr>
              <w:t>H3/H4</w:t>
            </w:r>
          </w:p>
        </w:tc>
        <w:tc>
          <w:tcPr>
            <w:tcW w:type="dxa" w:w="3264"/>
            <w:vAlign w:val="center"/>
          </w:tcPr>
          <w:p>
            <w:r/>
            <w:r>
              <w:rPr>
                <w:rFonts w:ascii="Times New Roman" w:hAnsi="Times New Roman" w:eastAsia="SimSun"/>
                <w:b w:val="0"/>
                <w:sz w:val="18"/>
              </w:rPr>
              <w:t>China</w:t>
            </w:r>
          </w:p>
        </w:tc>
        <w:tc>
          <w:tcPr>
            <w:tcW w:type="dxa" w:w="3264"/>
            <w:vAlign w:val="center"/>
          </w:tcPr>
          <w:p>
            <w:r/>
            <w:r>
              <w:rPr>
                <w:rFonts w:ascii="Times New Roman" w:hAnsi="Times New Roman" w:eastAsia="SimSun"/>
                <w:b w:val="0"/>
                <w:sz w:val="18"/>
              </w:rPr>
              <w:t>Lowest IEF case with strongly innovation-oriented framing; high leverage for economic freedom-framing tests.</w:t>
            </w:r>
          </w:p>
        </w:tc>
      </w:tr>
    </w:tbl>
    <w:p/>
    <w:p>
      <w:pPr>
        <w:pStyle w:val="Heading1"/>
      </w:pPr>
      <w:r>
        <w:rPr>
          <w:rFonts w:ascii="Times New Roman" w:hAnsi="Times New Roman" w:eastAsia="SimSun"/>
        </w:rPr>
        <w:t>9. Reproducibility Outputs</w:t>
      </w:r>
    </w:p>
    <w:p>
      <w:pPr>
        <w:pStyle w:val="ListBullet"/>
      </w:pPr>
      <w:r>
        <w:rPr>
          <w:rFonts w:ascii="Times New Roman" w:hAnsi="Times New Roman" w:eastAsia="SimSun"/>
        </w:rPr>
        <w:t>Raw labels: outputs/deepseek_ai_framing_sentence_labels_raw_daria_stephen_no_unsure_full.csv.</w:t>
      </w:r>
    </w:p>
    <w:p>
      <w:pPr>
        <w:pStyle w:val="ListBullet"/>
      </w:pPr>
      <w:r>
        <w:rPr>
          <w:rFonts w:ascii="Times New Roman" w:hAnsi="Times New Roman" w:eastAsia="SimSun"/>
        </w:rPr>
        <w:t>Corrected labels: outputs/deepseek_ai_framing_sentence_labels_corrected_daria_stephen_no_unsure_full.csv.</w:t>
      </w:r>
    </w:p>
    <w:p>
      <w:pPr>
        <w:pStyle w:val="ListBullet"/>
      </w:pPr>
      <w:r>
        <w:rPr>
          <w:rFonts w:ascii="Times New Roman" w:hAnsi="Times New Roman" w:eastAsia="SimSun"/>
        </w:rPr>
        <w:t>Country framing summary: outputs/deepseek_ai_framing_summary_corrected_daria_stephen_no_unsure_full.csv.</w:t>
      </w:r>
    </w:p>
    <w:p>
      <w:pPr>
        <w:pStyle w:val="ListBullet"/>
      </w:pPr>
      <w:r>
        <w:rPr>
          <w:rFonts w:ascii="Times New Roman" w:hAnsi="Times New Roman" w:eastAsia="SimSun"/>
        </w:rPr>
        <w:t>Correlation dataset: outputs/correlation_study_dataset_deepseek_corrected_daria_stephen_no_unsure_full.csv.</w:t>
      </w:r>
    </w:p>
    <w:p>
      <w:pPr>
        <w:pStyle w:val="ListBullet"/>
      </w:pPr>
      <w:r>
        <w:rPr>
          <w:rFonts w:ascii="Times New Roman" w:hAnsi="Times New Roman" w:eastAsia="SimSun"/>
        </w:rPr>
        <w:t>Outlier sensitivity results: outputs/correlation_study_outlier_sensitivity_deepseek_corrected_daria_stephen_no_unsure_full.csv.</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