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Results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AI Vibrancy, Economic Freedom, Framing, and Correlation Findings</w:t>
      </w:r>
    </w:p>
    <w:p/>
    <w:p>
      <w:pPr>
        <w:pStyle w:val="Heading1"/>
      </w:pPr>
      <w:r>
        <w:rPr>
          <w:rFonts w:ascii="Times New Roman" w:hAnsi="Times New Roman" w:eastAsia="SimSun"/>
        </w:rPr>
        <w:t>1. Executive Summary of Findings</w:t>
      </w:r>
    </w:p>
    <w:p>
      <w:pPr>
        <w:pStyle w:val="ListBullet"/>
      </w:pPr>
      <w:r>
        <w:rPr>
          <w:rFonts w:ascii="Times New Roman" w:hAnsi="Times New Roman" w:eastAsia="SimSun"/>
        </w:rPr>
        <w:t>The full G7 + China correlation sample does not support H1-H4: AI Vibrancy and Economic Freedom do not map cleanly onto innovation- or risk-oriented AI policy rhetoric.</w:t>
      </w:r>
    </w:p>
    <w:p>
      <w:pPr>
        <w:pStyle w:val="ListBullet"/>
      </w:pPr>
      <w:r>
        <w:rPr>
          <w:rFonts w:ascii="Times New Roman" w:hAnsi="Times New Roman" w:eastAsia="SimSun"/>
        </w:rPr>
        <w:t>AI Vibrancy is highly uneven: the United States is a clear leader, followed by China, while other G7 countries form a tighter cluster.</w:t>
      </w:r>
    </w:p>
    <w:p>
      <w:pPr>
        <w:pStyle w:val="ListBullet"/>
      </w:pPr>
      <w:r>
        <w:rPr>
          <w:rFonts w:ascii="Times New Roman" w:hAnsi="Times New Roman" w:eastAsia="SimSun"/>
        </w:rPr>
        <w:t>Economic Freedom separates China from the G7 more clearly than it separates G7 countries from each other.</w:t>
      </w:r>
    </w:p>
    <w:p>
      <w:pPr>
        <w:pStyle w:val="ListBullet"/>
      </w:pPr>
      <w:r>
        <w:rPr>
          <w:rFonts w:ascii="Times New Roman" w:hAnsi="Times New Roman" w:eastAsia="SimSun"/>
        </w:rPr>
        <w:t>Most policy documents are more innovation-oriented than risk-oriented, but the United States and Canada are more balanced/risk-conscious than China, France, and the United Kingdom.</w:t>
      </w:r>
    </w:p>
    <w:p>
      <w:pPr>
        <w:pStyle w:val="ListBullet"/>
      </w:pPr>
      <w:r>
        <w:rPr>
          <w:rFonts w:ascii="Times New Roman" w:hAnsi="Times New Roman" w:eastAsia="SimSun"/>
        </w:rPr>
        <w:t>Outlier sensitivity checks show that the United States and China are theoretically important cases: the United States is high-vibrancy but risk-conscious, while China is low-IEF but strongly innovation-oriented.</w:t>
      </w:r>
    </w:p>
    <w:p>
      <w:pPr>
        <w:pStyle w:val="Heading1"/>
      </w:pPr>
      <w:r>
        <w:rPr>
          <w:rFonts w:ascii="Times New Roman" w:hAnsi="Times New Roman" w:eastAsia="SimSun"/>
        </w:rPr>
        <w:t>2. AI Vibrancy Results</w:t>
      </w:r>
    </w:p>
    <w:p>
      <w:r>
        <w:rPr>
          <w:rFonts w:ascii="Times New Roman" w:hAnsi="Times New Roman" w:eastAsia="SimSun"/>
        </w:rPr>
        <w:t>The United States leads AI Vibrancy by a large margin, followed by China. This uneven distribution makes the United States a high-leverage case in AI Vibrancy correlation tests.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303520" cy="237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ford_AI_Vibra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1. Stanford AI Vibrancy total score ranking.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4937760" cy="3857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ford_AI_Vibrancy_component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5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2. AI Vibrancy component radar.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Rank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Country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AI Vibrancy Score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States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77.85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China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35.10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Kingdom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20.06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Japan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17.70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France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16.62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Canada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15.46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Italy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13.18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Germany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12.35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SimSun"/>
        </w:rPr>
        <w:t>3. Economic Freedom Results</w:t>
      </w:r>
    </w:p>
    <w:p>
      <w:r>
        <w:rPr>
          <w:rFonts w:ascii="Times New Roman" w:hAnsi="Times New Roman" w:eastAsia="SimSun"/>
        </w:rPr>
        <w:t>Canada, the United States, Germany, the United Kingdom, and Japan score relatively high on the 2026 IEF Overall Score. China is substantially lower, making it a key contrast case for the economic freedom hypotheses.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303520" cy="237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F_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3. 2026 Index of Economic Freedom ranking.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760720" cy="2630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F_score_by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4. IEF Overall Score trajectories, 1995-2026.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Rank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Country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2026 IEF Overall Score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Canada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75.6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States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72.8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Germany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71.7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Kingdom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70.4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Japan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70.3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France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64.6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Italy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63.3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China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48.3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SimSun"/>
        </w:rPr>
        <w:t>4. Corrected Framing Results</w:t>
      </w:r>
    </w:p>
    <w:p>
      <w:r>
        <w:rPr>
          <w:rFonts w:ascii="Times New Roman" w:hAnsi="Times New Roman" w:eastAsia="SimSun"/>
        </w:rPr>
        <w:t>The corrected DeepSeek run contains 3,730 sentences across nine countries/entities. China, France, and the United Kingdom show the strongest innovation-oriented framing. Canada and the United States have the lowest mean framing scores, indicating more balanced or risk-conscious rhetoric.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760720" cy="2256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_ai_framing_country_summary_corrected_daria_stephen_no_unsure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5. Corrected label composition and mean framing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Country/entity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Sentences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Innovation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Risk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Mean score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Innovation/Risk ratio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China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241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167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23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0.598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7.128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France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215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130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0.577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20.077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Kingdom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372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233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0.575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11.974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Japan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176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96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35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0.347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2.718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European Union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1137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499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140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0.316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3.555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Italy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440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190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0.295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3.149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Germany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462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215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0.294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2.711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States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381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167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101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0.173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1.650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Canada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306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105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78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0.088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1.344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SimSun"/>
        </w:rPr>
        <w:t>5. Full-Sample Correlation Results</w:t>
      </w:r>
    </w:p>
    <w:p>
      <w:r>
        <w:rPr>
          <w:rFonts w:ascii="Times New Roman" w:hAnsi="Times New Roman" w:eastAsia="SimSun"/>
        </w:rPr>
        <w:t>The main H1-H4 tests use the full G7 + China sample. Results do not support the expected directions. Because N = 8, p-values should not be treated as confirmatory.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943600" cy="454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tudy_scatter_deepseek_corrected_daria_stephen_no_unsure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6. Full-sample H1-H4 correlation scatter plots.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212080" cy="42830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tudy_matrix_deepseek_corrected_daria_stephen_no_unsure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8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7. Pearson correlation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Hypothesis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X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Y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Pearson r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p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Support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H1: Vibrancy -&gt; innovation framing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AI Vibrancy Score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Innovation Share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-0.030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0.9429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H2: Lower vibrancy -&gt; risk framing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AI Vibrancy Score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Risk Share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0.407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0.3172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H3: IEF -&gt; innovation framing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IEF Overall Score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Innovation Share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-0.689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0.0589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H4: Risk framing -&gt; lower IEF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Risk Share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IEF Overall Score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0.534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0.1728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SimSun"/>
        </w:rPr>
        <w:t>6. Outlier Sensitivity Results</w:t>
      </w:r>
    </w:p>
    <w:p>
      <w:r>
        <w:rPr>
          <w:rFonts w:ascii="Times New Roman" w:hAnsi="Times New Roman" w:eastAsia="SimSun"/>
        </w:rPr>
        <w:t>Outlier sensitivity checks evaluate whether theoretically unusual cases drive the correlations. The United States is excluded for H1/H2; China is excluded for H3/H4.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943600" cy="45506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tudy_scatter_outlier_excluded_deepseek_corrected_daria_stephen_no_unsure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8. Outlier-excluded H1-H4 scatter plots.</w:t>
      </w:r>
    </w:p>
    <w:p>
      <w:pPr>
        <w:jc w:val="center"/>
      </w:pPr>
      <w:r>
        <w:rPr>
          <w:rFonts w:ascii="Times New Roman" w:hAnsi="Times New Roman" w:eastAsia="SimSun"/>
        </w:rPr>
        <w:drawing>
          <wp:inline xmlns:a="http://schemas.openxmlformats.org/drawingml/2006/main" xmlns:pic="http://schemas.openxmlformats.org/drawingml/2006/picture">
            <wp:extent cx="5486400" cy="2713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tudy_outlier_sensitivity_plot_deepseek_corrected_daria_stephen_no_unsure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Figure 9. Full-sample versus outlier-excluded Pearson correlations.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Test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Excluded case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Full r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Sensitivity r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Interpretation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States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-0.030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0.737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H1 becomes strongly positive without the high-vibrancy, risk-conscious U.S. case.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United States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0.407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-0.326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Direction flips to expected negative relationship, but remains weak.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H3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China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-0.689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-0.430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Negative relationship weakens but still does not support H3.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H4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China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0.534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0.687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Relationship remains opposite to H4 and becomes stronger.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SimSun"/>
        </w:rPr>
        <w:t>7. Regression and Mediation Diagnostics</w:t>
      </w:r>
    </w:p>
    <w:p>
      <w:r>
        <w:rPr>
          <w:rFonts w:ascii="Times New Roman" w:hAnsi="Times New Roman" w:eastAsia="SimSun"/>
        </w:rPr>
        <w:t>Regression models are descriptive diagnostics. The combined model predicting log innovation-to-risk ratio from AI Vibrancy and IEF has R2 = 0.298, but with only eight observations this should be interpreted cautiously.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Model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Term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Coefficient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p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18"/>
              </w:rPr>
              <w:t>R2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Combined: Log ratio ~ AI vibrancy + IEF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Intercept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5.2952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0.1225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0.298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Combined: Log ratio ~ AI vibrancy + IEF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AI Vibrancy Score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-0.0115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0.5119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0.298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Combined: Log ratio ~ AI vibrancy + IEF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IEF Overall Score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-0.0532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0.2580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0.298</w:t>
            </w:r>
          </w:p>
        </w:tc>
      </w:tr>
    </w:tbl>
    <w:p/>
    <w:p>
      <w:r>
        <w:rPr>
          <w:rFonts w:ascii="Times New Roman" w:hAnsi="Times New Roman" w:eastAsia="SimSun"/>
        </w:rPr>
        <w:t>The mediation diagnostic estimates an indirect effect of 0.0545, with a bootstrap 95% CI from -1.1090 to 0.3073. This is retained as a mechanism check only, not as evidence of causal mediation.</w:t>
      </w:r>
    </w:p>
    <w:p>
      <w:pPr>
        <w:pStyle w:val="Heading1"/>
      </w:pPr>
      <w:r>
        <w:rPr>
          <w:rFonts w:ascii="Times New Roman" w:hAnsi="Times New Roman" w:eastAsia="SimSun"/>
        </w:rPr>
        <w:t>8. Interpretation</w:t>
      </w:r>
    </w:p>
    <w:p>
      <w:r>
        <w:rPr>
          <w:rFonts w:ascii="Times New Roman" w:hAnsi="Times New Roman" w:eastAsia="SimSun"/>
        </w:rPr>
        <w:t>The results suggest that AI policy rhetoric is not simply a reflection of AI ecosystem capacity or economic freedom. The United States and China complicate simple linear expectations: the United States combines high AI capacity with relatively risk-conscious discourse, while China combines low economic freedom with strongly innovation-oriented framing. This points toward a broader interpretation in which national AI rhetoric is shaped by strategic state priorities, governance traditions, geopolitical positioning, and document purpose.</w:t>
      </w:r>
    </w:p>
    <w:p>
      <w:r>
        <w:rPr>
          <w:rFonts w:ascii="Times New Roman" w:hAnsi="Times New Roman" w:eastAsia="SimSun"/>
        </w:rPr>
        <w:t>The main policy takeaway is negative but informative: analysts should not infer AI regulatory orientation from macro-level AI capacity or economic openness alone. Direct text analysis remains necessary to understand the policy narrative each government is constructing.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