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
        <w:rPr>
          <w:rFonts w:ascii="Helvetica Neue Light" w:hAnsi="Helvetica Neue Light"/>
          <w:color w:val="5B7085"/>
          <w:sz w:val="44"/>
        </w:rPr>
        <w:t>DGOP</w:t>
      </w:r>
    </w:p>
    <w:p w14:paraId="0000000A">
      <w:pPr>
        <w:pStyle w:val="Title"/>
        <w:spacing w:line="240" w:lineRule="auto"/>
        <w:rPr>
          <w:rFonts w:ascii="Helvetica Neue" w:cs="Helvetica Neue" w:eastAsia="Helvetica Neue" w:hAnsi="Helvetica Neue"/>
          <w:sz w:val="72"/>
          <w:szCs w:val="72"/>
        </w:rPr>
      </w:pPr>
      <w:r/>
      <w:r>
        <w:rPr>
          <w:rFonts w:ascii="Helvetica Neue" w:hAnsi="Helvetica Neue"/>
          <w:b/>
          <w:color w:val="082A4A"/>
          <w:sz w:val="42"/>
        </w:rPr>
        <w:t>System Design and Feature Structure</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vAlign w:val="center"/>
            <w:shd w:fill="FFFFFF"/>
            <w:tcBorders>
              <w:top w:val="single" w:sz="0" w:space="0" w:color="FFFFFF"/>
              <w:left w:val="single" w:sz="0" w:space="0" w:color="FFFFFF"/>
              <w:bottom w:val="single" w:sz="0" w:space="0" w:color="FFFFFF"/>
              <w:right w:val="single" w:sz="0" w:space="0" w:color="FFFFFF"/>
            </w:tcBorders>
          </w:tcPr>
          <w:p>
            <w:pPr>
              <w:spacing w:after="0" w:line="252" w:lineRule="auto"/>
            </w:pPr>
            <w:r>
              <w:rPr>
                <w:rFonts w:ascii="Helvetica Neue" w:hAnsi="Helvetica Neue"/>
                <w:b/>
                <w:color w:val="082A4A"/>
                <w:sz w:val="15"/>
              </w:rPr>
              <w:t>STATUS</w:t>
              <w:br/>
              <w:t>Engineering Baseline</w:t>
            </w:r>
          </w:p>
        </w:tc>
        <w:tc>
          <w:tcPr>
            <w:shd w:fill="FFFFFF"/>
            <w:tcBorders>
              <w:top w:val="single" w:sz="0" w:space="0" w:color="FFFFFF"/>
              <w:left w:val="single" w:sz="0" w:space="0" w:color="FFFFFF"/>
              <w:bottom w:val="single" w:sz="0" w:space="0" w:color="FFFFFF"/>
              <w:right w:val="single" w:sz="0" w:space="0" w:color="FFFFFF"/>
            </w:tcBorders>
          </w:tcPr>
          <w:p/>
        </w:tc>
        <w:tc>
          <w:tcPr>
            <w:vAlign w:val="center"/>
            <w:shd w:fill="FFFFFF"/>
            <w:tcBorders>
              <w:top w:val="single" w:sz="0" w:space="0" w:color="FFFFFF"/>
              <w:left w:val="single" w:sz="0" w:space="0" w:color="FFFFFF"/>
              <w:bottom w:val="single" w:sz="0" w:space="0" w:color="FFFFFF"/>
              <w:right w:val="single" w:sz="0" w:space="0" w:color="FFFFFF"/>
            </w:tcBorders>
          </w:tcPr>
          <w:p>
            <w:pPr>
              <w:spacing w:after="0" w:line="252" w:lineRule="auto"/>
            </w:pPr>
            <w:r>
              <w:rPr>
                <w:rFonts w:ascii="Helvetica Neue" w:hAnsi="Helvetica Neue"/>
                <w:b/>
                <w:color w:val="082A4A"/>
                <w:sz w:val="15"/>
              </w:rPr>
              <w:t>OWNER</w:t>
              <w:br/>
              <w:t>DGOP Product &amp; Engineering</w:t>
            </w:r>
          </w:p>
        </w:tc>
        <w:tc>
          <w:tcPr>
            <w:shd w:fill="FFFFFF"/>
            <w:tcBorders>
              <w:top w:val="single" w:sz="0" w:space="0" w:color="FFFFFF"/>
              <w:left w:val="single" w:sz="0" w:space="0" w:color="FFFFFF"/>
              <w:bottom w:val="single" w:sz="0" w:space="0" w:color="FFFFFF"/>
              <w:right w:val="single" w:sz="0" w:space="0" w:color="FFFFFF"/>
            </w:tcBorders>
          </w:tcPr>
          <w:p/>
        </w:tc>
        <w:tc>
          <w:tcPr>
            <w:vAlign w:val="center"/>
            <w:shd w:fill="FFFFFF"/>
            <w:tcBorders>
              <w:top w:val="single" w:sz="0" w:space="0" w:color="FFFFFF"/>
              <w:left w:val="single" w:sz="0" w:space="0" w:color="FFFFFF"/>
              <w:bottom w:val="single" w:sz="0" w:space="0" w:color="FFFFFF"/>
              <w:right w:val="single" w:sz="0" w:space="0" w:color="FFFFFF"/>
            </w:tcBorders>
          </w:tcPr>
          <w:p>
            <w:pPr>
              <w:spacing w:after="0" w:line="252" w:lineRule="auto"/>
            </w:pPr>
            <w:r>
              <w:rPr>
                <w:rFonts w:ascii="Helvetica Neue" w:hAnsi="Helvetica Neue"/>
                <w:b/>
                <w:color w:val="082A4A"/>
                <w:sz w:val="15"/>
              </w:rPr>
              <w:t>LAST UPDATED</w:t>
              <w:br/>
              <w:t>July 29,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autofit"/>
        <w:tblLook w:val="0400"/>
      </w:tblPr>
      <w:tblGrid>
        <w:gridCol w:w="1815"/>
        <w:gridCol w:w="8340"/>
        <w:tblGridChange w:id="0">
          <w:tblGrid>
            <w:gridCol w:w="1815"/>
            <w:gridCol w:w="8340"/>
          </w:tblGrid>
        </w:tblGridChange>
      </w:tblGrid>
      <w:tr>
        <w:trPr>
          <w:cantSplit w:val="1"/>
          <w:tblHeader w:val="0"/>
        </w:trPr>
        <w:tc>
          <w:tcPr>
            <w:shd w:fill="D4E7F5" w:val="clear"/>
            <w:tcMar>
              <w:top w:w="80" w:type="dxa"/>
              <w:left w:w="120.0" w:type="dxa"/>
              <w:bottom w:w="80" w:type="dxa"/>
              <w:right w:w="120.0" w:type="dxa"/>
              <w:start w:w="90" w:type="dxa"/>
              <w:end w:w="90" w:type="dxa"/>
            </w:tcMar>
            <w:vAlign w:val="center"/>
            <w:tcBorders>
              <w:top w:val="single" w:sz="6" w:space="0" w:color="D6E2EA"/>
              <w:left w:val="single" w:sz="6" w:space="0" w:color="D6E2EA"/>
              <w:bottom w:val="single" w:sz="6" w:space="0" w:color="D6E2EA"/>
              <w:right w:val="single" w:sz="6" w:space="0" w:color="D6E2EA"/>
            </w:tcBorders>
          </w:tcPr>
          <w:p>
            <w:pPr>
              <w:spacing w:after="0" w:line="252" w:lineRule="auto"/>
            </w:pPr>
            <w:r>
              <w:rPr>
                <w:rFonts w:ascii="Helvetica Neue" w:hAnsi="Helvetica Neue"/>
                <w:b/>
                <w:color w:val="082A4A"/>
                <w:sz w:val="15"/>
              </w:rPr>
              <w:t>Authors</w:t>
            </w:r>
          </w:p>
        </w:tc>
        <w:tc>
          <w:tcPr>
            <w:tcBorders>
              <w:top w:color="D6E2EA" w:space="0" w:sz="6" w:val="single"/>
              <w:bottom w:color="D6E2EA" w:space="0" w:sz="6" w:val="single"/>
              <w:right w:color="D6E2EA" w:space="0" w:sz="6" w:val="single"/>
              <w:left w:val="single" w:sz="6" w:space="0" w:color="D6E2EA"/>
            </w:tcBorders>
            <w:shd w:fill="F5F9FC" w:val="clear"/>
            <w:tcMar>
              <w:top w:w="80" w:type="dxa"/>
              <w:left w:w="120.0" w:type="dxa"/>
              <w:bottom w:w="80" w:type="dxa"/>
              <w:right w:w="120.0" w:type="dxa"/>
              <w:start w:w="90" w:type="dxa"/>
              <w:end w:w="90" w:type="dxa"/>
            </w:tcMar>
            <w:vAlign w:val="center"/>
          </w:tcPr>
          <w:p>
            <w:pPr>
              <w:spacing w:after="0" w:line="252" w:lineRule="auto"/>
            </w:pPr>
            <w:r>
              <w:rPr>
                <w:rFonts w:ascii="Helvetica Neue" w:hAnsi="Helvetica Neue"/>
                <w:b/>
                <w:color w:val="082A4A"/>
                <w:sz w:val="15"/>
              </w:rPr>
              <w:t>Codex, acting as senior software engineer documentation support</w:t>
            </w:r>
          </w:p>
        </w:tc>
      </w:tr>
      <w:tr>
        <w:trPr>
          <w:cantSplit w:val="1"/>
          <w:trHeight w:val="404.3103027343749" w:hRule="atLeast"/>
          <w:tblHeader w:val="0"/>
        </w:trPr>
        <w:tc>
          <w:tcPr>
            <w:shd w:fill="D4E7F5" w:val="clear"/>
            <w:tcMar>
              <w:top w:w="80" w:type="dxa"/>
              <w:left w:w="120.0" w:type="dxa"/>
              <w:bottom w:w="80" w:type="dxa"/>
              <w:right w:w="120.0" w:type="dxa"/>
              <w:start w:w="90" w:type="dxa"/>
              <w:end w:w="90" w:type="dxa"/>
            </w:tcMar>
            <w:vAlign w:val="center"/>
            <w:tcBorders>
              <w:top w:val="single" w:sz="6" w:space="0" w:color="D6E2EA"/>
              <w:left w:val="single" w:sz="6" w:space="0" w:color="D6E2EA"/>
              <w:bottom w:val="single" w:sz="6" w:space="0" w:color="D6E2EA"/>
              <w:right w:val="single" w:sz="6" w:space="0" w:color="D6E2EA"/>
            </w:tcBorders>
          </w:tcPr>
          <w:p>
            <w:pPr>
              <w:spacing w:after="0" w:line="252" w:lineRule="auto"/>
            </w:pPr>
            <w:r>
              <w:rPr>
                <w:rFonts w:ascii="Helvetica Neue" w:hAnsi="Helvetica Neue"/>
                <w:b/>
                <w:color w:val="0B1720"/>
                <w:sz w:val="15"/>
              </w:rPr>
              <w:t>Reviewers</w:t>
            </w:r>
          </w:p>
        </w:tc>
        <w:tc>
          <w:tcPr>
            <w:tcBorders>
              <w:top w:color="D6E2EA" w:space="0" w:sz="6" w:val="single"/>
              <w:bottom w:color="D6E2EA" w:space="0" w:sz="6" w:val="single"/>
              <w:right w:color="D6E2EA" w:space="0" w:sz="6" w:val="single"/>
              <w:left w:val="single" w:sz="6" w:space="0" w:color="D6E2EA"/>
            </w:tcBorders>
            <w:shd w:fill="F5F9FC" w:val="clear"/>
            <w:tcMar>
              <w:top w:w="80" w:type="dxa"/>
              <w:left w:w="120.0" w:type="dxa"/>
              <w:bottom w:w="80" w:type="dxa"/>
              <w:right w:w="120.0" w:type="dxa"/>
              <w:start w:w="90" w:type="dxa"/>
              <w:end w:w="90" w:type="dxa"/>
            </w:tcMar>
            <w:vAlign w:val="center"/>
          </w:tcPr>
          <w:p>
            <w:pPr>
              <w:spacing w:after="0" w:line="252" w:lineRule="auto"/>
            </w:pPr>
            <w:r>
              <w:rPr>
                <w:rFonts w:ascii="Helvetica Neue" w:hAnsi="Helvetica Neue"/>
                <w:b w:val="0"/>
                <w:color w:val="0B1720"/>
                <w:sz w:val="15"/>
              </w:rPr>
              <w:t>DGOP product, senior data governance, security, and engineering reviewers</w:t>
            </w:r>
          </w:p>
        </w:tc>
      </w:tr>
      <w:tr>
        <w:trPr>
          <w:cantSplit w:val="1"/>
          <w:tblHeader w:val="0"/>
        </w:trPr>
        <w:tc>
          <w:tcPr>
            <w:shd w:fill="D4E7F5" w:val="clear"/>
            <w:tcMar>
              <w:top w:w="80" w:type="dxa"/>
              <w:left w:w="120.0" w:type="dxa"/>
              <w:bottom w:w="80" w:type="dxa"/>
              <w:right w:w="120.0" w:type="dxa"/>
              <w:start w:w="90" w:type="dxa"/>
              <w:end w:w="90" w:type="dxa"/>
            </w:tcMar>
            <w:vAlign w:val="center"/>
            <w:tcBorders>
              <w:top w:val="single" w:sz="6" w:space="0" w:color="D6E2EA"/>
              <w:left w:val="single" w:sz="6" w:space="0" w:color="D6E2EA"/>
              <w:bottom w:val="single" w:sz="6" w:space="0" w:color="D6E2EA"/>
              <w:right w:val="single" w:sz="6" w:space="0" w:color="D6E2EA"/>
            </w:tcBorders>
          </w:tcPr>
          <w:p>
            <w:pPr>
              <w:spacing w:after="0" w:line="252" w:lineRule="auto"/>
            </w:pPr>
            <w:r>
              <w:rPr>
                <w:rFonts w:ascii="Helvetica Neue" w:hAnsi="Helvetica Neue"/>
                <w:b/>
                <w:color w:val="0B1720"/>
                <w:sz w:val="15"/>
              </w:rPr>
              <w:t>Related docs</w:t>
            </w:r>
          </w:p>
        </w:tc>
        <w:tc>
          <w:tcPr>
            <w:tcBorders>
              <w:top w:color="D6E2EA" w:space="0" w:sz="6" w:val="single"/>
              <w:bottom w:color="D6E2EA" w:space="0" w:sz="6" w:val="single"/>
              <w:right w:color="D6E2EA" w:space="0" w:sz="6" w:val="single"/>
              <w:left w:val="single" w:sz="6" w:space="0" w:color="D6E2EA"/>
            </w:tcBorders>
            <w:shd w:fill="F5F9FC" w:val="clear"/>
            <w:tcMar>
              <w:top w:w="80" w:type="dxa"/>
              <w:left w:w="120.0" w:type="dxa"/>
              <w:bottom w:w="80" w:type="dxa"/>
              <w:right w:w="120.0" w:type="dxa"/>
              <w:start w:w="90" w:type="dxa"/>
              <w:end w:w="90" w:type="dxa"/>
            </w:tcMar>
            <w:vAlign w:val="center"/>
          </w:tcPr>
          <w:p>
            <w:pPr>
              <w:spacing w:after="0" w:line="252" w:lineRule="auto"/>
            </w:pPr>
            <w:r>
              <w:rPr>
                <w:rFonts w:ascii="Helvetica Neue" w:hAnsi="Helvetica Neue"/>
                <w:b w:val="0"/>
                <w:color w:val="0B1720"/>
                <w:sz w:val="15"/>
              </w:rPr>
              <w:t>README.md; apps/api/prisma/schema.prisma; apps/web/src/app/app.routes.ts; apps/web/src/app/layout/navigation.ts; QA/ENTERPRISE_READINESS_0_43.md</w:t>
            </w:r>
          </w:p>
        </w:tc>
      </w:tr>
      <w:tr>
        <w:trPr>
          <w:cantSplit w:val="1"/>
          <w:tblHeader w:val="0"/>
        </w:trPr>
        <w:tc>
          <w:tcPr>
            <w:shd w:fill="D4E7F5" w:val="clear"/>
            <w:tcMar>
              <w:top w:w="80" w:type="dxa"/>
              <w:left w:w="120.0" w:type="dxa"/>
              <w:bottom w:w="80" w:type="dxa"/>
              <w:right w:w="120.0" w:type="dxa"/>
              <w:start w:w="90" w:type="dxa"/>
              <w:end w:w="90" w:type="dxa"/>
            </w:tcMar>
            <w:vAlign w:val="center"/>
            <w:tcBorders>
              <w:top w:val="single" w:sz="6" w:space="0" w:color="D6E2EA"/>
              <w:left w:val="single" w:sz="6" w:space="0" w:color="D6E2EA"/>
              <w:bottom w:val="single" w:sz="6" w:space="0" w:color="D6E2EA"/>
              <w:right w:val="single" w:sz="6" w:space="0" w:color="D6E2EA"/>
            </w:tcBorders>
          </w:tcPr>
          <w:p>
            <w:pPr>
              <w:spacing w:after="0" w:line="252" w:lineRule="auto"/>
            </w:pPr>
            <w:r>
              <w:rPr>
                <w:rFonts w:ascii="Helvetica Neue" w:hAnsi="Helvetica Neue"/>
                <w:b/>
                <w:color w:val="0B1720"/>
                <w:sz w:val="15"/>
              </w:rPr>
              <w:t>Scope</w:t>
            </w:r>
          </w:p>
        </w:tc>
        <w:tc>
          <w:tcPr>
            <w:tcBorders>
              <w:top w:color="D6E2EA" w:space="0" w:sz="6" w:val="single"/>
              <w:bottom w:color="D6E2EA" w:space="0" w:sz="6" w:val="single"/>
              <w:right w:color="D6E2EA" w:space="0" w:sz="6" w:val="single"/>
              <w:left w:val="single" w:sz="6" w:space="0" w:color="D6E2EA"/>
            </w:tcBorders>
            <w:shd w:fill="F5F9FC" w:val="clear"/>
            <w:tcMar>
              <w:top w:w="80" w:type="dxa"/>
              <w:left w:w="120.0" w:type="dxa"/>
              <w:bottom w:w="80" w:type="dxa"/>
              <w:right w:w="120.0" w:type="dxa"/>
              <w:start w:w="90" w:type="dxa"/>
              <w:end w:w="90" w:type="dxa"/>
            </w:tcMar>
            <w:vAlign w:val="center"/>
          </w:tcPr>
          <w:p>
            <w:pPr>
              <w:spacing w:after="0" w:line="252" w:lineRule="auto"/>
            </w:pPr>
            <w:r>
              <w:rPr>
                <w:rFonts w:ascii="Helvetica Neue" w:hAnsi="Helvetica Neue"/>
                <w:b w:val="0"/>
                <w:color w:val="0B1720"/>
                <w:sz w:val="15"/>
              </w:rPr>
              <w:t>Explains the DGOP monorepo structure, runtime architecture, feature engines, governance workflows, security model, and operational readiness gates.</w:t>
            </w:r>
          </w:p>
        </w:tc>
      </w:tr>
    </w:tbl>
    <w:p>
      <w:pPr>
        <w:pStyle w:val="Heading1"/>
        <w:spacing w:before="240" w:after="120"/>
      </w:pPr>
      <w:r>
        <w:rPr>
          <w:rFonts w:ascii="Helvetica Neue" w:hAnsi="Helvetica Neue"/>
          <w:b/>
          <w:color w:val="082A4A"/>
          <w:sz w:val="27"/>
        </w:rPr>
        <w:t>1.  Abstract</w:t>
      </w:r>
    </w:p>
    <w:p>
      <w:pPr>
        <w:spacing w:after="120" w:line="259" w:lineRule="auto"/>
      </w:pPr>
      <w:r>
        <w:rPr>
          <w:rFonts w:ascii="Helvetica Neue" w:hAnsi="Helvetica Neue"/>
          <w:color w:val="1D2F3D"/>
          <w:sz w:val="18"/>
        </w:rPr>
        <w:t>DGOP is an authenticated Data Governance Operations Platform that turns enterprise governance work into operational queues, governed records, workflow cases, evidence trails, and executive-readable dashboards. It is built as a local monorepo with an Angular web console, a NestJS API, Prisma-managed PostgreSQL persistence, and dedicated governance engines for ownership, workflow, data quality, security, compliance evidence, open data, FOI, privacy, data sharing, search, integrations, training, reporting, and release readiness.</w:t>
      </w:r>
    </w:p>
    <w:p>
      <w:pPr>
        <w:spacing w:after="120" w:line="259" w:lineRule="auto"/>
      </w:pPr>
      <w:r>
        <w:rPr>
          <w:rFonts w:ascii="Helvetica Neue" w:hAnsi="Helvetica Neue"/>
          <w:color w:val="1D2F3D"/>
          <w:sz w:val="18"/>
        </w:rPr>
        <w:t>The design prioritizes integrity and auditability. User actions enter through permission-aware Angular routes, pass through API authentication and authorization guards, run service-level validation and data-scope checks, then persist through transactional Prisma writes. Important actions can create workflow cases, audit events, search index changes, notifications, or evidence records before the UI refreshes the relevant work queue.</w:t>
      </w:r>
    </w:p>
    <w:p>
      <w:pPr>
        <w:pStyle w:val="Heading1"/>
        <w:spacing w:before="240" w:after="120"/>
      </w:pPr>
      <w:r>
        <w:rPr>
          <w:rFonts w:ascii="Helvetica Neue" w:hAnsi="Helvetica Neue"/>
          <w:b/>
          <w:color w:val="082A4A"/>
          <w:sz w:val="27"/>
        </w:rPr>
        <w:t>2.  Goals and Non-Goals</w:t>
      </w:r>
    </w:p>
    <w:tbl>
      <w:tblPr>
        <w:tblW w:type="auto" w:w="0"/>
        <w:jc w:val="center"/>
        <w:tblLayout w:type="autofit"/>
        <w:tblLook w:firstColumn="1" w:firstRow="1" w:lastColumn="0" w:lastRow="0" w:noHBand="0" w:noVBand="1" w:val="04A0"/>
      </w:tblPr>
      <w:tblGrid>
        <w:gridCol w:w="5112"/>
        <w:gridCol w:w="5112"/>
      </w:tblGrid>
      <w:tr>
        <w:tc>
          <w:tcPr>
            <w:tcW w:type="dxa" w:w="5112"/>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5"/>
              </w:rPr>
              <w:t>Goals</w:t>
            </w:r>
          </w:p>
        </w:tc>
        <w:tc>
          <w:tcPr>
            <w:tcW w:type="dxa" w:w="5112"/>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5"/>
              </w:rPr>
              <w:t>Non-goals</w:t>
            </w:r>
          </w:p>
        </w:tc>
      </w:tr>
      <w:tr>
        <w:tc>
          <w:tcPr>
            <w:tcW w:type="dxa" w:w="5112"/>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Provide one operating console for governance, administration, access, workflow, quality, privacy, FOI, open data, and reporting work.</w:t>
            </w:r>
          </w:p>
        </w:tc>
        <w:tc>
          <w:tcPr>
            <w:tcW w:type="dxa" w:w="5112"/>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Replace every enterprise source system such as catalogs, DLP, PDP, LMS, risk tools, or the National Data Index.</w:t>
            </w:r>
          </w:p>
        </w:tc>
      </w:tr>
      <w:tr>
        <w:tc>
          <w:tcPr>
            <w:tcW w:type="dxa" w:w="5112"/>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Enforce enterprise integrity through JWT/CSRF protection, RBAC permissions, ABAC/data-scope checks, DTO validation, cross-field validation, and database constraints.</w:t>
            </w:r>
          </w:p>
        </w:tc>
        <w:tc>
          <w:tcPr>
            <w:tcW w:type="dxa" w:w="5112"/>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Treat demo seed data or local .env secrets as production data or production credentials.</w:t>
            </w:r>
          </w:p>
        </w:tc>
      </w:tr>
      <w:tr>
        <w:tc>
          <w:tcPr>
            <w:tcW w:type="dxa" w:w="5112"/>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Make complex governance actions understandable for nontechnical users through command-console pages, queues, detail panels, visual maps, bilingual copy, and light/dark support.</w:t>
            </w:r>
          </w:p>
        </w:tc>
        <w:tc>
          <w:tcPr>
            <w:tcW w:type="dxa" w:w="5112"/>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Create a public marketing site; DGOP is an authenticated operations workspace.</w:t>
            </w:r>
          </w:p>
        </w:tc>
      </w:tr>
      <w:tr>
        <w:tc>
          <w:tcPr>
            <w:tcW w:type="dxa" w:w="5112"/>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Keep governance evidence reconstructable through workflow cases, tasks, comments, attachments, audit logs, search events, notifications, and release QA gates.</w:t>
            </w:r>
          </w:p>
        </w:tc>
        <w:tc>
          <w:tcPr>
            <w:tcW w:type="dxa" w:w="5112"/>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Bypass approval rules, especially ownership accountability, workflow publication, security scope, or evidence readiness checks.</w:t>
            </w:r>
          </w:p>
        </w:tc>
      </w:tr>
    </w:tbl>
    <w:p/>
    <w:p>
      <w:pPr>
        <w:pStyle w:val="Heading1"/>
        <w:spacing w:before="240" w:after="120"/>
      </w:pPr>
      <w:r>
        <w:rPr>
          <w:rFonts w:ascii="Helvetica Neue" w:hAnsi="Helvetica Neue"/>
          <w:b/>
          <w:color w:val="082A4A"/>
          <w:sz w:val="27"/>
        </w:rPr>
        <w:t>3.  Background and Problem Statement</w:t>
      </w:r>
    </w:p>
    <w:p>
      <w:pPr>
        <w:spacing w:after="120" w:line="259" w:lineRule="auto"/>
      </w:pPr>
      <w:r>
        <w:rPr>
          <w:rFonts w:ascii="Helvetica Neue" w:hAnsi="Helvetica Neue"/>
          <w:color w:val="1D2F3D"/>
          <w:sz w:val="18"/>
        </w:rPr>
        <w:t>Enterprise data governance often fails when ownership, evidence, quality, privacy, access, and transparency work live in separate trackers. The result is unclear accountability, missing proof, late approvals, inconsistent role decisions, and dashboard views that do not show the operational reason behind a risk.</w:t>
      </w:r>
    </w:p>
    <w:p>
      <w:pPr>
        <w:spacing w:after="120" w:line="259" w:lineRule="auto"/>
      </w:pPr>
      <w:r>
        <w:rPr>
          <w:rFonts w:ascii="Helvetica Neue" w:hAnsi="Helvetica Neue"/>
          <w:color w:val="1D2F3D"/>
          <w:sz w:val="18"/>
        </w:rPr>
        <w:t>DGOP addresses that gap by making governance work executable. The platform links data assets to domains, subjects, classifications, systems, owners, workflow cases, NDI evidence, quality issues, security decisions, publication candidates, privacy records, sharing requests, and reports. Its boundary is the governance operations layer: it governs and integrates with specialist systems rather than trying to replace them.</w:t>
      </w:r>
    </w:p>
    <w:p>
      <w:pPr>
        <w:pStyle w:val="Heading1"/>
        <w:spacing w:before="240" w:after="120"/>
      </w:pPr>
      <w:r>
        <w:rPr>
          <w:rFonts w:ascii="Helvetica Neue" w:hAnsi="Helvetica Neue"/>
          <w:b/>
          <w:color w:val="082A4A"/>
          <w:sz w:val="27"/>
        </w:rPr>
        <w:t>4.  Proposed Architecture</w:t>
      </w:r>
    </w:p>
    <w:p>
      <w:pPr>
        <w:spacing w:after="120" w:line="259" w:lineRule="auto"/>
      </w:pPr>
      <w:r>
        <w:rPr>
          <w:rFonts w:ascii="Helvetica Neue" w:hAnsi="Helvetica Neue"/>
          <w:color w:val="1D2F3D"/>
          <w:sz w:val="18"/>
        </w:rPr>
        <w:t>The repository is organized as a two-application monorepo. `apps/web` contains the Angular 22 frontend with standalone components, signals, route guards, shared UI tokens, i18n, and layout navigation. `apps/api` contains the NestJS 11 backend, REST controllers under `/api`, Prisma services, domain modules, global guards, business validation, audit writing, and built-UI serving. `apps/api/prisma` contains the schema, migrations, and seed process.</w:t>
      </w:r>
    </w:p>
    <w:p>
      <w:pPr>
        <w:jc w:val="center"/>
      </w:pPr>
      <w:r>
        <w:drawing>
          <wp:inline>
            <wp:extent cx="6126480" cy="3471672"/>
            <wp:docPr id="1" name="Picture 1"/>
            <wp:cNvGraphicFramePr>
              <a:graphicFrameLocks noChangeAspect="1"/>
            </wp:cNvGraphicFramePr>
            <a:graphic>
              <a:graphicData uri="http://schemas.openxmlformats.org/drawingml/2006/picture">
                <pic:pic>
                  <pic:nvPicPr>
                    <pic:cNvPr id="0" name="dgop_architecture.png"/>
                    <pic:cNvPicPr/>
                  </pic:nvPicPr>
                  <pic:blipFill>
                    <a:blip r:embed="rId7"/>
                    <a:stretch>
                      <a:fillRect/>
                    </a:stretch>
                  </pic:blipFill>
                  <pic:spPr>
                    <a:xfrm>
                      <a:off x="0" y="0"/>
                      <a:ext cx="6126480" cy="3471672"/>
                    </a:xfrm>
                    <a:prstGeom prst="rect"/>
                  </pic:spPr>
                </pic:pic>
              </a:graphicData>
            </a:graphic>
          </wp:inline>
        </w:drawing>
      </w:r>
    </w:p>
    <w:p>
      <w:pPr>
        <w:jc w:val="center"/>
      </w:pPr>
      <w:r>
        <w:rPr>
          <w:rFonts w:ascii="Helvetica Neue" w:hAnsi="Helvetica Neue"/>
          <w:color w:val="5B7085"/>
          <w:sz w:val="16"/>
        </w:rPr>
        <w:t>Figure 1. DGOP proposed runtime architecture.</w:t>
      </w:r>
    </w:p>
    <w:p>
      <w:pPr>
        <w:pStyle w:val="Heading3"/>
        <w:spacing w:before="120" w:after="80"/>
      </w:pPr>
      <w:r>
        <w:rPr>
          <w:rFonts w:ascii="Helvetica Neue" w:hAnsi="Helvetica Neue"/>
          <w:b/>
          <w:color w:val="5B7085"/>
          <w:sz w:val="16"/>
        </w:rPr>
        <w:t>Application layers</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5"/>
              </w:rPr>
              <w:t>Layer</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5"/>
              </w:rPr>
              <w:t>Responsibility</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5"/>
              </w:rPr>
              <w:t>Implementation evidence</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5"/>
              </w:rPr>
              <w:t>Primary failure behavior</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Web console</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Authenticated user experience, route protection, command-console pages, bilingual copy, theme state, visual maps, work queues, detail panels, modals, and expandable evidence panels.</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Angular 22 app in apps/web; app.routes.ts; layout/navigation.ts; core i18n dictionary; page folders under governance/admin.</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Route guards redirect unauthenticated users; permission guard blocks unauthorized pages; UI shows validation/error guidance instead of raw stack traces.</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API boundary</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Receives REST requests, authenticates sessions, validates payloads, enforces RBAC/permission/data-scope rules, and delegates to domain services.</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NestJS AppModule with JwtAuthGuard, CsrfGuard, RolesGuard, PermissionsGuard; controllers under apps/api/src.</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Fail closed for protected routes; validation returns user-facing errors; health endpoint remains separate.</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Governance services</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Own domain logic for workflow, ownership, data assets, quality, security, NDI, FOI, privacy, data sharing, open data, integrations, search, and reporting.</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Domain service modules in apps/api/src and tests under apps/api/test.</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Service methods reject out-of-scope or inconsistent writes and use transactions when multiple records must move together.</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Persistence</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Durable operational state, versioned models, constraints, migrations, seed data, audit records, search records, and event tables.</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Prisma schema and migrations under apps/api/prisma.</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Database constraints and transactions protect uniqueness, referential integrity, and replay safety.</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Release and demo operations</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Prepare demo secrets, generate Prisma client, seed data, run QA gates, build apps, serve production-style UI, and optionally publish through a temporary tunnel.</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Root scripts: dev, build, start:demo, qa:release, publish:external.</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Publishing aborts unless runtime safeguards and QA gates pass.</w:t>
            </w:r>
          </w:p>
        </w:tc>
      </w:tr>
    </w:tbl>
    <w:p/>
    <w:p>
      <w:pPr>
        <w:pStyle w:val="Heading3"/>
        <w:spacing w:before="120" w:after="80"/>
      </w:pPr>
      <w:r>
        <w:rPr>
          <w:rFonts w:ascii="Helvetica Neue" w:hAnsi="Helvetica Neue"/>
          <w:b/>
          <w:color w:val="5B7085"/>
          <w:sz w:val="16"/>
        </w:rPr>
        <w:t>Feature and engine structure</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5"/>
              </w:rPr>
              <w:t>Area</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5"/>
              </w:rPr>
              <w:t>Main routes or endpoints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5"/>
              </w:rPr>
              <w:t>Feature responsibilities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Foundation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/dashboard, /about, /governance-map</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Command center, product brief, governance map, shared visual language, shell search, language switching, theme switching, and navigation grouping.</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Administration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/admin/* and master-data controllers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People, domains, data subjects, capabilities, org units, systems, classifications, role types, RACI templates, status values, integrations, trees, and reference setup.</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Access management</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/admin/users, /admin/roles, /admin/audit</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Users, roles, permissions, role scopes, scope preview, access assignment, audit log, audit chain verification, and protected system role behavior.</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Data assets and ownership</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/assets, /governance/ownership, /governance/assignment-rules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Asset 360 registry, CSV import, relationships, ownership registry, assignment recommendations, primary-owner uniqueness, approval paths, conflicts, and exceptions.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Workflow engine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/governance/workflow and /api/workflow/*</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Templates, BPMN designer, stage/transition validation, route preview, case/task runtime, decisions, comments, attachments, delegations, SLA templates, dashboard, graph, version diff, rollback, and migration preview.</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NDI and evidence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/governance/ndi/*</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NDI domains, specifications, evidence submission/review/revocation, readiness scoring, gap analysis, audit packs, export, and domain traceability.</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Data quality</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/governance/data-quality and /api/data-quality/*</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Quality issue queue, profiling imports, CSV file profiling, rule lifecycle, scorecards, RCA records, SLA breaches, issue evidence, and workflow case creation.</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Security governance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/governance/security and /api/security-governance/*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Role-data access maps, masking policies, access reviews, DLP incidents, classification requests, ABAC decision logs, decision simulation, and workflow backfill.</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Transparency operations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/governance/open-data, /foi, /privacy, /data-sharing, /transparency</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Open data candidate lifecycle, FOI request/review/disclosure/appeal, DPIA/DSR/breach/retention records, data sharing agreements, ODIAO cockpit, release readiness, and publication monitoring.</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Platform services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/api/search, /api/integrations, /api/governance-operations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Permission-aware search, autocomplete, registry, saved searches, index changes, analytics, connectors, webhooks, reconciliation, notification templates, delivery plans, escalations, calendar templates, and production readiness signals.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Business and extended domains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/governance/business-value, /extended-domains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Business glossary, lineage, valuation, surveys, lifecycle decisions, BIAs, KPIs, MDM matching, golden records, reference data versions, metadata certifications, and architecture reviews.</w:t>
            </w:r>
          </w:p>
        </w:tc>
      </w:tr>
    </w:tbl>
    <w:p/>
    <w:p>
      <w:pPr>
        <w:pStyle w:val="Heading1"/>
        <w:spacing w:before="240" w:after="120"/>
      </w:pPr>
      <w:r>
        <w:rPr>
          <w:rFonts w:ascii="Helvetica Neue" w:hAnsi="Helvetica Neue"/>
          <w:b/>
          <w:color w:val="082A4A"/>
          <w:sz w:val="27"/>
        </w:rPr>
        <w:t>5.  Request Lifecycle</w:t>
      </w:r>
    </w:p>
    <w:p>
      <w:pPr>
        <w:spacing w:after="60"/>
        <w:ind w:left="259" w:hanging="173"/>
      </w:pPr>
      <w:r>
        <w:rPr>
          <w:rFonts w:ascii="Helvetica Neue" w:hAnsi="Helvetica Neue"/>
          <w:color w:val="1D2F3D"/>
          <w:sz w:val="17"/>
        </w:rPr>
        <w:t>- A user opens the Angular console and authenticates through the login page. The shell then loads the signed-in profile, permissions, language, theme, and navigation model.</w:t>
      </w:r>
    </w:p>
    <w:p>
      <w:pPr>
        <w:spacing w:after="60"/>
        <w:ind w:left="259" w:hanging="173"/>
      </w:pPr>
      <w:r>
        <w:rPr>
          <w:rFonts w:ascii="Helvetica Neue" w:hAnsi="Helvetica Neue"/>
          <w:color w:val="1D2F3D"/>
          <w:sz w:val="17"/>
        </w:rPr>
        <w:t>- Angular route guards check authentication and required permission keys before loading feature pages. Navigation only exposes pages the user can reasonably access.</w:t>
      </w:r>
    </w:p>
    <w:p>
      <w:pPr>
        <w:spacing w:after="60"/>
        <w:ind w:left="259" w:hanging="173"/>
      </w:pPr>
      <w:r>
        <w:rPr>
          <w:rFonts w:ascii="Helvetica Neue" w:hAnsi="Helvetica Neue"/>
          <w:color w:val="1D2F3D"/>
          <w:sz w:val="17"/>
        </w:rPr>
        <w:t>- A page action calls an `/api` endpoint. The NestJS global guards authenticate the request, apply CSRF protection where relevant, check roles, and verify permission requirements.</w:t>
      </w:r>
    </w:p>
    <w:p>
      <w:pPr>
        <w:spacing w:after="60"/>
        <w:ind w:left="259" w:hanging="173"/>
      </w:pPr>
      <w:r>
        <w:rPr>
          <w:rFonts w:ascii="Helvetica Neue" w:hAnsi="Helvetica Neue"/>
          <w:color w:val="1D2F3D"/>
          <w:sz w:val="17"/>
        </w:rPr>
        <w:t>- The domain service validates DTO shape, reference existence, cross-field rules, data-scope visibility, workflow prerequisites, and business constraints such as one approved accountable owner per target/responsibility.</w:t>
      </w:r>
    </w:p>
    <w:p>
      <w:pPr>
        <w:spacing w:after="60"/>
        <w:ind w:left="259" w:hanging="173"/>
      </w:pPr>
      <w:r>
        <w:rPr>
          <w:rFonts w:ascii="Helvetica Neue" w:hAnsi="Helvetica Neue"/>
          <w:color w:val="1D2F3D"/>
          <w:sz w:val="17"/>
        </w:rPr>
        <w:t>- The service writes durable state through Prisma. Multi-record actions use transactions so workflow cases, tasks, evidence, audit events, status changes, and index events move together.</w:t>
      </w:r>
    </w:p>
    <w:p>
      <w:pPr>
        <w:spacing w:after="60"/>
        <w:ind w:left="259" w:hanging="173"/>
      </w:pPr>
      <w:r>
        <w:rPr>
          <w:rFonts w:ascii="Helvetica Neue" w:hAnsi="Helvetica Neue"/>
          <w:color w:val="1D2F3D"/>
          <w:sz w:val="17"/>
        </w:rPr>
        <w:t>- The API returns normalized records or structured validation errors. The UI updates the queue/detail panel and presents nontechnical guidance when a governance rule blocks the action.</w:t>
      </w:r>
    </w:p>
    <w:p>
      <w:pPr>
        <w:spacing w:after="60"/>
        <w:ind w:left="259" w:hanging="173"/>
      </w:pPr>
      <w:r>
        <w:rPr>
          <w:rFonts w:ascii="Helvetica Neue" w:hAnsi="Helvetica Neue"/>
          <w:color w:val="1D2F3D"/>
          <w:sz w:val="17"/>
        </w:rPr>
        <w:t>- Operational side effects, such as search indexing, notifications, workflow maintenance, audit verification, export, or external publishing, run through explicit endpoints and QA gates rather than hidden background assumptions.</w:t>
      </w:r>
    </w:p>
    <w:p>
      <w:pPr>
        <w:pStyle w:val="Heading1"/>
        <w:spacing w:before="240" w:after="120"/>
      </w:pPr>
      <w:r>
        <w:rPr>
          <w:rFonts w:ascii="Helvetica Neue" w:hAnsi="Helvetica Neue"/>
          <w:b/>
          <w:color w:val="082A4A"/>
          <w:sz w:val="27"/>
        </w:rPr>
        <w:t>6.  API and Data Contracts</w:t>
      </w:r>
    </w:p>
    <w:p>
      <w:pPr>
        <w:pStyle w:val="Heading3"/>
        <w:spacing w:before="120" w:after="80"/>
      </w:pPr>
      <w:r>
        <w:rPr>
          <w:rFonts w:ascii="Helvetica Neue" w:hAnsi="Helvetica Neue"/>
          <w:b/>
          <w:color w:val="5B7085"/>
          <w:sz w:val="16"/>
        </w:rPr>
        <w:t>Primary data contracts</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5"/>
              </w:rPr>
              <w:t>Contract</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5"/>
              </w:rPr>
              <w:t>Type</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5"/>
              </w:rPr>
              <w:t>Required</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5"/>
              </w:rPr>
              <w:t>Description</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AuthUser</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JWT/session-derived identity</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Yes</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Carries user id, email, active roles, and permissions used by guards and service-level object checks.</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Permission key</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String code</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Yes</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Controls route and endpoint access, for example `workflow_tasks.view`, `roles.edit`, or `data_quality_issues.view`.</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RoleDataScope / EffectiveScope</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Prisma model and resolved service object</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Yes for scoped users</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Limits visible and writable assets, domains, org units, and classifications.</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DataAsset</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Prisma model</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Yes for governed data</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Core governed object linked to domain, organization, system, capability, classification, subjects, relationships, owners, quality, security, and evidence.</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StewardshipAssignment</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Prisma model</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Yes for accountability</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Connects a person and responsibility to an asset/domain/subject/capability with approval status, active flag, dates, and primary/proposed/backup semantics.</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WorkflowTemplate/Stage/Transition</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Prisma models plus BPMN XML</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Yes for routed cases</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Versioned route definition used by BPMN designer, validation, publishing, simulation, rollback, and active-case migration.</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WorkflowCase/Task/Event</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Prisma models</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Yes for operations</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Runtime case, task, decision, comment, attachment, SLA, and event data used to reconstruct governance execution.</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Evidence and audit records</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Prisma models and file metadata</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Yes for compliance</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Captures proof, review status, audit log entries, audit-chain verification, and export readiness.</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SearchIndexRecord and SearchIndexChangeEvent</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Prisma models</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Optional but supported</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Permission-aware search registry, index records, CDC-style change queue, saved search, and click analytics.</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IntegrationEvent / ImportBatch</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Prisma models</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Optional by connector</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External connector, webhook, import error, reconciliation, writeback, and catalog sync records.</w:t>
            </w:r>
          </w:p>
        </w:tc>
      </w:tr>
    </w:tbl>
    <w:p/>
    <w:p>
      <w:pPr>
        <w:pStyle w:val="Heading3"/>
        <w:spacing w:before="120" w:after="80"/>
      </w:pPr>
      <w:r>
        <w:rPr>
          <w:rFonts w:ascii="Helvetica Neue" w:hAnsi="Helvetica Neue"/>
          <w:b/>
          <w:color w:val="5B7085"/>
          <w:sz w:val="16"/>
        </w:rPr>
        <w:t>Contract guarantees</w:t>
      </w:r>
    </w:p>
    <w:p>
      <w:pPr>
        <w:spacing w:after="60"/>
        <w:ind w:left="259" w:hanging="173"/>
      </w:pPr>
      <w:r>
        <w:rPr>
          <w:rFonts w:ascii="Helvetica Neue" w:hAnsi="Helvetica Neue"/>
          <w:color w:val="1D2F3D"/>
          <w:sz w:val="17"/>
        </w:rPr>
        <w:t>- API routes stay stable around existing `/api` resources while services add stricter validation and scope checks behind the boundary.</w:t>
      </w:r>
    </w:p>
    <w:p>
      <w:pPr>
        <w:spacing w:after="60"/>
        <w:ind w:left="259" w:hanging="173"/>
      </w:pPr>
      <w:r>
        <w:rPr>
          <w:rFonts w:ascii="Helvetica Neue" w:hAnsi="Helvetica Neue"/>
          <w:color w:val="1D2F3D"/>
          <w:sz w:val="17"/>
        </w:rPr>
        <w:t>- Business-critical writes use generated codes, UUIDs, transaction boundaries, audit events, and Prisma constraints so records can be reconstructed.</w:t>
      </w:r>
    </w:p>
    <w:p>
      <w:pPr>
        <w:spacing w:after="60"/>
        <w:ind w:left="259" w:hanging="173"/>
      </w:pPr>
      <w:r>
        <w:rPr>
          <w:rFonts w:ascii="Helvetica Neue" w:hAnsi="Helvetica Neue"/>
          <w:color w:val="1D2F3D"/>
          <w:sz w:val="17"/>
        </w:rPr>
        <w:t>- Workflow templates retain version snapshots, model signatures, validation output, publish state, and migration previews before active cases are moved.</w:t>
      </w:r>
    </w:p>
    <w:p>
      <w:pPr>
        <w:spacing w:after="60"/>
        <w:ind w:left="259" w:hanging="173"/>
      </w:pPr>
      <w:r>
        <w:rPr>
          <w:rFonts w:ascii="Helvetica Neue" w:hAnsi="Helvetica Neue"/>
          <w:color w:val="1D2F3D"/>
          <w:sz w:val="17"/>
        </w:rPr>
        <w:t>- Search, integration, notification, and audit side effects are represented as records or explicit endpoint actions so they are reviewable and replay-aware.</w:t>
      </w:r>
    </w:p>
    <w:p>
      <w:pPr>
        <w:spacing w:after="60"/>
        <w:ind w:left="259" w:hanging="173"/>
      </w:pPr>
      <w:r>
        <w:rPr>
          <w:rFonts w:ascii="Helvetica Neue" w:hAnsi="Helvetica Neue"/>
          <w:color w:val="1D2F3D"/>
          <w:sz w:val="17"/>
        </w:rPr>
        <w:t>- The Prisma schema and migrations are the authoritative data contract for persistence; TypeScript DTOs are the request contract at the API boundary.</w:t>
      </w:r>
    </w:p>
    <w:p>
      <w:pPr>
        <w:pStyle w:val="Heading1"/>
        <w:spacing w:before="240" w:after="120"/>
      </w:pPr>
      <w:r>
        <w:rPr>
          <w:rFonts w:ascii="Helvetica Neue" w:hAnsi="Helvetica Neue"/>
          <w:b/>
          <w:color w:val="082A4A"/>
          <w:sz w:val="27"/>
        </w:rPr>
        <w:t>7.  Consistency, Idempotency, and Replay</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5"/>
              </w:rPr>
              <w:t>Scenario</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5"/>
              </w:rPr>
              <w:t>Expected behavior</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5"/>
              </w:rPr>
              <w:t>Reasoning</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Duplicate ownership primary</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The system rejects or safely demotes conflicting primary/accountable assignments depending on approved workflow semantics.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A migration-backed uniqueness model and service validation prevent multiple active approved accountable owners for the same target/responsibility.</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Duplicate role-data access map</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The API rejects duplicate active access mappings with the same role and scope key.</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The scope key and unique constraints protect ABAC integrity and avoid ambiguous data access decisions.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Workflow route replay or rollback</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A route can be saved, validated, published, diffed, rolled back, and migration-previewed before active cases are moved.</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Version snapshots preserve the executable model used by cases and support reconstruction.</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CSV import or profiling run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Bad files fail with structured validation; valid rows create database-backed profile/issue/rule records rather than sample-only UI state.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The data quality engine parses and writes records through scoped service logic.</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External connector event retry</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Events and batches retain status, errors, reconciliation, and retry endpoints.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Integration work is observable and can be retried without hiding failure state.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Search index refresh</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Index changes can be queued, processed, refreshed, and linked to analytics events.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Index state is not treated as the only source of truth; source records remain authoritative.</w:t>
            </w:r>
          </w:p>
        </w:tc>
      </w:tr>
    </w:tbl>
    <w:p/>
    <w:p>
      <w:pPr>
        <w:pStyle w:val="Heading1"/>
        <w:spacing w:before="240" w:after="120"/>
      </w:pPr>
      <w:r>
        <w:rPr>
          <w:rFonts w:ascii="Helvetica Neue" w:hAnsi="Helvetica Neue"/>
          <w:b/>
          <w:color w:val="082A4A"/>
          <w:sz w:val="27"/>
        </w:rPr>
        <w:t>8.  Security and Privacy Considerations</w:t>
      </w:r>
    </w:p>
    <w:p>
      <w:pPr>
        <w:spacing w:after="60"/>
        <w:ind w:left="259" w:hanging="173"/>
      </w:pPr>
      <w:r>
        <w:rPr>
          <w:rFonts w:ascii="Helvetica Neue" w:hAnsi="Helvetica Neue"/>
          <w:color w:val="1D2F3D"/>
          <w:sz w:val="17"/>
        </w:rPr>
        <w:t>- The API installs global guards in order: JWT authentication, CSRF protection, role checks, then permission checks.</w:t>
      </w:r>
    </w:p>
    <w:p>
      <w:pPr>
        <w:spacing w:after="60"/>
        <w:ind w:left="259" w:hanging="173"/>
      </w:pPr>
      <w:r>
        <w:rPr>
          <w:rFonts w:ascii="Helvetica Neue" w:hAnsi="Helvetica Neue"/>
          <w:color w:val="1D2F3D"/>
          <w:sz w:val="17"/>
        </w:rPr>
        <w:t>- Role and data-scope services enforce object visibility and write permissions across assets, data quality, workflow, security governance, and search.</w:t>
      </w:r>
    </w:p>
    <w:p>
      <w:pPr>
        <w:spacing w:after="60"/>
        <w:ind w:left="259" w:hanging="173"/>
      </w:pPr>
      <w:r>
        <w:rPr>
          <w:rFonts w:ascii="Helvetica Neue" w:hAnsi="Helvetica Neue"/>
          <w:color w:val="1D2F3D"/>
          <w:sz w:val="17"/>
        </w:rPr>
        <w:t>- Demo publication requires non-placeholder `JWT_SECRET`, seeded passwords, webhook token, production demo safeguards, and health detail redaction.</w:t>
      </w:r>
    </w:p>
    <w:p>
      <w:pPr>
        <w:spacing w:after="60"/>
        <w:ind w:left="259" w:hanging="173"/>
      </w:pPr>
      <w:r>
        <w:rPr>
          <w:rFonts w:ascii="Helvetica Neue" w:hAnsi="Helvetica Neue"/>
          <w:color w:val="1D2F3D"/>
          <w:sz w:val="17"/>
        </w:rPr>
        <w:t>- Evidence storage is configurable through `EVIDENCE_STORAGE_DIR` and file size limits; production should replace local storage with secure object storage.</w:t>
      </w:r>
    </w:p>
    <w:p>
      <w:pPr>
        <w:spacing w:after="60"/>
        <w:ind w:left="259" w:hanging="173"/>
      </w:pPr>
      <w:r>
        <w:rPr>
          <w:rFonts w:ascii="Helvetica Neue" w:hAnsi="Helvetica Neue"/>
          <w:color w:val="1D2F3D"/>
          <w:sz w:val="17"/>
        </w:rPr>
        <w:t>- Audit fail-closed behavior is configurable through `DGOP_AUDIT_FAIL_CLOSED`; sensitive values should stay out of committed files and logs.</w:t>
      </w:r>
    </w:p>
    <w:p>
      <w:pPr>
        <w:spacing w:after="60"/>
        <w:ind w:left="259" w:hanging="173"/>
      </w:pPr>
      <w:r>
        <w:rPr>
          <w:rFonts w:ascii="Helvetica Neue" w:hAnsi="Helvetica Neue"/>
          <w:color w:val="1D2F3D"/>
          <w:sz w:val="17"/>
        </w:rPr>
        <w:t>- Privacy and security workspaces track DSR, DPIA, breach, retention, masking, classification, DLP, and access-review records instead of relying on informal notes.</w:t>
      </w:r>
    </w:p>
    <w:p>
      <w:pPr>
        <w:spacing w:after="60"/>
        <w:ind w:left="259" w:hanging="173"/>
      </w:pPr>
      <w:r>
        <w:rPr>
          <w:rFonts w:ascii="Helvetica Neue" w:hAnsi="Helvetica Neue"/>
          <w:color w:val="1D2F3D"/>
          <w:sz w:val="17"/>
        </w:rPr>
        <w:t>- The current architecture supports enterprise controls but still requires production SSO, managed secrets, monitored hosting, backup/restore, and formal data-residency decisions before real regulated data.</w:t>
      </w:r>
    </w:p>
    <w:p>
      <w:pPr>
        <w:pStyle w:val="Heading1"/>
        <w:spacing w:before="240" w:after="120"/>
      </w:pPr>
      <w:r>
        <w:rPr>
          <w:rFonts w:ascii="Helvetica Neue" w:hAnsi="Helvetica Neue"/>
          <w:b/>
          <w:color w:val="082A4A"/>
          <w:sz w:val="27"/>
        </w:rPr>
        <w:t>9.  Operational Readiness</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5"/>
              </w:rPr>
              <w:t>Signal</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5"/>
              </w:rPr>
              <w:t>SLO or alert</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5"/>
              </w:rPr>
              <w:t>Owner</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5"/>
              </w:rPr>
              <w:t>Launch gate</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API health</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GET `/api/health` reports service state; production-like demo mode redacts detailed metadata.</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Platform engineering</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Required</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Build health</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`npm run build` must build web and API without TypeScript or Angular failures.</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Engineering</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Required</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Prisma health</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`npm run db:generate`, `db:status`, and migrations must agree with the target database.</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Backend engineering</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Required</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API quality</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`npm --prefix apps/api run test` covers service behavior across auth, access, workflow, ownership, assets, NDI, DQ, security, integrations, FOI, privacy, sharing, reports, search, and dashboard.</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Backend engineering</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Required</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Web quality</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`npm run qa:web` and Angular build check routes, i18n, theme/RTL assumptions, and static UX hazards.</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Frontend engineering</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Required</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UI smoke</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`npm run qa:ui` logs in and opens key routes against a running app.</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QA / release owner</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Required for demo</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Release gate</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`npm run qa:release` combines QA, Prisma, dependency audit, whitespace checks, and build before external publish.</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Release owner</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Required</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External publish</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`npm run publish:external` exposes the local app only after release safeguards pass.</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Demo owner</w:t>
            </w:r>
          </w:p>
        </w:tc>
        <w:tc>
          <w:tcPr>
            <w:tcW w:type="dxa" w:w="2556"/>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Recommended for temporary demos only</w:t>
            </w:r>
          </w:p>
        </w:tc>
      </w:tr>
    </w:tbl>
    <w:p/>
    <w:p>
      <w:pPr>
        <w:pStyle w:val="Heading1"/>
        <w:spacing w:before="240" w:after="120"/>
      </w:pPr>
      <w:r>
        <w:rPr>
          <w:rFonts w:ascii="Helvetica Neue" w:hAnsi="Helvetica Neue"/>
          <w:b/>
          <w:color w:val="082A4A"/>
          <w:sz w:val="27"/>
        </w:rPr>
        <w:t>10.  Alternatives Considered</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5"/>
              </w:rPr>
              <w:t>Alternative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5"/>
              </w:rPr>
              <w:t>Why it was considered</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5"/>
              </w:rPr>
              <w:t>Why it was not selected</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Spreadsheet or document tracker</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Fast to start and familiar to governance teams.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Cannot enforce object-level authorization, workflow decisions, audit chains, cross-field validation, or evidence reconstruction.</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Separate tools for catalog, workflow, quality, privacy, and access</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Each specialist tool may be stronger in its own vertical.</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Leaves senior users with fragmented accountability and no single operational map of governance work.</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Generic BPM-only workflow product</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Could handle some routed approvals quickly.</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Does not naturally understand data assets, ownership integrity, NDI evidence, quality issues, ABAC scope, privacy, FOI, and data sharing records.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Public landing-page first product</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Could make DGOP easier to pitch externally.</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The current priority is an authenticated operations platform for steward, admin, and executive work.</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Search engine as the only query layer</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OpenSearch or Elasticsearch can provide advanced indexing and ranking.</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The database remains the source of truth; search is valuable as an index and discovery layer, not as governance authority.</w:t>
            </w:r>
          </w:p>
        </w:tc>
      </w:tr>
    </w:tbl>
    <w:p/>
    <w:p>
      <w:pPr>
        <w:pStyle w:val="Heading1"/>
        <w:spacing w:before="240" w:after="120"/>
      </w:pPr>
      <w:r>
        <w:rPr>
          <w:rFonts w:ascii="Helvetica Neue" w:hAnsi="Helvetica Neue"/>
          <w:b/>
          <w:color w:val="082A4A"/>
          <w:sz w:val="27"/>
        </w:rPr>
        <w:t>11.  Open Questions</w:t>
      </w:r>
    </w:p>
    <w:p>
      <w:pPr>
        <w:spacing w:after="60"/>
        <w:ind w:left="259" w:hanging="173"/>
      </w:pPr>
      <w:r>
        <w:rPr>
          <w:rFonts w:ascii="Helvetica Neue" w:hAnsi="Helvetica Neue"/>
          <w:color w:val="1D2F3D"/>
          <w:sz w:val="17"/>
        </w:rPr>
        <w:t>- Which production hosting model will be approved: on-premises, private cloud, managed cloud, or hybrid?</w:t>
      </w:r>
    </w:p>
    <w:p>
      <w:pPr>
        <w:spacing w:after="60"/>
        <w:ind w:left="259" w:hanging="173"/>
      </w:pPr>
      <w:r>
        <w:rPr>
          <w:rFonts w:ascii="Helvetica Neue" w:hAnsi="Helvetica Neue"/>
          <w:color w:val="1D2F3D"/>
          <w:sz w:val="17"/>
        </w:rPr>
        <w:t>- Which identity provider should become the system of record for authentication and role provisioning?</w:t>
      </w:r>
    </w:p>
    <w:p>
      <w:pPr>
        <w:spacing w:after="60"/>
        <w:ind w:left="259" w:hanging="173"/>
      </w:pPr>
      <w:r>
        <w:rPr>
          <w:rFonts w:ascii="Helvetica Neue" w:hAnsi="Helvetica Neue"/>
          <w:color w:val="1D2F3D"/>
          <w:sz w:val="17"/>
        </w:rPr>
        <w:t>- Which external enterprise systems are first-class connector priorities: catalog, DQ, DLP, PDP, LMS, NDI, risk, ticketing, or data portal?</w:t>
      </w:r>
    </w:p>
    <w:p>
      <w:pPr>
        <w:spacing w:after="60"/>
        <w:ind w:left="259" w:hanging="173"/>
      </w:pPr>
      <w:r>
        <w:rPr>
          <w:rFonts w:ascii="Helvetica Neue" w:hAnsi="Helvetica Neue"/>
          <w:color w:val="1D2F3D"/>
          <w:sz w:val="17"/>
        </w:rPr>
        <w:t>- Where should evidence files, workflow attachments, audit exports, and backups live for regulated production use?</w:t>
      </w:r>
    </w:p>
    <w:p>
      <w:pPr>
        <w:spacing w:after="60"/>
        <w:ind w:left="259" w:hanging="173"/>
      </w:pPr>
      <w:r>
        <w:rPr>
          <w:rFonts w:ascii="Helvetica Neue" w:hAnsi="Helvetica Neue"/>
          <w:color w:val="1D2F3D"/>
          <w:sz w:val="17"/>
        </w:rPr>
        <w:t>- What observability platform will receive logs, metrics, traces, security events, and uptime alerts?</w:t>
      </w:r>
    </w:p>
    <w:p>
      <w:pPr>
        <w:spacing w:after="60"/>
        <w:ind w:left="259" w:hanging="173"/>
      </w:pPr>
      <w:r>
        <w:rPr>
          <w:rFonts w:ascii="Helvetica Neue" w:hAnsi="Helvetica Neue"/>
          <w:color w:val="1D2F3D"/>
          <w:sz w:val="17"/>
        </w:rPr>
        <w:t>- Which workflow route families require formal UAT before the platform is exposed to real governance data?</w:t>
      </w:r>
    </w:p>
    <w:p>
      <w:pPr>
        <w:pStyle w:val="Heading1"/>
        <w:spacing w:before="240" w:after="120"/>
      </w:pPr>
      <w:r>
        <w:rPr>
          <w:rFonts w:ascii="Helvetica Neue" w:hAnsi="Helvetica Neue"/>
          <w:b/>
          <w:color w:val="082A4A"/>
          <w:sz w:val="27"/>
        </w:rPr>
        <w:t>12.  Decision and Next Steps</w:t>
      </w:r>
    </w:p>
    <w:p>
      <w:pPr>
        <w:spacing w:after="120" w:line="259" w:lineRule="auto"/>
      </w:pPr>
      <w:r>
        <w:rPr>
          <w:rFonts w:ascii="Helvetica Neue" w:hAnsi="Helvetica Neue"/>
          <w:color w:val="1D2F3D"/>
          <w:sz w:val="18"/>
        </w:rPr>
        <w:t>The recommended decision is to treat DGOP as the enterprise governance operations layer: it should govern the work, preserve accountability, orchestrate evidence, and integrate with specialized systems rather than replace every system of record. The codebase already reflects that approach through dedicated backend modules, guarded API boundaries, Angular command-console workspaces, schema-backed engines, and QA/release scripts.</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5"/>
              </w:rPr>
              <w:t>Milestone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5"/>
              </w:rPr>
              <w:t>Deliverable</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D4E7F5"/>
          </w:tcPr>
          <w:p>
            <w:pPr>
              <w:spacing w:after="0" w:line="252" w:lineRule="auto"/>
            </w:pPr>
            <w:r>
              <w:rPr>
                <w:rFonts w:ascii="Helvetica Neue" w:hAnsi="Helvetica Neue"/>
                <w:b/>
                <w:color w:val="082A4A"/>
                <w:sz w:val="15"/>
              </w:rPr>
              <w:t>Exit criteria</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M1</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Architecture baseline and demo stabilization</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Build passes, login works, core routes smoke-test, and this system-design document is accepted as the engineering baseline.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M2</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Workflow and validation UAT</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Workflow designer/runtime, assignment integrity, DQ, security, FOI, privacy, sharing, and open-data scenarios pass role-specific tests.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M3</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Production hardening</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SSO, managed secrets, object storage, backups, monitoring, audit retention, HTTPS hosting, and data residency decisions are implemented.</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M4</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Enterprise connector rollout</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Approved connectors run with reconciliation, retry, writeback logs, webhook tokens, and clear operational ownership.</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M5</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Pilot governance rollout</w:t>
            </w:r>
          </w:p>
        </w:tc>
        <w:tc>
          <w:tcPr>
            <w:tcW w:type="dxa" w:w="3408"/>
            <w:vAlign w:val="center"/>
            <w:tcBorders>
              <w:top w:val="single" w:sz="6" w:space="0" w:color="D6E2EA"/>
              <w:left w:val="single" w:sz="6" w:space="0" w:color="D6E2EA"/>
              <w:bottom w:val="single" w:sz="6" w:space="0" w:color="D6E2EA"/>
              <w:right w:val="single" w:sz="6" w:space="0" w:color="D6E2EA"/>
            </w:tcBorders>
            <w:tcMar>
              <w:top w:w="80" w:type="dxa"/>
              <w:start w:w="90" w:type="dxa"/>
              <w:bottom w:w="80" w:type="dxa"/>
              <w:end w:w="90" w:type="dxa"/>
            </w:tcMar>
            <w:shd w:fill="F5F9FC"/>
          </w:tcPr>
          <w:p>
            <w:pPr>
              <w:spacing w:after="0" w:line="252" w:lineRule="auto"/>
            </w:pPr>
            <w:r>
              <w:rPr>
                <w:rFonts w:ascii="Helvetica Neue" w:hAnsi="Helvetica Neue"/>
                <w:b w:val="0"/>
                <w:color w:val="0B1720"/>
                <w:sz w:val="15"/>
              </w:rPr>
              <w:t>One or two domains use DGOP for real steward work with severity thresholds, rollback plan, and executive review cadence.</w:t>
            </w:r>
          </w:p>
        </w:tc>
      </w:tr>
    </w:tbl>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[Organization Name]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DGOP System Design and Feature Structure</dc:title>
  <cp:lastModifiedBy>python-docx</cp:lastModifiedBy>
  <cp:revision>1</cp:revision>
  <dcterms:modified xsi:type="dcterms:W3CDTF">2026-07-28T21:08:30Z</dcterms:modified>
  <dc:subject>Architecture and feature documentation for DGOP</dc:subject>
  <dc:creator>Codex</dc:creator>
  <cp:keywords>DGOP, data governance, system design, Angular, NestJS, Prisma, workflow</cp:keywords>
  <dc:description>Built from retained system-design template 13504F6C221A42C1726460A9E865E563355539FF97D702D6C9B2267B4B261D76</dc:description>
</cp:coreProperties>
</file>