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i w:val="0"/>
          <w:color w:val="595959"/>
          <w:sz w:val="22"/>
        </w:rPr>
        <w:t>DGOP</w:t>
      </w:r>
    </w:p>
    <w:p>
      <w:pPr>
        <w:spacing w:before="0" w:after="80" w:line="240" w:lineRule="auto"/>
      </w:pPr>
      <w:r>
        <w:rPr>
          <w:rFonts w:ascii="Calibri" w:hAnsi="Calibri"/>
          <w:b/>
          <w:i w:val="0"/>
          <w:color w:val="0B2545"/>
          <w:sz w:val="48"/>
        </w:rPr>
        <w:t>Stack Recommendation and Project Risk Review</w:t>
      </w:r>
    </w:p>
    <w:p>
      <w:pPr>
        <w:spacing w:before="0" w:after="280" w:line="264" w:lineRule="auto"/>
      </w:pPr>
      <w:r>
        <w:rPr>
          <w:rFonts w:ascii="Calibri" w:hAnsi="Calibri"/>
          <w:b w:val="0"/>
          <w:i w:val="0"/>
          <w:color w:val="595959"/>
          <w:sz w:val="26"/>
        </w:rPr>
        <w:t>A senior data governance and software engineering perspective for a practical MVP path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BE3"/>
          <w:left w:val="single" w:sz="4" w:space="0" w:color="D6DBE3"/>
          <w:bottom w:val="single" w:sz="4" w:space="0" w:color="D6DBE3"/>
          <w:right w:val="single" w:sz="4" w:space="0" w:color="D6DBE3"/>
          <w:insideH w:val="single" w:sz="4" w:space="0" w:color="D6DBE3"/>
          <w:insideV w:val="single" w:sz="4" w:space="0" w:color="D6DBE3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Prepared for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DGOP senior team discussion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Align technology choices, protect delivery focus, and reduce project risk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Recommendation posture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Respect the enterprise vision, but start with a disciplined modular MVP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Date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June 19, 2026</w:t>
            </w:r>
          </w:p>
        </w:tc>
      </w:tr>
    </w:tbl>
    <w:p>
      <w:pPr>
        <w:spacing w:before="0" w:after="16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BE3"/>
          <w:left w:val="single" w:sz="4" w:space="0" w:color="D6DBE3"/>
          <w:bottom w:val="single" w:sz="4" w:space="0" w:color="D6DBE3"/>
          <w:right w:val="single" w:sz="4" w:space="0" w:color="D6DBE3"/>
          <w:insideH w:val="single" w:sz="4" w:space="0" w:color="D6DBE3"/>
          <w:insideV w:val="single" w:sz="4" w:space="0" w:color="D6DB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0B2545"/>
                <w:sz w:val="22"/>
              </w:rPr>
              <w:t>Core message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000000"/>
                <w:sz w:val="22"/>
              </w:rPr>
              <w:t>DGOP is a strong idea, but it should be protected from becoming too large too early. The safest path is to prove one complete governance operation flow first, using an enterprise-respectable stack that a small team can actually deliver.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1. Recommended Position To Share With Other Seniors</w:t>
      </w:r>
    </w:p>
    <w:p>
      <w:pPr>
        <w:spacing w:before="0" w:after="8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I would frame the discussion kindly and directly like this: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BE3"/>
          <w:left w:val="single" w:sz="4" w:space="0" w:color="D6DBE3"/>
          <w:bottom w:val="single" w:sz="4" w:space="0" w:color="D6DBE3"/>
          <w:right w:val="single" w:sz="4" w:space="0" w:color="D6DBE3"/>
          <w:insideH w:val="single" w:sz="4" w:space="0" w:color="D6DBE3"/>
          <w:insideV w:val="single" w:sz="4" w:space="0" w:color="D6DB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7A5A00"/>
                <w:sz w:val="22"/>
              </w:rPr>
              <w:t>Suggested wording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000000"/>
                <w:sz w:val="22"/>
              </w:rPr>
              <w:t>DGOP should begin as a focused governance operations MVP, not as a full enterprise platform on day one. We should prove the core value through one polished end-to-end flow, then expand domain coverage, integrations, infrastructure, and automation in controlled phases.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This positioning is respectful because it does not reject the broader vision. It says the enterprise vision is valid, but the first build must be sequenced in a way that protects quality, trust, and delivery momentum.</w:t>
      </w:r>
    </w:p>
    <w:p>
      <w:r>
        <w:br w:type="page"/>
      </w:r>
    </w:p>
    <w:p>
      <w:pPr>
        <w:pStyle w:val="Heading1"/>
        <w:pageBreakBefore w:val="0"/>
      </w:pPr>
      <w:r>
        <w:t>2. Preferred Stack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If choosing fresh as both a data governance and software engineering decision, I recommend the following stack: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</w:tblPr>
      <w:tblGrid>
        <w:gridCol w:w="1450"/>
        <w:gridCol w:w="2900"/>
        <w:gridCol w:w="5010"/>
      </w:tblGrid>
      <w:t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Layer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Recommendation</w:t>
            </w:r>
          </w:p>
        </w:tc>
        <w:tc>
          <w:tcPr>
            <w:tcW w:type="dxa" w:w="5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Reason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Frontend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Angular + Angular Material/CDK + TypeScript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Best fit for a dense enterprise operations app with forms, tables, routing, guards, bilingual/RTL UI, and consistent component patterns.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Backend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NestJS + TypeScript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Enterprise-style structure with modules, dependency injection, guards, DTO validation, OpenAPI support, and strong testing patterns.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Database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PostgreSQL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DGOP is records, relationships, workflows, evidence, audit logs, and reporting. PostgreSQL should be the center of gravity.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ORM/Data Access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Prisma, with raw SQL where needed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Fast schema iteration, migrations, type-safe access, and a clear escape hatch for reporting or complex queries.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Auth/IAM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Keycloak for pilot/production; simple local auth only for prototype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Keeps identity standards-based and avoids custom authentication becoming a long-term liability.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Evidence Files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MinIO or S3-compatible object storage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Evidence files need metadata, hashing, access control, retention, and a future path to object storage.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Workflow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Internal workflow engine first; Camunda later only if BPMN is mandatory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Avoids making BPMN infrastructure the project before governance value is proven.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Search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PostgreSQL full-text search first; OpenSearch later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Keeps early operations simple while preserving a clear route for advanced search.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Deployment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Docker Compose for demo/pilot; Kubernetes later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Good enough to run consistently without adding platform engineering too early.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Architecture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Modular monolith with strict bounded contexts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Fastest serious path for a small team; can be split into services later if scale and team size justify it.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3. Why This Stack Fits DGOP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>DGOP is an internal enterprise operations platform, not a public marketing site. The UI will be heavy on lists, filters, forms, dashboards, detail panels, permissions, and workflows.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>Angular gives the frontend a consistent, opinionated structure. That matters because inconsistent screens would damage trust in a governance product.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>NestJS keeps the backend structured without forcing the team into Java/Spring complexity before the MVP proves product value.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>PostgreSQL fits the data model better than document-first storage because DGOP depends on ownership relationships, workflow history, evidence status, audit trails, and reporting.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>A modular monolith keeps delivery practical while still allowing a future migration to microservices if the product becomes large enough to need it.</w:t>
      </w:r>
    </w:p>
    <w:p>
      <w:pPr>
        <w:pStyle w:val="Heading1"/>
      </w:pPr>
      <w:r>
        <w:t>4. Recommended First MVP Slice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first MVP should prove one complete governance story. The best slice is: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BE3"/>
          <w:left w:val="single" w:sz="4" w:space="0" w:color="D6DBE3"/>
          <w:bottom w:val="single" w:sz="4" w:space="0" w:color="D6DBE3"/>
          <w:right w:val="single" w:sz="4" w:space="0" w:color="D6DBE3"/>
          <w:insideH w:val="single" w:sz="4" w:space="0" w:color="D6DBE3"/>
          <w:insideV w:val="single" w:sz="4" w:space="0" w:color="D6DB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0B2545"/>
                <w:sz w:val="22"/>
              </w:rPr>
              <w:t>MVP flow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000000"/>
                <w:sz w:val="22"/>
              </w:rPr>
              <w:t>Asset Registry -&gt; Owner/Steward Assignment -&gt; Approval Workflow -&gt; NDI Evidence Upload -&gt; Readiness Score -&gt; Executive/DMO Dashboard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This single flow is enough to demonstrate that DGOP can turn governance policy into accountable operations. It is much stronger than showing many unfinished modules.</w:t>
      </w:r>
    </w:p>
    <w:p>
      <w:pPr>
        <w:pStyle w:val="Heading1"/>
      </w:pPr>
      <w:r>
        <w:t>5. Suggested Modular Structure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</w:tblPr>
      <w:tblGrid>
        <w:gridCol w:w="1750"/>
        <w:gridCol w:w="2600"/>
        <w:gridCol w:w="5010"/>
      </w:tblGrid>
      <w:t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Modules</w:t>
            </w:r>
          </w:p>
        </w:tc>
        <w:tc>
          <w:tcPr>
            <w:tcW w:type="dxa" w:w="5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Foundation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auth, users, audit, common, config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Identity, authorization, shared guards, logging, error handling, environment validation.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Governance Configuration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admin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Domains, subjects, capabilities, classifications, organization units, systems, role types, RACI templates.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Core Operations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assets, ownership, workflow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Asset registry, Asset 360, owner/steward rules, approval cases, tasks, timelines, SLA status.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Compliance Evidence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ndi, evidence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NDI specifications, evidence lifecycle, upload/review, evidence hash, score and gap calculation.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Visibility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dashboard, reports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Persona dashboards, readiness summaries, exportable operational reports.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Future Expansion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integrations, notifications, foi, opendata, pdp, dsi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Mock/CSV first, then real adapters and advanced domain modules after the MVP validates demand.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6. Kind But Clear Advice For The Senior Team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>Agree on the first target: demo, pilot, or production. Do not design a demo as if it must already meet every production requirement.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>Pick the first 2 or 3 NDI domains for MVP. Avoid starting with all 12 domains.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>Use mock integrations and CSV imports first. Real catalog, DQ, DLP, FOI, LMS, and SIEM integrations can come after the core product proves itself.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>Treat Arabic/English and accessibility as real scope from day one, not a final polish task.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>Keep senior discussions focused on decision logs: stack, scope, MVP flow, security posture, data policy, and acceptance owner.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000000"/>
          <w:sz w:val="22"/>
        </w:rPr>
        <w:t>Make every sprint end with user stories, test cases, demo notes, known limitations, and one named person who accepts or rejects the increment.</w:t>
      </w:r>
    </w:p>
    <w:p>
      <w:pPr>
        <w:pStyle w:val="Heading1"/>
      </w:pPr>
      <w:r>
        <w:t>7. Project Risks And How To Avoid Them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</w:tblPr>
      <w:tblGrid>
        <w:gridCol w:w="2050"/>
        <w:gridCol w:w="750"/>
        <w:gridCol w:w="3100"/>
        <w:gridCol w:w="3460"/>
      </w:tblGrid>
      <w:tr>
        <w:tc>
          <w:tcPr>
            <w:tcW w:type="dxa" w:w="2050"/>
            <w:shd w:fill="F2E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Risk</w:t>
            </w:r>
          </w:p>
        </w:tc>
        <w:tc>
          <w:tcPr>
            <w:tcW w:type="dxa" w:w="750"/>
            <w:shd w:fill="F2E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Level</w:t>
            </w:r>
          </w:p>
        </w:tc>
        <w:tc>
          <w:tcPr>
            <w:tcW w:type="dxa" w:w="3100"/>
            <w:shd w:fill="F2E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How It Shows Up</w:t>
            </w:r>
          </w:p>
        </w:tc>
        <w:tc>
          <w:tcPr>
            <w:tcW w:type="dxa" w:w="3460"/>
            <w:shd w:fill="F2E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Mitigation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Scope expands before value is proven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High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Trying to build all domains, workflows, integrations, dashboards, and reports at once.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Lock one MVP flow. Maintain a defer list. No new module enters MVP unless it supports the asset-to-evidence dashboard story.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Architecture becomes too heavy too early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High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Starting with microservices, Kafka, Kubernetes, and service mesh before core workflows exist.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Use modular monolith plus Docker Compose first. Define module boundaries and events now, split services later only with evidence.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Stack debate delays delivery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Medium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Senior stakeholders debate Angular vs React, Java vs Node, or microservices vs monolith without tying it to team capacity.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Use a short architecture decision record. Select the stack based on team capacity, UI complexity, delivery speed, and migration path.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Governance model is unclear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High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Roles, RACI, data owners, stewards, approvers, and evidence reviewers are not agreed.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Define the first six roles and one approval flow. Validate with sample assets before adding more governance variations.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Security expectations exceed MVP controls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High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Product is shown as if production-grade while using demo-level auth, data, hosting, or file storage.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Label environments clearly. Use synthetic data. Add audit from Sprint 1. Do not claim production readiness until controls are tested.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Evidence handling becomes weak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High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Files are uploaded without hashes, metadata, lifecycle, access logs, or retention thinking.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Store file metadata in PostgreSQL, keep SHA-256 hashes, track status history, and log upload/download/review actions.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Bilingual/RTL work is underestimated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Medium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Arabic labels, layout mirroring, date formats, and text overflow are delayed.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Put i18n, RTL layout, and Arabic sample data into the foundation sprint. Test every shared component in both directions.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Integrations block progress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Medium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Waiting for real catalog, DQ, DLP, FOI, or portal systems before DGOP can demonstrate value.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Build adapter interfaces with mock and CSV implementations. Real integrations become separate acceptance items later.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Dashboards lose trust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Medium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Scores and readiness numbers appear without transparent calculation or drill-down.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Every KPI must have a formula, source, timestamp, and drill-down to the records behind the number.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No clear acceptance owner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High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Seniors continue to discuss whether a sprint is done after the team has moved on.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Assign one product/business owner for sprint acceptance and require written pass/fail notes for each test package.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pageBreakBefore/>
      </w:pPr>
      <w:r>
        <w:t>8. Recommended Discussion Agenda For The Next Senior Meeting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</w:tblPr>
      <w:tblGrid>
        <w:gridCol w:w="500"/>
        <w:gridCol w:w="2050"/>
        <w:gridCol w:w="6810"/>
      </w:tblGrid>
      <w:t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#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Topic</w:t>
            </w:r>
          </w:p>
        </w:tc>
        <w:tc>
          <w:tcPr>
            <w:tcW w:type="dxa" w:w="68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Decision Needed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Confirm target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Demo, pilot, or production. Decide this first because it changes every other decision.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Lock MVP flow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Approve the asset -&gt; ownership -&gt; workflow -&gt; evidence -&gt; score -&gt; dashboard flow.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Select stack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Approve Angular + NestJS + PostgreSQL + Prisma, with Keycloak/MinIO for pilot path.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Choose domain scope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Pick the first 2 or 3 NDI domains. Recommend DG plus DQ plus PDP or OD.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Confirm roles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Start with System Admin, DMO Admin, Data Owner, Steward, Evidence Reviewer, Executive.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Agree risk boundaries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Synthetic data only, mock integrations first, no production claim until security controls are ready.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Assign acceptance owner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 w:before="0"/>
            </w:pPr>
            <w:r>
              <w:rPr>
                <w:rFonts w:ascii="Calibri" w:hAnsi="Calibri"/>
                <w:color w:val="000000"/>
                <w:sz w:val="18"/>
              </w:rPr>
              <w:t>One person signs off sprint outputs using user stories and test cases.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9. Final Recommendation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BE3"/>
          <w:left w:val="single" w:sz="4" w:space="0" w:color="D6DBE3"/>
          <w:bottom w:val="single" w:sz="4" w:space="0" w:color="D6DBE3"/>
          <w:right w:val="single" w:sz="4" w:space="0" w:color="D6DBE3"/>
          <w:insideH w:val="single" w:sz="4" w:space="0" w:color="D6DBE3"/>
          <w:insideV w:val="single" w:sz="4" w:space="0" w:color="D6DB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C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1E6937"/>
                <w:sz w:val="22"/>
              </w:rPr>
              <w:t>Recommended decision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000000"/>
                <w:sz w:val="22"/>
              </w:rPr>
              <w:t>Proceed with Angular, NestJS, PostgreSQL, Prisma, Keycloak, and MinIO in a modular monolith. Build a polished MVP around one complete governance flow. Defer microservices, Kafka, Kubernetes, full BPMN, advanced AI, and all-domain rollout until the product has proven value with real stakeholders.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This path is serious enough for senior stakeholders and realistic enough for a small team. It protects the long-term enterprise vision by first proving that DGOP can deliver a working governance operating model.</w:t>
      </w:r>
    </w:p>
    <w:p>
      <w:pPr>
        <w:pStyle w:val="Heading1"/>
      </w:pPr>
      <w:r>
        <w:t>Reference Notes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color w:val="595959"/>
          <w:sz w:val="19"/>
        </w:rPr>
        <w:t>The stack recommendation is aligned with current official documentation for Angular, Angular Material, NestJS, PostgreSQL, Prisma, Keycloak, and MinIO. These references should support the technical discussion but should not replace a team-specific architecture decision record.</w:t>
      </w:r>
    </w:p>
    <w:p>
      <w:pPr>
        <w:pStyle w:val="ListBullet"/>
        <w:spacing w:after="20" w:line="240" w:lineRule="auto" w:before="0"/>
        <w:ind w:left="720" w:hanging="360"/>
      </w:pPr>
      <w:r>
        <w:rPr>
          <w:rFonts w:ascii="Calibri" w:hAnsi="Calibri"/>
          <w:color w:val="000000"/>
          <w:sz w:val="19"/>
        </w:rPr>
        <w:t>Angular: https://angular.dev/overview</w:t>
      </w:r>
    </w:p>
    <w:p>
      <w:pPr>
        <w:pStyle w:val="ListBullet"/>
        <w:spacing w:after="20" w:line="240" w:lineRule="auto" w:before="0"/>
        <w:ind w:left="720" w:hanging="360"/>
      </w:pPr>
      <w:r>
        <w:rPr>
          <w:rFonts w:ascii="Calibri" w:hAnsi="Calibri"/>
          <w:color w:val="000000"/>
          <w:sz w:val="19"/>
        </w:rPr>
        <w:t>Angular Material: https://material.angular.dev/</w:t>
      </w:r>
    </w:p>
    <w:p>
      <w:pPr>
        <w:pStyle w:val="ListBullet"/>
        <w:spacing w:after="20" w:line="240" w:lineRule="auto" w:before="0"/>
        <w:ind w:left="720" w:hanging="360"/>
      </w:pPr>
      <w:r>
        <w:rPr>
          <w:rFonts w:ascii="Calibri" w:hAnsi="Calibri"/>
          <w:color w:val="000000"/>
          <w:sz w:val="19"/>
        </w:rPr>
        <w:t>NestJS: https://docs.nestjs.com/</w:t>
      </w:r>
    </w:p>
    <w:p>
      <w:pPr>
        <w:pStyle w:val="ListBullet"/>
        <w:spacing w:after="20" w:line="240" w:lineRule="auto" w:before="0"/>
        <w:ind w:left="720" w:hanging="360"/>
      </w:pPr>
      <w:r>
        <w:rPr>
          <w:rFonts w:ascii="Calibri" w:hAnsi="Calibri"/>
          <w:color w:val="000000"/>
          <w:sz w:val="19"/>
        </w:rPr>
        <w:t>PostgreSQL: https://www.postgresql.org/docs/current/</w:t>
      </w:r>
    </w:p>
    <w:p>
      <w:pPr>
        <w:pStyle w:val="ListBullet"/>
        <w:spacing w:after="20" w:line="240" w:lineRule="auto" w:before="0"/>
        <w:ind w:left="720" w:hanging="360"/>
      </w:pPr>
      <w:r>
        <w:rPr>
          <w:rFonts w:ascii="Calibri" w:hAnsi="Calibri"/>
          <w:color w:val="000000"/>
          <w:sz w:val="19"/>
        </w:rPr>
        <w:t>Prisma ORM: https://www.prisma.io/docs/orm</w:t>
      </w:r>
    </w:p>
    <w:p>
      <w:pPr>
        <w:pStyle w:val="ListBullet"/>
        <w:spacing w:after="20" w:line="240" w:lineRule="auto" w:before="0"/>
        <w:ind w:left="720" w:hanging="360"/>
      </w:pPr>
      <w:r>
        <w:rPr>
          <w:rFonts w:ascii="Calibri" w:hAnsi="Calibri"/>
          <w:color w:val="000000"/>
          <w:sz w:val="19"/>
        </w:rPr>
        <w:t>Keycloak OIDC: https://www.keycloak.org/securing-apps/oidc-layers</w:t>
      </w:r>
    </w:p>
    <w:p>
      <w:pPr>
        <w:pStyle w:val="ListBullet"/>
        <w:spacing w:after="20" w:line="240" w:lineRule="auto" w:before="0"/>
        <w:ind w:left="720" w:hanging="360"/>
      </w:pPr>
      <w:r>
        <w:rPr>
          <w:rFonts w:ascii="Calibri" w:hAnsi="Calibri"/>
          <w:color w:val="000000"/>
          <w:sz w:val="19"/>
        </w:rPr>
      </w:r>
      <w:r>
        <w:rPr>
          <w:sz w:val="19"/>
        </w:rPr>
        <w:t>MinIO: https://docs.min.io/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>Prepared for senior DGOP discussion -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DGOP Stack Recommendation and Risk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