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44"/>
        </w:rPr>
        <w:t>DGOP AI Vibe Code Check - Vulnerabilities</w:t>
      </w:r>
    </w:p>
    <w:p>
      <w:pPr>
        <w:spacing w:after="200"/>
      </w:pPr>
      <w:r>
        <w:rPr>
          <w:color w:val="5B677A"/>
          <w:sz w:val="22"/>
        </w:rPr>
        <w:t>Backend, security, database, API, deployment-readiness, and AI/vibe-coding review</w:t>
      </w:r>
    </w:p>
    <w:tbl>
      <w:tblPr>
        <w:tblW w:type="dxa" w:w="9360"/>
        <w:jc w:val="left"/>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700"/>
        <w:gridCol w:w="6660"/>
      </w:tblGrid>
      <w:tr>
        <w:trPr>
          <w:tblHeader w:val="true"/>
        </w:trPr>
        <w:tc>
          <w:tcPr>
            <w:tcW w:type="dxa" w:w="2700"/>
            <w:vAlign w:val="center"/>
            <w:tcMar>
              <w:top w:w="80" w:type="dxa"/>
              <w:start w:w="120" w:type="dxa"/>
              <w:bottom w:w="80" w:type="dxa"/>
              <w:end w:w="120" w:type="dxa"/>
            </w:tcMar>
            <w:shd w:fill="F2F4F7"/>
          </w:tcPr>
          <w:p>
            <w:pPr>
              <w:spacing w:after="0" w:line="264" w:lineRule="auto"/>
            </w:pPr>
            <w:r>
              <w:rPr>
                <w:b/>
                <w:color w:val="0B2545"/>
              </w:rPr>
            </w:r>
            <w:r>
              <w:rPr>
                <w:rFonts w:ascii="Calibri" w:hAnsi="Calibri"/>
                <w:b/>
                <w:color w:val="0B2545"/>
                <w:sz w:val="18"/>
              </w:rPr>
              <w:t>Field</w:t>
            </w:r>
          </w:p>
        </w:tc>
        <w:tc>
          <w:tcPr>
            <w:tcW w:type="dxa" w:w="6660"/>
            <w:vAlign w:val="center"/>
            <w:tcMar>
              <w:top w:w="80" w:type="dxa"/>
              <w:start w:w="120" w:type="dxa"/>
              <w:bottom w:w="80" w:type="dxa"/>
              <w:end w:w="120" w:type="dxa"/>
            </w:tcMar>
            <w:shd w:fill="F2F4F7"/>
          </w:tcPr>
          <w:p>
            <w:pPr>
              <w:spacing w:after="0" w:line="264" w:lineRule="auto"/>
            </w:pPr>
            <w:r>
              <w:rPr>
                <w:b/>
                <w:color w:val="0B2545"/>
              </w:rPr>
            </w:r>
            <w:r>
              <w:rPr>
                <w:rFonts w:ascii="Calibri" w:hAnsi="Calibri"/>
                <w:b/>
                <w:color w:val="0B2545"/>
                <w:sz w:val="18"/>
              </w:rPr>
              <w:t>Details</w:t>
            </w:r>
          </w:p>
        </w:tc>
      </w:tr>
      <w:tr>
        <w:tc>
          <w:tcPr>
            <w:tcW w:type="dxa" w:w="2700"/>
            <w:shd w:fill="F2F4F7"/>
          </w:tcPr>
          <w:p>
            <w:pPr>
              <w:spacing w:after="0" w:line="264" w:lineRule="auto"/>
            </w:pPr>
            <w:r/>
            <w:r>
              <w:rPr>
                <w:rFonts w:ascii="Calibri" w:hAnsi="Calibri"/>
                <w:b/>
                <w:color w:val="0B2545"/>
                <w:sz w:val="18"/>
              </w:rPr>
              <w:t>Project</w:t>
            </w:r>
          </w:p>
        </w:tc>
        <w:tc>
          <w:tcPr>
            <w:tcW w:type="dxa" w:w="6660"/>
          </w:tcPr>
          <w:p>
            <w:pPr>
              <w:spacing w:after="0" w:line="264" w:lineRule="auto"/>
            </w:pPr>
            <w:r/>
            <w:r>
              <w:rPr>
                <w:rFonts w:ascii="Calibri" w:hAnsi="Calibri"/>
                <w:b w:val="0"/>
                <w:color w:val="000000"/>
                <w:sz w:val="18"/>
              </w:rPr>
              <w:t>DGOP - Enterprise Governance Operations Platform</w:t>
            </w:r>
          </w:p>
        </w:tc>
      </w:tr>
      <w:tr>
        <w:tc>
          <w:tcPr>
            <w:tcW w:type="dxa" w:w="2700"/>
            <w:shd w:fill="F2F4F7"/>
          </w:tcPr>
          <w:p>
            <w:pPr>
              <w:spacing w:after="0" w:line="264" w:lineRule="auto"/>
            </w:pPr>
            <w:r/>
            <w:r>
              <w:rPr>
                <w:rFonts w:ascii="Calibri" w:hAnsi="Calibri"/>
                <w:b/>
                <w:color w:val="0B2545"/>
                <w:sz w:val="18"/>
              </w:rPr>
              <w:t>Review Date</w:t>
            </w:r>
          </w:p>
        </w:tc>
        <w:tc>
          <w:tcPr>
            <w:tcW w:type="dxa" w:w="6660"/>
          </w:tcPr>
          <w:p>
            <w:pPr>
              <w:spacing w:after="0" w:line="264" w:lineRule="auto"/>
            </w:pPr>
            <w:r/>
            <w:r>
              <w:rPr>
                <w:rFonts w:ascii="Calibri" w:hAnsi="Calibri"/>
                <w:b w:val="0"/>
                <w:color w:val="000000"/>
                <w:sz w:val="18"/>
              </w:rPr>
              <w:t>July 7, 2026</w:t>
            </w:r>
          </w:p>
        </w:tc>
      </w:tr>
      <w:tr>
        <w:tc>
          <w:tcPr>
            <w:tcW w:type="dxa" w:w="2700"/>
            <w:shd w:fill="F2F4F7"/>
          </w:tcPr>
          <w:p>
            <w:pPr>
              <w:spacing w:after="0" w:line="264" w:lineRule="auto"/>
            </w:pPr>
            <w:r/>
            <w:r>
              <w:rPr>
                <w:rFonts w:ascii="Calibri" w:hAnsi="Calibri"/>
                <w:b/>
                <w:color w:val="0B2545"/>
                <w:sz w:val="18"/>
              </w:rPr>
              <w:t>Scope</w:t>
            </w:r>
          </w:p>
        </w:tc>
        <w:tc>
          <w:tcPr>
            <w:tcW w:type="dxa" w:w="6660"/>
          </w:tcPr>
          <w:p>
            <w:pPr>
              <w:spacing w:after="0" w:line="264" w:lineRule="auto"/>
            </w:pPr>
            <w:r/>
            <w:r>
              <w:rPr>
                <w:rFonts w:ascii="Calibri" w:hAnsi="Calibri"/>
                <w:b w:val="0"/>
                <w:color w:val="000000"/>
                <w:sz w:val="18"/>
              </w:rPr>
              <w:t>NestJS API, Prisma schema/migrations, security governance, data quality, uploads, auth, deployment readiness, and selected frontend build/audit checks.</w:t>
            </w:r>
          </w:p>
        </w:tc>
      </w:tr>
      <w:tr>
        <w:tc>
          <w:tcPr>
            <w:tcW w:type="dxa" w:w="2700"/>
            <w:shd w:fill="F2F4F7"/>
          </w:tcPr>
          <w:p>
            <w:pPr>
              <w:spacing w:after="0" w:line="264" w:lineRule="auto"/>
            </w:pPr>
            <w:r/>
            <w:r>
              <w:rPr>
                <w:rFonts w:ascii="Calibri" w:hAnsi="Calibri"/>
                <w:b/>
                <w:color w:val="0B2545"/>
                <w:sz w:val="18"/>
              </w:rPr>
              <w:t>Overall Readiness</w:t>
            </w:r>
          </w:p>
        </w:tc>
        <w:tc>
          <w:tcPr>
            <w:tcW w:type="dxa" w:w="6660"/>
          </w:tcPr>
          <w:p>
            <w:pPr>
              <w:spacing w:after="0" w:line="264" w:lineRule="auto"/>
            </w:pPr>
            <w:r/>
            <w:r>
              <w:rPr>
                <w:rFonts w:ascii="Calibri" w:hAnsi="Calibri"/>
                <w:b w:val="0"/>
                <w:color w:val="000000"/>
                <w:sz w:val="18"/>
              </w:rPr>
              <w:t>Needs Fixes before production deployment</w:t>
            </w:r>
          </w:p>
        </w:tc>
      </w:tr>
    </w:tbl>
    <w:p/>
    <w:p>
      <w:pPr>
        <w:spacing w:before="120" w:after="120" w:line="264" w:lineRule="auto"/>
        <w:ind w:left="120" w:right="120"/>
        <w:shd w:fill="FFF4F4"/>
        <w:pBdr>
          <w:top w:val="single" w:sz="4" w:space="4" w:color="D4DAE3"/>
          <w:left w:val="single" w:sz="4" w:space="4" w:color="D4DAE3"/>
          <w:bottom w:val="single" w:sz="4" w:space="4" w:color="D4DAE3"/>
          <w:right w:val="single" w:sz="4" w:space="4" w:color="D4DAE3"/>
        </w:pBdr>
      </w:pPr>
      <w:r>
        <w:rPr>
          <w:b/>
          <w:color w:val="9B1C1C"/>
          <w:sz w:val="22"/>
        </w:rPr>
        <w:t>Executive conclusion</w:t>
        <w:br/>
      </w:r>
      <w:r>
        <w:rPr>
          <w:color w:val="000000"/>
          <w:sz w:val="20"/>
        </w:rPr>
        <w:t>The backend is not throwaway AI code: guards, DTO validation, Prisma constraints, audit logs, migrations, and tests are present. However, it should not be trusted for real users until the high-risk upload dependency, evidence authorization, asset write scope, JWT fallback, and production CORS issues are fixed.</w:t>
      </w:r>
    </w:p>
    <w:p>
      <w:pPr>
        <w:pStyle w:val="Heading1"/>
      </w:pPr>
      <w:r>
        <w:t>A. Executive Summary</w:t>
      </w:r>
    </w:p>
    <w:p>
      <w:pPr/>
      <w:r>
        <w:t>Overall backend readiness level: Needs Fixes. The app is suitable for controlled demos and sprint validation, but not for production or external client data until the high-risk findings are resolved.</w:t>
      </w:r>
    </w:p>
    <w:p>
      <w:pPr>
        <w:pStyle w:val="ListBullet"/>
      </w:pPr>
      <w:r>
        <w:t>Biggest risks are upload dependency advisories, evidence file authorization, data-scope enforcement on asset writes, insecure fallback configuration, and deployment hardening gaps.</w:t>
      </w:r>
    </w:p>
    <w:p>
      <w:pPr>
        <w:pStyle w:val="ListBullet"/>
      </w:pPr>
      <w:r>
        <w:t>Strong areas include global auth guards, permission decorators, DTO validation, Prisma migrations, audit logging, and focused service tests.</w:t>
      </w:r>
    </w:p>
    <w:p>
      <w:pPr>
        <w:pStyle w:val="ListBullet"/>
      </w:pPr>
      <w:r>
        <w:t>The working tree contains uncommitted Sprint 13/14 changes and migrations, so deployment readiness depends on committing and validating that exact state.</w:t>
      </w:r>
    </w:p>
    <w:p>
      <w:pPr>
        <w:pStyle w:val="Heading1"/>
      </w:pPr>
      <w:r>
        <w:t>B. Top Vulnerabilities and Fixes</w:t>
      </w:r>
    </w:p>
    <w:tbl>
      <w:tblPr>
        <w:tblW w:type="dxa" w:w="9360"/>
        <w:jc w:val="left"/>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00"/>
        <w:gridCol w:w="1000"/>
        <w:gridCol w:w="1850"/>
        <w:gridCol w:w="2100"/>
        <w:gridCol w:w="1850"/>
        <w:gridCol w:w="2060"/>
      </w:tblGrid>
      <w:tr>
        <w:trPr>
          <w:tblHeader w:val="true"/>
        </w:trPr>
        <w:tc>
          <w:tcPr>
            <w:tcW w:type="dxa" w:w="500"/>
            <w:vAlign w:val="center"/>
            <w:tcMar>
              <w:top w:w="80" w:type="dxa"/>
              <w:start w:w="120" w:type="dxa"/>
              <w:bottom w:w="80" w:type="dxa"/>
              <w:end w:w="120" w:type="dxa"/>
            </w:tcMar>
            <w:shd w:fill="F2F4F7"/>
          </w:tcPr>
          <w:p>
            <w:pPr>
              <w:spacing w:after="0" w:line="264" w:lineRule="auto"/>
              <w:jc w:val="center"/>
            </w:pPr>
            <w:r>
              <w:rPr>
                <w:b/>
                <w:color w:val="0B2545"/>
              </w:rPr>
            </w:r>
            <w:r>
              <w:rPr>
                <w:rFonts w:ascii="Calibri" w:hAnsi="Calibri"/>
                <w:b/>
                <w:color w:val="0B2545"/>
                <w:sz w:val="17"/>
              </w:rPr>
              <w:t>#</w:t>
            </w:r>
          </w:p>
        </w:tc>
        <w:tc>
          <w:tcPr>
            <w:tcW w:type="dxa" w:w="1000"/>
            <w:vAlign w:val="center"/>
            <w:tcMar>
              <w:top w:w="80" w:type="dxa"/>
              <w:start w:w="120" w:type="dxa"/>
              <w:bottom w:w="80" w:type="dxa"/>
              <w:end w:w="120" w:type="dxa"/>
            </w:tcMar>
            <w:shd w:fill="F2F4F7"/>
          </w:tcPr>
          <w:p>
            <w:pPr>
              <w:spacing w:after="0" w:line="264" w:lineRule="auto"/>
              <w:jc w:val="center"/>
            </w:pPr>
            <w:r>
              <w:rPr>
                <w:b/>
                <w:color w:val="0B2545"/>
              </w:rPr>
            </w:r>
            <w:r>
              <w:rPr>
                <w:rFonts w:ascii="Calibri" w:hAnsi="Calibri"/>
                <w:b/>
                <w:color w:val="0B2545"/>
                <w:sz w:val="17"/>
              </w:rPr>
              <w:t>Severity</w:t>
            </w:r>
          </w:p>
        </w:tc>
        <w:tc>
          <w:tcPr>
            <w:tcW w:type="dxa" w:w="1850"/>
            <w:vAlign w:val="center"/>
            <w:tcMar>
              <w:top w:w="80" w:type="dxa"/>
              <w:start w:w="120" w:type="dxa"/>
              <w:bottom w:w="80" w:type="dxa"/>
              <w:end w:w="120" w:type="dxa"/>
            </w:tcMar>
            <w:shd w:fill="F2F4F7"/>
          </w:tcPr>
          <w:p>
            <w:pPr>
              <w:spacing w:after="0" w:line="264" w:lineRule="auto"/>
              <w:jc w:val="center"/>
            </w:pPr>
            <w:r>
              <w:rPr>
                <w:b/>
                <w:color w:val="0B2545"/>
              </w:rPr>
            </w:r>
            <w:r>
              <w:rPr>
                <w:rFonts w:ascii="Calibri" w:hAnsi="Calibri"/>
                <w:b/>
                <w:color w:val="0B2545"/>
                <w:sz w:val="17"/>
              </w:rPr>
              <w:t>Issue</w:t>
            </w:r>
          </w:p>
        </w:tc>
        <w:tc>
          <w:tcPr>
            <w:tcW w:type="dxa" w:w="2100"/>
            <w:vAlign w:val="center"/>
            <w:tcMar>
              <w:top w:w="80" w:type="dxa"/>
              <w:start w:w="120" w:type="dxa"/>
              <w:bottom w:w="80" w:type="dxa"/>
              <w:end w:w="120" w:type="dxa"/>
            </w:tcMar>
            <w:shd w:fill="F2F4F7"/>
          </w:tcPr>
          <w:p>
            <w:pPr>
              <w:spacing w:after="0" w:line="264" w:lineRule="auto"/>
              <w:jc w:val="center"/>
            </w:pPr>
            <w:r>
              <w:rPr>
                <w:b/>
                <w:color w:val="0B2545"/>
              </w:rPr>
            </w:r>
            <w:r>
              <w:rPr>
                <w:rFonts w:ascii="Calibri" w:hAnsi="Calibri"/>
                <w:b/>
                <w:color w:val="0B2545"/>
                <w:sz w:val="17"/>
              </w:rPr>
              <w:t>Evidence</w:t>
            </w:r>
          </w:p>
        </w:tc>
        <w:tc>
          <w:tcPr>
            <w:tcW w:type="dxa" w:w="1850"/>
            <w:vAlign w:val="center"/>
            <w:tcMar>
              <w:top w:w="80" w:type="dxa"/>
              <w:start w:w="120" w:type="dxa"/>
              <w:bottom w:w="80" w:type="dxa"/>
              <w:end w:w="120" w:type="dxa"/>
            </w:tcMar>
            <w:shd w:fill="F2F4F7"/>
          </w:tcPr>
          <w:p>
            <w:pPr>
              <w:spacing w:after="0" w:line="264" w:lineRule="auto"/>
              <w:jc w:val="center"/>
            </w:pPr>
            <w:r>
              <w:rPr>
                <w:b/>
                <w:color w:val="0B2545"/>
              </w:rPr>
            </w:r>
            <w:r>
              <w:rPr>
                <w:rFonts w:ascii="Calibri" w:hAnsi="Calibri"/>
                <w:b/>
                <w:color w:val="0B2545"/>
                <w:sz w:val="17"/>
              </w:rPr>
              <w:t>Risk</w:t>
            </w:r>
          </w:p>
        </w:tc>
        <w:tc>
          <w:tcPr>
            <w:tcW w:type="dxa" w:w="2060"/>
            <w:vAlign w:val="center"/>
            <w:tcMar>
              <w:top w:w="80" w:type="dxa"/>
              <w:start w:w="120" w:type="dxa"/>
              <w:bottom w:w="80" w:type="dxa"/>
              <w:end w:w="120" w:type="dxa"/>
            </w:tcMar>
            <w:shd w:fill="F2F4F7"/>
          </w:tcPr>
          <w:p>
            <w:pPr>
              <w:spacing w:after="0" w:line="264" w:lineRule="auto"/>
              <w:jc w:val="center"/>
            </w:pPr>
            <w:r>
              <w:rPr>
                <w:b/>
                <w:color w:val="0B2545"/>
              </w:rPr>
            </w:r>
            <w:r>
              <w:rPr>
                <w:rFonts w:ascii="Calibri" w:hAnsi="Calibri"/>
                <w:b/>
                <w:color w:val="0B2545"/>
                <w:sz w:val="17"/>
              </w:rPr>
              <w:t>Recommended Fix</w:t>
            </w:r>
          </w:p>
        </w:tc>
      </w:tr>
      <w:tr>
        <w:tc>
          <w:tcPr>
            <w:tcW w:type="dxa" w:w="500"/>
          </w:tcPr>
          <w:p>
            <w:pPr>
              <w:spacing w:after="0" w:line="264" w:lineRule="auto"/>
              <w:jc w:val="center"/>
            </w:pPr>
            <w:r/>
            <w:r>
              <w:rPr>
                <w:rFonts w:ascii="Calibri" w:hAnsi="Calibri"/>
                <w:b/>
                <w:color w:val="000000"/>
                <w:sz w:val="16"/>
              </w:rPr>
              <w:t>1</w:t>
            </w:r>
          </w:p>
        </w:tc>
        <w:tc>
          <w:tcPr>
            <w:tcW w:type="dxa" w:w="1000"/>
          </w:tcPr>
          <w:p>
            <w:pPr>
              <w:spacing w:after="0" w:line="264" w:lineRule="auto"/>
              <w:jc w:val="center"/>
            </w:pPr>
            <w:r/>
            <w:r>
              <w:rPr>
                <w:rFonts w:ascii="Calibri" w:hAnsi="Calibri"/>
                <w:b/>
                <w:color w:val="9B1C1C"/>
                <w:sz w:val="16"/>
              </w:rPr>
              <w:t>High</w:t>
            </w:r>
          </w:p>
        </w:tc>
        <w:tc>
          <w:tcPr>
            <w:tcW w:type="dxa" w:w="1850"/>
          </w:tcPr>
          <w:p>
            <w:pPr>
              <w:spacing w:after="0" w:line="264" w:lineRule="auto"/>
              <w:jc w:val="left"/>
            </w:pPr>
            <w:r/>
            <w:r>
              <w:rPr>
                <w:rFonts w:ascii="Calibri" w:hAnsi="Calibri"/>
                <w:b/>
                <w:color w:val="000000"/>
                <w:sz w:val="16"/>
              </w:rPr>
              <w:t>API upload dependency vulnerabilities</w:t>
            </w:r>
          </w:p>
        </w:tc>
        <w:tc>
          <w:tcPr>
            <w:tcW w:type="dxa" w:w="2100"/>
          </w:tcPr>
          <w:p>
            <w:pPr>
              <w:spacing w:after="0" w:line="264" w:lineRule="auto"/>
              <w:jc w:val="left"/>
            </w:pPr>
            <w:r/>
            <w:r>
              <w:rPr>
                <w:rFonts w:ascii="Calibri" w:hAnsi="Calibri"/>
                <w:b w:val="0"/>
                <w:color w:val="000000"/>
                <w:sz w:val="16"/>
              </w:rPr>
              <w:t>apps/api package audit: multer via @nestjs/platform-express</w:t>
            </w:r>
          </w:p>
        </w:tc>
        <w:tc>
          <w:tcPr>
            <w:tcW w:type="dxa" w:w="1850"/>
          </w:tcPr>
          <w:p>
            <w:pPr>
              <w:spacing w:after="0" w:line="264" w:lineRule="auto"/>
              <w:jc w:val="left"/>
            </w:pPr>
            <w:r/>
            <w:r>
              <w:rPr>
                <w:rFonts w:ascii="Calibri" w:hAnsi="Calibri"/>
                <w:b w:val="0"/>
                <w:color w:val="000000"/>
                <w:sz w:val="16"/>
              </w:rPr>
              <w:t>High-severity DoS advisories can affect upload endpoints.</w:t>
            </w:r>
          </w:p>
        </w:tc>
        <w:tc>
          <w:tcPr>
            <w:tcW w:type="dxa" w:w="2060"/>
          </w:tcPr>
          <w:p>
            <w:pPr>
              <w:spacing w:after="0" w:line="264" w:lineRule="auto"/>
              <w:jc w:val="left"/>
            </w:pPr>
            <w:r/>
            <w:r>
              <w:rPr>
                <w:rFonts w:ascii="Calibri" w:hAnsi="Calibri"/>
                <w:b w:val="0"/>
                <w:color w:val="000000"/>
                <w:sz w:val="16"/>
              </w:rPr>
              <w:t>Upgrade Nest/platform-express path safely and verify upload tests.</w:t>
            </w:r>
          </w:p>
        </w:tc>
      </w:tr>
      <w:tr>
        <w:tc>
          <w:tcPr>
            <w:tcW w:type="dxa" w:w="500"/>
          </w:tcPr>
          <w:p>
            <w:pPr>
              <w:spacing w:after="0" w:line="264" w:lineRule="auto"/>
              <w:jc w:val="center"/>
            </w:pPr>
            <w:r/>
            <w:r>
              <w:rPr>
                <w:rFonts w:ascii="Calibri" w:hAnsi="Calibri"/>
                <w:b/>
                <w:color w:val="000000"/>
                <w:sz w:val="16"/>
              </w:rPr>
              <w:t>2</w:t>
            </w:r>
          </w:p>
        </w:tc>
        <w:tc>
          <w:tcPr>
            <w:tcW w:type="dxa" w:w="1000"/>
          </w:tcPr>
          <w:p>
            <w:pPr>
              <w:spacing w:after="0" w:line="264" w:lineRule="auto"/>
              <w:jc w:val="center"/>
            </w:pPr>
            <w:r/>
            <w:r>
              <w:rPr>
                <w:rFonts w:ascii="Calibri" w:hAnsi="Calibri"/>
                <w:b/>
                <w:color w:val="9B1C1C"/>
                <w:sz w:val="16"/>
              </w:rPr>
              <w:t>High</w:t>
            </w:r>
          </w:p>
        </w:tc>
        <w:tc>
          <w:tcPr>
            <w:tcW w:type="dxa" w:w="1850"/>
          </w:tcPr>
          <w:p>
            <w:pPr>
              <w:spacing w:after="0" w:line="264" w:lineRule="auto"/>
              <w:jc w:val="left"/>
            </w:pPr>
            <w:r/>
            <w:r>
              <w:rPr>
                <w:rFonts w:ascii="Calibri" w:hAnsi="Calibri"/>
                <w:b/>
                <w:color w:val="000000"/>
                <w:sz w:val="16"/>
              </w:rPr>
              <w:t>Evidence download authorization gap</w:t>
            </w:r>
          </w:p>
        </w:tc>
        <w:tc>
          <w:tcPr>
            <w:tcW w:type="dxa" w:w="2100"/>
          </w:tcPr>
          <w:p>
            <w:pPr>
              <w:spacing w:after="0" w:line="264" w:lineRule="auto"/>
              <w:jc w:val="left"/>
            </w:pPr>
            <w:r/>
            <w:r>
              <w:rPr>
                <w:rFonts w:ascii="Calibri" w:hAnsi="Calibri"/>
                <w:b w:val="0"/>
                <w:color w:val="000000"/>
                <w:sz w:val="16"/>
              </w:rPr>
              <w:t>apps/api/src/evidence/evidence.service.ts:276</w:t>
            </w:r>
          </w:p>
        </w:tc>
        <w:tc>
          <w:tcPr>
            <w:tcW w:type="dxa" w:w="1850"/>
          </w:tcPr>
          <w:p>
            <w:pPr>
              <w:spacing w:after="0" w:line="264" w:lineRule="auto"/>
              <w:jc w:val="left"/>
            </w:pPr>
            <w:r/>
            <w:r>
              <w:rPr>
                <w:rFonts w:ascii="Calibri" w:hAnsi="Calibri"/>
                <w:b w:val="0"/>
                <w:color w:val="000000"/>
                <w:sz w:val="16"/>
              </w:rPr>
              <w:t>A user with evidence.view can fetch files by id without data-scope/spec ownership checks.</w:t>
            </w:r>
          </w:p>
        </w:tc>
        <w:tc>
          <w:tcPr>
            <w:tcW w:type="dxa" w:w="2060"/>
          </w:tcPr>
          <w:p>
            <w:pPr>
              <w:spacing w:after="0" w:line="264" w:lineRule="auto"/>
              <w:jc w:val="left"/>
            </w:pPr>
            <w:r/>
            <w:r>
              <w:rPr>
                <w:rFonts w:ascii="Calibri" w:hAnsi="Calibri"/>
                <w:b w:val="0"/>
                <w:color w:val="000000"/>
                <w:sz w:val="16"/>
              </w:rPr>
              <w:t>Pass role codes into evidence service and enforce scope before get/list/download.</w:t>
            </w:r>
          </w:p>
        </w:tc>
      </w:tr>
      <w:tr>
        <w:tc>
          <w:tcPr>
            <w:tcW w:type="dxa" w:w="500"/>
          </w:tcPr>
          <w:p>
            <w:pPr>
              <w:spacing w:after="0" w:line="264" w:lineRule="auto"/>
              <w:jc w:val="center"/>
            </w:pPr>
            <w:r/>
            <w:r>
              <w:rPr>
                <w:rFonts w:ascii="Calibri" w:hAnsi="Calibri"/>
                <w:b/>
                <w:color w:val="000000"/>
                <w:sz w:val="16"/>
              </w:rPr>
              <w:t>3</w:t>
            </w:r>
          </w:p>
        </w:tc>
        <w:tc>
          <w:tcPr>
            <w:tcW w:type="dxa" w:w="1000"/>
          </w:tcPr>
          <w:p>
            <w:pPr>
              <w:spacing w:after="0" w:line="264" w:lineRule="auto"/>
              <w:jc w:val="center"/>
            </w:pPr>
            <w:r/>
            <w:r>
              <w:rPr>
                <w:rFonts w:ascii="Calibri" w:hAnsi="Calibri"/>
                <w:b/>
                <w:color w:val="9B1C1C"/>
                <w:sz w:val="16"/>
              </w:rPr>
              <w:t>High</w:t>
            </w:r>
          </w:p>
        </w:tc>
        <w:tc>
          <w:tcPr>
            <w:tcW w:type="dxa" w:w="1850"/>
          </w:tcPr>
          <w:p>
            <w:pPr>
              <w:spacing w:after="0" w:line="264" w:lineRule="auto"/>
              <w:jc w:val="left"/>
            </w:pPr>
            <w:r/>
            <w:r>
              <w:rPr>
                <w:rFonts w:ascii="Calibri" w:hAnsi="Calibri"/>
                <w:b/>
                <w:color w:val="000000"/>
                <w:sz w:val="16"/>
              </w:rPr>
              <w:t>Asset write scope bypass</w:t>
            </w:r>
          </w:p>
        </w:tc>
        <w:tc>
          <w:tcPr>
            <w:tcW w:type="dxa" w:w="2100"/>
          </w:tcPr>
          <w:p>
            <w:pPr>
              <w:spacing w:after="0" w:line="264" w:lineRule="auto"/>
              <w:jc w:val="left"/>
            </w:pPr>
            <w:r/>
            <w:r>
              <w:rPr>
                <w:rFonts w:ascii="Calibri" w:hAnsi="Calibri"/>
                <w:b w:val="0"/>
                <w:color w:val="000000"/>
                <w:sz w:val="16"/>
              </w:rPr>
              <w:t>apps/api/src/assets/assets.controller.ts:61 and assets.service.ts:121</w:t>
            </w:r>
          </w:p>
        </w:tc>
        <w:tc>
          <w:tcPr>
            <w:tcW w:type="dxa" w:w="1850"/>
          </w:tcPr>
          <w:p>
            <w:pPr>
              <w:spacing w:after="0" w:line="264" w:lineRule="auto"/>
              <w:jc w:val="left"/>
            </w:pPr>
            <w:r/>
            <w:r>
              <w:rPr>
                <w:rFonts w:ascii="Calibri" w:hAnsi="Calibri"/>
                <w:b w:val="0"/>
                <w:color w:val="000000"/>
                <w:sz w:val="16"/>
              </w:rPr>
              <w:t>Scoped users with write permissions can create or modify assets outside their allowed domain/classification scope.</w:t>
            </w:r>
          </w:p>
        </w:tc>
        <w:tc>
          <w:tcPr>
            <w:tcW w:type="dxa" w:w="2060"/>
          </w:tcPr>
          <w:p>
            <w:pPr>
              <w:spacing w:after="0" w:line="264" w:lineRule="auto"/>
              <w:jc w:val="left"/>
            </w:pPr>
            <w:r/>
            <w:r>
              <w:rPr>
                <w:rFonts w:ascii="Calibri" w:hAnsi="Calibri"/>
                <w:b w:val="0"/>
                <w:color w:val="000000"/>
                <w:sz w:val="16"/>
              </w:rPr>
              <w:t>Pass user.roles into create/update/delete/import/relationships and validate target scope.</w:t>
            </w:r>
          </w:p>
        </w:tc>
      </w:tr>
      <w:tr>
        <w:tc>
          <w:tcPr>
            <w:tcW w:type="dxa" w:w="500"/>
          </w:tcPr>
          <w:p>
            <w:pPr>
              <w:spacing w:after="0" w:line="264" w:lineRule="auto"/>
              <w:jc w:val="center"/>
            </w:pPr>
            <w:r/>
            <w:r>
              <w:rPr>
                <w:rFonts w:ascii="Calibri" w:hAnsi="Calibri"/>
                <w:b/>
                <w:color w:val="000000"/>
                <w:sz w:val="16"/>
              </w:rPr>
              <w:t>4</w:t>
            </w:r>
          </w:p>
        </w:tc>
        <w:tc>
          <w:tcPr>
            <w:tcW w:type="dxa" w:w="1000"/>
          </w:tcPr>
          <w:p>
            <w:pPr>
              <w:spacing w:after="0" w:line="264" w:lineRule="auto"/>
              <w:jc w:val="center"/>
            </w:pPr>
            <w:r/>
            <w:r>
              <w:rPr>
                <w:rFonts w:ascii="Calibri" w:hAnsi="Calibri"/>
                <w:b/>
                <w:color w:val="9B1C1C"/>
                <w:sz w:val="16"/>
              </w:rPr>
              <w:t>High</w:t>
            </w:r>
          </w:p>
        </w:tc>
        <w:tc>
          <w:tcPr>
            <w:tcW w:type="dxa" w:w="1850"/>
          </w:tcPr>
          <w:p>
            <w:pPr>
              <w:spacing w:after="0" w:line="264" w:lineRule="auto"/>
              <w:jc w:val="left"/>
            </w:pPr>
            <w:r/>
            <w:r>
              <w:rPr>
                <w:rFonts w:ascii="Calibri" w:hAnsi="Calibri"/>
                <w:b/>
                <w:color w:val="000000"/>
                <w:sz w:val="16"/>
              </w:rPr>
              <w:t>Insecure JWT fallback secret</w:t>
            </w:r>
          </w:p>
        </w:tc>
        <w:tc>
          <w:tcPr>
            <w:tcW w:type="dxa" w:w="2100"/>
          </w:tcPr>
          <w:p>
            <w:pPr>
              <w:spacing w:after="0" w:line="264" w:lineRule="auto"/>
              <w:jc w:val="left"/>
            </w:pPr>
            <w:r/>
            <w:r>
              <w:rPr>
                <w:rFonts w:ascii="Calibri" w:hAnsi="Calibri"/>
                <w:b w:val="0"/>
                <w:color w:val="000000"/>
                <w:sz w:val="16"/>
              </w:rPr>
              <w:t>apps/api/src/auth/auth.module.ts:17</w:t>
            </w:r>
          </w:p>
        </w:tc>
        <w:tc>
          <w:tcPr>
            <w:tcW w:type="dxa" w:w="1850"/>
          </w:tcPr>
          <w:p>
            <w:pPr>
              <w:spacing w:after="0" w:line="264" w:lineRule="auto"/>
              <w:jc w:val="left"/>
            </w:pPr>
            <w:r/>
            <w:r>
              <w:rPr>
                <w:rFonts w:ascii="Calibri" w:hAnsi="Calibri"/>
                <w:b w:val="0"/>
                <w:color w:val="000000"/>
                <w:sz w:val="16"/>
              </w:rPr>
              <w:t>If JWT_SECRET is absent, all deployments share a known signing secret.</w:t>
            </w:r>
          </w:p>
        </w:tc>
        <w:tc>
          <w:tcPr>
            <w:tcW w:type="dxa" w:w="2060"/>
          </w:tcPr>
          <w:p>
            <w:pPr>
              <w:spacing w:after="0" w:line="264" w:lineRule="auto"/>
              <w:jc w:val="left"/>
            </w:pPr>
            <w:r/>
            <w:r>
              <w:rPr>
                <w:rFonts w:ascii="Calibri" w:hAnsi="Calibri"/>
                <w:b w:val="0"/>
                <w:color w:val="000000"/>
                <w:sz w:val="16"/>
              </w:rPr>
              <w:t>Fail startup in production when JWT_SECRET is missing; remove fallback outside tests.</w:t>
            </w:r>
          </w:p>
        </w:tc>
      </w:tr>
      <w:tr>
        <w:tc>
          <w:tcPr>
            <w:tcW w:type="dxa" w:w="500"/>
          </w:tcPr>
          <w:p>
            <w:pPr>
              <w:spacing w:after="0" w:line="264" w:lineRule="auto"/>
              <w:jc w:val="center"/>
            </w:pPr>
            <w:r/>
            <w:r>
              <w:rPr>
                <w:rFonts w:ascii="Calibri" w:hAnsi="Calibri"/>
                <w:b/>
                <w:color w:val="000000"/>
                <w:sz w:val="16"/>
              </w:rPr>
              <w:t>5</w:t>
            </w:r>
          </w:p>
        </w:tc>
        <w:tc>
          <w:tcPr>
            <w:tcW w:type="dxa" w:w="1000"/>
          </w:tcPr>
          <w:p>
            <w:pPr>
              <w:spacing w:after="0" w:line="264" w:lineRule="auto"/>
              <w:jc w:val="center"/>
            </w:pPr>
            <w:r/>
            <w:r>
              <w:rPr>
                <w:rFonts w:ascii="Calibri" w:hAnsi="Calibri"/>
                <w:b/>
                <w:color w:val="7A5A00"/>
                <w:sz w:val="16"/>
              </w:rPr>
              <w:t>Medium</w:t>
            </w:r>
          </w:p>
        </w:tc>
        <w:tc>
          <w:tcPr>
            <w:tcW w:type="dxa" w:w="1850"/>
          </w:tcPr>
          <w:p>
            <w:pPr>
              <w:spacing w:after="0" w:line="264" w:lineRule="auto"/>
              <w:jc w:val="left"/>
            </w:pPr>
            <w:r/>
            <w:r>
              <w:rPr>
                <w:rFonts w:ascii="Calibri" w:hAnsi="Calibri"/>
                <w:b/>
                <w:color w:val="000000"/>
                <w:sz w:val="16"/>
              </w:rPr>
              <w:t>Permissive CORS fallback</w:t>
            </w:r>
          </w:p>
        </w:tc>
        <w:tc>
          <w:tcPr>
            <w:tcW w:type="dxa" w:w="2100"/>
          </w:tcPr>
          <w:p>
            <w:pPr>
              <w:spacing w:after="0" w:line="264" w:lineRule="auto"/>
              <w:jc w:val="left"/>
            </w:pPr>
            <w:r/>
            <w:r>
              <w:rPr>
                <w:rFonts w:ascii="Calibri" w:hAnsi="Calibri"/>
                <w:b w:val="0"/>
                <w:color w:val="000000"/>
                <w:sz w:val="16"/>
              </w:rPr>
              <w:t>apps/api/src/main.ts:39</w:t>
            </w:r>
          </w:p>
        </w:tc>
        <w:tc>
          <w:tcPr>
            <w:tcW w:type="dxa" w:w="1850"/>
          </w:tcPr>
          <w:p>
            <w:pPr>
              <w:spacing w:after="0" w:line="264" w:lineRule="auto"/>
              <w:jc w:val="left"/>
            </w:pPr>
            <w:r/>
            <w:r>
              <w:rPr>
                <w:rFonts w:ascii="Calibri" w:hAnsi="Calibri"/>
                <w:b w:val="0"/>
                <w:color w:val="000000"/>
                <w:sz w:val="16"/>
              </w:rPr>
              <w:t>If CORS_ORIGINS/PUBLIC_ORIGIN is missing, credentialed CORS accepts broad origins.</w:t>
            </w:r>
          </w:p>
        </w:tc>
        <w:tc>
          <w:tcPr>
            <w:tcW w:type="dxa" w:w="2060"/>
          </w:tcPr>
          <w:p>
            <w:pPr>
              <w:spacing w:after="0" w:line="264" w:lineRule="auto"/>
              <w:jc w:val="left"/>
            </w:pPr>
            <w:r/>
            <w:r>
              <w:rPr>
                <w:rFonts w:ascii="Calibri" w:hAnsi="Calibri"/>
                <w:b w:val="0"/>
                <w:color w:val="000000"/>
                <w:sz w:val="16"/>
              </w:rPr>
              <w:t>Require explicit origins in production and reject startup if missing.</w:t>
            </w:r>
          </w:p>
        </w:tc>
      </w:tr>
      <w:tr>
        <w:tc>
          <w:tcPr>
            <w:tcW w:type="dxa" w:w="500"/>
          </w:tcPr>
          <w:p>
            <w:pPr>
              <w:spacing w:after="0" w:line="264" w:lineRule="auto"/>
              <w:jc w:val="center"/>
            </w:pPr>
            <w:r/>
            <w:r>
              <w:rPr>
                <w:rFonts w:ascii="Calibri" w:hAnsi="Calibri"/>
                <w:b/>
                <w:color w:val="000000"/>
                <w:sz w:val="16"/>
              </w:rPr>
              <w:t>6</w:t>
            </w:r>
          </w:p>
        </w:tc>
        <w:tc>
          <w:tcPr>
            <w:tcW w:type="dxa" w:w="1000"/>
          </w:tcPr>
          <w:p>
            <w:pPr>
              <w:spacing w:after="0" w:line="264" w:lineRule="auto"/>
              <w:jc w:val="center"/>
            </w:pPr>
            <w:r/>
            <w:r>
              <w:rPr>
                <w:rFonts w:ascii="Calibri" w:hAnsi="Calibri"/>
                <w:b/>
                <w:color w:val="7A5A00"/>
                <w:sz w:val="16"/>
              </w:rPr>
              <w:t>Medium</w:t>
            </w:r>
          </w:p>
        </w:tc>
        <w:tc>
          <w:tcPr>
            <w:tcW w:type="dxa" w:w="1850"/>
          </w:tcPr>
          <w:p>
            <w:pPr>
              <w:spacing w:after="0" w:line="264" w:lineRule="auto"/>
              <w:jc w:val="left"/>
            </w:pPr>
            <w:r/>
            <w:r>
              <w:rPr>
                <w:rFonts w:ascii="Calibri" w:hAnsi="Calibri"/>
                <w:b/>
                <w:color w:val="000000"/>
                <w:sz w:val="16"/>
              </w:rPr>
              <w:t>Default admin credentials fallback</w:t>
            </w:r>
          </w:p>
        </w:tc>
        <w:tc>
          <w:tcPr>
            <w:tcW w:type="dxa" w:w="2100"/>
          </w:tcPr>
          <w:p>
            <w:pPr>
              <w:spacing w:after="0" w:line="264" w:lineRule="auto"/>
              <w:jc w:val="left"/>
            </w:pPr>
            <w:r/>
            <w:r>
              <w:rPr>
                <w:rFonts w:ascii="Calibri" w:hAnsi="Calibri"/>
                <w:b w:val="0"/>
                <w:color w:val="000000"/>
                <w:sz w:val="16"/>
              </w:rPr>
              <w:t>apps/api/prisma/seed.ts:1218 and README.md:103</w:t>
            </w:r>
          </w:p>
        </w:tc>
        <w:tc>
          <w:tcPr>
            <w:tcW w:type="dxa" w:w="1850"/>
          </w:tcPr>
          <w:p>
            <w:pPr>
              <w:spacing w:after="0" w:line="264" w:lineRule="auto"/>
              <w:jc w:val="left"/>
            </w:pPr>
            <w:r/>
            <w:r>
              <w:rPr>
                <w:rFonts w:ascii="Calibri" w:hAnsi="Calibri"/>
                <w:b w:val="0"/>
                <w:color w:val="000000"/>
                <w:sz w:val="16"/>
              </w:rPr>
              <w:t>A seeded production-like environment could retain predictable admin credentials.</w:t>
            </w:r>
          </w:p>
        </w:tc>
        <w:tc>
          <w:tcPr>
            <w:tcW w:type="dxa" w:w="2060"/>
          </w:tcPr>
          <w:p>
            <w:pPr>
              <w:spacing w:after="0" w:line="264" w:lineRule="auto"/>
              <w:jc w:val="left"/>
            </w:pPr>
            <w:r/>
            <w:r>
              <w:rPr>
                <w:rFonts w:ascii="Calibri" w:hAnsi="Calibri"/>
                <w:b w:val="0"/>
                <w:color w:val="000000"/>
                <w:sz w:val="16"/>
              </w:rPr>
              <w:t>Require SEED_ADMIN_PASSWORD in non-development and document rotation.</w:t>
            </w:r>
          </w:p>
        </w:tc>
      </w:tr>
      <w:tr>
        <w:tc>
          <w:tcPr>
            <w:tcW w:type="dxa" w:w="500"/>
          </w:tcPr>
          <w:p>
            <w:pPr>
              <w:spacing w:after="0" w:line="264" w:lineRule="auto"/>
              <w:jc w:val="center"/>
            </w:pPr>
            <w:r/>
            <w:r>
              <w:rPr>
                <w:rFonts w:ascii="Calibri" w:hAnsi="Calibri"/>
                <w:b/>
                <w:color w:val="000000"/>
                <w:sz w:val="16"/>
              </w:rPr>
              <w:t>7</w:t>
            </w:r>
          </w:p>
        </w:tc>
        <w:tc>
          <w:tcPr>
            <w:tcW w:type="dxa" w:w="1000"/>
          </w:tcPr>
          <w:p>
            <w:pPr>
              <w:spacing w:after="0" w:line="264" w:lineRule="auto"/>
              <w:jc w:val="center"/>
            </w:pPr>
            <w:r/>
            <w:r>
              <w:rPr>
                <w:rFonts w:ascii="Calibri" w:hAnsi="Calibri"/>
                <w:b/>
                <w:color w:val="7A5A00"/>
                <w:sz w:val="16"/>
              </w:rPr>
              <w:t>Medium</w:t>
            </w:r>
          </w:p>
        </w:tc>
        <w:tc>
          <w:tcPr>
            <w:tcW w:type="dxa" w:w="1850"/>
          </w:tcPr>
          <w:p>
            <w:pPr>
              <w:spacing w:after="0" w:line="264" w:lineRule="auto"/>
              <w:jc w:val="left"/>
            </w:pPr>
            <w:r/>
            <w:r>
              <w:rPr>
                <w:rFonts w:ascii="Calibri" w:hAnsi="Calibri"/>
                <w:b/>
                <w:color w:val="000000"/>
                <w:sz w:val="16"/>
              </w:rPr>
              <w:t>Read path mutates DQ SLA records</w:t>
            </w:r>
          </w:p>
        </w:tc>
        <w:tc>
          <w:tcPr>
            <w:tcW w:type="dxa" w:w="2100"/>
          </w:tcPr>
          <w:p>
            <w:pPr>
              <w:spacing w:after="0" w:line="264" w:lineRule="auto"/>
              <w:jc w:val="left"/>
            </w:pPr>
            <w:r/>
            <w:r>
              <w:rPr>
                <w:rFonts w:ascii="Calibri" w:hAnsi="Calibri"/>
                <w:b w:val="0"/>
                <w:color w:val="000000"/>
                <w:sz w:val="16"/>
              </w:rPr>
              <w:t>apps/api/src/data-quality/data-quality.service.ts:210</w:t>
            </w:r>
          </w:p>
        </w:tc>
        <w:tc>
          <w:tcPr>
            <w:tcW w:type="dxa" w:w="1850"/>
          </w:tcPr>
          <w:p>
            <w:pPr>
              <w:spacing w:after="0" w:line="264" w:lineRule="auto"/>
              <w:jc w:val="left"/>
            </w:pPr>
            <w:r/>
            <w:r>
              <w:rPr>
                <w:rFonts w:ascii="Calibri" w:hAnsi="Calibri"/>
                <w:b w:val="0"/>
                <w:color w:val="000000"/>
                <w:sz w:val="16"/>
              </w:rPr>
              <w:t>GET summary/scorecard calls can create SLA breach records, creating surprise side effects.</w:t>
            </w:r>
          </w:p>
        </w:tc>
        <w:tc>
          <w:tcPr>
            <w:tcW w:type="dxa" w:w="2060"/>
          </w:tcPr>
          <w:p>
            <w:pPr>
              <w:spacing w:after="0" w:line="264" w:lineRule="auto"/>
              <w:jc w:val="left"/>
            </w:pPr>
            <w:r/>
            <w:r>
              <w:rPr>
                <w:rFonts w:ascii="Calibri" w:hAnsi="Calibri"/>
                <w:b w:val="0"/>
                <w:color w:val="000000"/>
                <w:sz w:val="16"/>
              </w:rPr>
              <w:t>Move SLA refresh to a scheduled job or explicit admin/service operation.</w:t>
            </w:r>
          </w:p>
        </w:tc>
      </w:tr>
      <w:tr>
        <w:tc>
          <w:tcPr>
            <w:tcW w:type="dxa" w:w="500"/>
          </w:tcPr>
          <w:p>
            <w:pPr>
              <w:spacing w:after="0" w:line="264" w:lineRule="auto"/>
              <w:jc w:val="center"/>
            </w:pPr>
            <w:r/>
            <w:r>
              <w:rPr>
                <w:rFonts w:ascii="Calibri" w:hAnsi="Calibri"/>
                <w:b/>
                <w:color w:val="000000"/>
                <w:sz w:val="16"/>
              </w:rPr>
              <w:t>8</w:t>
            </w:r>
          </w:p>
        </w:tc>
        <w:tc>
          <w:tcPr>
            <w:tcW w:type="dxa" w:w="1000"/>
          </w:tcPr>
          <w:p>
            <w:pPr>
              <w:spacing w:after="0" w:line="264" w:lineRule="auto"/>
              <w:jc w:val="center"/>
            </w:pPr>
            <w:r/>
            <w:r>
              <w:rPr>
                <w:rFonts w:ascii="Calibri" w:hAnsi="Calibri"/>
                <w:b/>
                <w:color w:val="7A5A00"/>
                <w:sz w:val="16"/>
              </w:rPr>
              <w:t>Medium</w:t>
            </w:r>
          </w:p>
        </w:tc>
        <w:tc>
          <w:tcPr>
            <w:tcW w:type="dxa" w:w="1850"/>
          </w:tcPr>
          <w:p>
            <w:pPr>
              <w:spacing w:after="0" w:line="264" w:lineRule="auto"/>
              <w:jc w:val="left"/>
            </w:pPr>
            <w:r/>
            <w:r>
              <w:rPr>
                <w:rFonts w:ascii="Calibri" w:hAnsi="Calibri"/>
                <w:b/>
                <w:color w:val="000000"/>
                <w:sz w:val="16"/>
              </w:rPr>
              <w:t>Unbounded or optionally unbounded lists</w:t>
            </w:r>
          </w:p>
        </w:tc>
        <w:tc>
          <w:tcPr>
            <w:tcW w:type="dxa" w:w="2100"/>
          </w:tcPr>
          <w:p>
            <w:pPr>
              <w:spacing w:after="0" w:line="264" w:lineRule="auto"/>
              <w:jc w:val="left"/>
            </w:pPr>
            <w:r/>
            <w:r>
              <w:rPr>
                <w:rFonts w:ascii="Calibri" w:hAnsi="Calibri"/>
                <w:b w:val="0"/>
                <w:color w:val="000000"/>
                <w:sz w:val="16"/>
              </w:rPr>
              <w:t>data-quality.service.ts:340, 765, 907; assets.service.ts:100; users.service.ts:38</w:t>
            </w:r>
          </w:p>
        </w:tc>
        <w:tc>
          <w:tcPr>
            <w:tcW w:type="dxa" w:w="1850"/>
          </w:tcPr>
          <w:p>
            <w:pPr>
              <w:spacing w:after="0" w:line="264" w:lineRule="auto"/>
              <w:jc w:val="left"/>
            </w:pPr>
            <w:r/>
            <w:r>
              <w:rPr>
                <w:rFonts w:ascii="Calibri" w:hAnsi="Calibri"/>
                <w:b w:val="0"/>
                <w:color w:val="000000"/>
                <w:sz w:val="16"/>
              </w:rPr>
              <w:t>Large datasets can produce slow responses and memory pressure.</w:t>
            </w:r>
          </w:p>
        </w:tc>
        <w:tc>
          <w:tcPr>
            <w:tcW w:type="dxa" w:w="2060"/>
          </w:tcPr>
          <w:p>
            <w:pPr>
              <w:spacing w:after="0" w:line="264" w:lineRule="auto"/>
              <w:jc w:val="left"/>
            </w:pPr>
            <w:r/>
            <w:r>
              <w:rPr>
                <w:rFonts w:ascii="Calibri" w:hAnsi="Calibri"/>
                <w:b w:val="0"/>
                <w:color w:val="000000"/>
                <w:sz w:val="16"/>
              </w:rPr>
              <w:t>Make pagination mandatory or enforce bounded defaults for every list endpoint.</w:t>
            </w:r>
          </w:p>
        </w:tc>
      </w:tr>
      <w:tr>
        <w:tc>
          <w:tcPr>
            <w:tcW w:type="dxa" w:w="500"/>
          </w:tcPr>
          <w:p>
            <w:pPr>
              <w:spacing w:after="0" w:line="264" w:lineRule="auto"/>
              <w:jc w:val="center"/>
            </w:pPr>
            <w:r/>
            <w:r>
              <w:rPr>
                <w:rFonts w:ascii="Calibri" w:hAnsi="Calibri"/>
                <w:b/>
                <w:color w:val="000000"/>
                <w:sz w:val="16"/>
              </w:rPr>
              <w:t>9</w:t>
            </w:r>
          </w:p>
        </w:tc>
        <w:tc>
          <w:tcPr>
            <w:tcW w:type="dxa" w:w="1000"/>
          </w:tcPr>
          <w:p>
            <w:pPr>
              <w:spacing w:after="0" w:line="264" w:lineRule="auto"/>
              <w:jc w:val="center"/>
            </w:pPr>
            <w:r/>
            <w:r>
              <w:rPr>
                <w:rFonts w:ascii="Calibri" w:hAnsi="Calibri"/>
                <w:b/>
                <w:color w:val="7A5A00"/>
                <w:sz w:val="16"/>
              </w:rPr>
              <w:t>Medium</w:t>
            </w:r>
          </w:p>
        </w:tc>
        <w:tc>
          <w:tcPr>
            <w:tcW w:type="dxa" w:w="1850"/>
          </w:tcPr>
          <w:p>
            <w:pPr>
              <w:spacing w:after="0" w:line="264" w:lineRule="auto"/>
              <w:jc w:val="left"/>
            </w:pPr>
            <w:r/>
            <w:r>
              <w:rPr>
                <w:rFonts w:ascii="Calibri" w:hAnsi="Calibri"/>
                <w:b/>
                <w:color w:val="000000"/>
                <w:sz w:val="16"/>
              </w:rPr>
              <w:t>Stateless logout</w:t>
            </w:r>
          </w:p>
        </w:tc>
        <w:tc>
          <w:tcPr>
            <w:tcW w:type="dxa" w:w="2100"/>
          </w:tcPr>
          <w:p>
            <w:pPr>
              <w:spacing w:after="0" w:line="264" w:lineRule="auto"/>
              <w:jc w:val="left"/>
            </w:pPr>
            <w:r/>
            <w:r>
              <w:rPr>
                <w:rFonts w:ascii="Calibri" w:hAnsi="Calibri"/>
                <w:b w:val="0"/>
                <w:color w:val="000000"/>
                <w:sz w:val="16"/>
              </w:rPr>
              <w:t>apps/api/src/auth/auth.service.ts logout flow</w:t>
            </w:r>
          </w:p>
        </w:tc>
        <w:tc>
          <w:tcPr>
            <w:tcW w:type="dxa" w:w="1850"/>
          </w:tcPr>
          <w:p>
            <w:pPr>
              <w:spacing w:after="0" w:line="264" w:lineRule="auto"/>
              <w:jc w:val="left"/>
            </w:pPr>
            <w:r/>
            <w:r>
              <w:rPr>
                <w:rFonts w:ascii="Calibri" w:hAnsi="Calibri"/>
                <w:b w:val="0"/>
                <w:color w:val="000000"/>
                <w:sz w:val="16"/>
              </w:rPr>
              <w:t>Logout does not revoke issued JWTs; tokens remain valid until expiry.</w:t>
            </w:r>
          </w:p>
        </w:tc>
        <w:tc>
          <w:tcPr>
            <w:tcW w:type="dxa" w:w="2060"/>
          </w:tcPr>
          <w:p>
            <w:pPr>
              <w:spacing w:after="0" w:line="264" w:lineRule="auto"/>
              <w:jc w:val="left"/>
            </w:pPr>
            <w:r/>
            <w:r>
              <w:rPr>
                <w:rFonts w:ascii="Calibri" w:hAnsi="Calibri"/>
                <w:b w:val="0"/>
                <w:color w:val="000000"/>
                <w:sz w:val="16"/>
              </w:rPr>
              <w:t>Add token revocation, shorter access tokens with refresh rotation, or server-side session tracking.</w:t>
            </w:r>
          </w:p>
        </w:tc>
      </w:tr>
      <w:tr>
        <w:tc>
          <w:tcPr>
            <w:tcW w:type="dxa" w:w="500"/>
          </w:tcPr>
          <w:p>
            <w:pPr>
              <w:spacing w:after="0" w:line="264" w:lineRule="auto"/>
              <w:jc w:val="center"/>
            </w:pPr>
            <w:r/>
            <w:r>
              <w:rPr>
                <w:rFonts w:ascii="Calibri" w:hAnsi="Calibri"/>
                <w:b/>
                <w:color w:val="000000"/>
                <w:sz w:val="16"/>
              </w:rPr>
              <w:t>10</w:t>
            </w:r>
          </w:p>
        </w:tc>
        <w:tc>
          <w:tcPr>
            <w:tcW w:type="dxa" w:w="1000"/>
          </w:tcPr>
          <w:p>
            <w:pPr>
              <w:spacing w:after="0" w:line="264" w:lineRule="auto"/>
              <w:jc w:val="center"/>
            </w:pPr>
            <w:r/>
            <w:r>
              <w:rPr>
                <w:rFonts w:ascii="Calibri" w:hAnsi="Calibri"/>
                <w:b/>
                <w:color w:val="7A5A00"/>
                <w:sz w:val="16"/>
              </w:rPr>
              <w:t>Medium</w:t>
            </w:r>
          </w:p>
        </w:tc>
        <w:tc>
          <w:tcPr>
            <w:tcW w:type="dxa" w:w="1850"/>
          </w:tcPr>
          <w:p>
            <w:pPr>
              <w:spacing w:after="0" w:line="264" w:lineRule="auto"/>
              <w:jc w:val="left"/>
            </w:pPr>
            <w:r/>
            <w:r>
              <w:rPr>
                <w:rFonts w:ascii="Calibri" w:hAnsi="Calibri"/>
                <w:b/>
                <w:color w:val="000000"/>
                <w:sz w:val="16"/>
              </w:rPr>
              <w:t>Missing safe env template</w:t>
            </w:r>
          </w:p>
        </w:tc>
        <w:tc>
          <w:tcPr>
            <w:tcW w:type="dxa" w:w="2100"/>
          </w:tcPr>
          <w:p>
            <w:pPr>
              <w:spacing w:after="0" w:line="264" w:lineRule="auto"/>
              <w:jc w:val="left"/>
            </w:pPr>
            <w:r/>
            <w:r>
              <w:rPr>
                <w:rFonts w:ascii="Calibri" w:hAnsi="Calibri"/>
                <w:b w:val="0"/>
                <w:color w:val="000000"/>
                <w:sz w:val="16"/>
              </w:rPr>
              <w:t>.env ignored, but no .env.example tracked</w:t>
            </w:r>
          </w:p>
        </w:tc>
        <w:tc>
          <w:tcPr>
            <w:tcW w:type="dxa" w:w="1850"/>
          </w:tcPr>
          <w:p>
            <w:pPr>
              <w:spacing w:after="0" w:line="264" w:lineRule="auto"/>
              <w:jc w:val="left"/>
            </w:pPr>
            <w:r/>
            <w:r>
              <w:rPr>
                <w:rFonts w:ascii="Calibri" w:hAnsi="Calibri"/>
                <w:b w:val="0"/>
                <w:color w:val="000000"/>
                <w:sz w:val="16"/>
              </w:rPr>
              <w:t>New environments may miss required settings and silently hit unsafe fallbacks.</w:t>
            </w:r>
          </w:p>
        </w:tc>
        <w:tc>
          <w:tcPr>
            <w:tcW w:type="dxa" w:w="2060"/>
          </w:tcPr>
          <w:p>
            <w:pPr>
              <w:spacing w:after="0" w:line="264" w:lineRule="auto"/>
              <w:jc w:val="left"/>
            </w:pPr>
            <w:r/>
            <w:r>
              <w:rPr>
                <w:rFonts w:ascii="Calibri" w:hAnsi="Calibri"/>
                <w:b w:val="0"/>
                <w:color w:val="000000"/>
                <w:sz w:val="16"/>
              </w:rPr>
              <w:t>Add .env.example with placeholders and production-required variable notes.</w:t>
            </w:r>
          </w:p>
        </w:tc>
      </w:tr>
    </w:tbl>
    <w:p>
      <w:pPr>
        <w:pStyle w:val="Heading1"/>
      </w:pPr>
      <w:r>
        <w:t>C. Security and Authorization Issues</w:t>
      </w:r>
    </w:p>
    <w:p>
      <w:pPr/>
      <w:r>
        <w:t>No confirmed committed secret was found; .env is ignored. The public route scan found only the intended health endpoint and auth login as public. The security risk is mainly in production fallback behavior and object-level authorization gaps.</w:t>
      </w:r>
    </w:p>
    <w:p>
      <w:pPr>
        <w:pStyle w:val="ListBullet"/>
      </w:pPr>
      <w:r>
        <w:t>Evidence service fetches and downloads records by id without checking whether the user is allowed to see that specification or data domain.</w:t>
      </w:r>
    </w:p>
    <w:p>
      <w:pPr>
        <w:pStyle w:val="ListBullet"/>
      </w:pPr>
      <w:r>
        <w:t>Asset write endpoints require permissions but do not pass role codes into service methods for scope enforcement.</w:t>
      </w:r>
    </w:p>
    <w:p>
      <w:pPr>
        <w:pStyle w:val="ListBullet"/>
      </w:pPr>
      <w:r>
        <w:t>JWT configuration has a known fallback secret, which is acceptable for a local prototype only if production startup blocks it.</w:t>
      </w:r>
    </w:p>
    <w:p>
      <w:pPr>
        <w:pStyle w:val="ListBullet"/>
      </w:pPr>
      <w:r>
        <w:t>CORS accepts a broad origin fallback when no origins are configured, and credentials are enabled.</w:t>
      </w:r>
    </w:p>
    <w:p>
      <w:pPr>
        <w:pStyle w:val="Heading1"/>
      </w:pPr>
      <w:r>
        <w:t>D. Business Logic and Data Integrity</w:t>
      </w:r>
    </w:p>
    <w:p>
      <w:pPr/>
      <w:r>
        <w:t>The most important business-logic concern is consistency between read scope and write scope. Data Quality and Security Governance now contain stronger scope checks, but Assets and Evidence still need the same treatment.</w:t>
      </w:r>
    </w:p>
    <w:p>
      <w:pPr>
        <w:pStyle w:val="ListBullet"/>
      </w:pPr>
      <w:r>
        <w:t>Data Quality rule/profile/security governance scope tests are present and passed.</w:t>
      </w:r>
    </w:p>
    <w:p>
      <w:pPr>
        <w:pStyle w:val="ListBullet"/>
      </w:pPr>
      <w:r>
        <w:t>Data Quality SLA breach refresh currently runs from read paths. This makes dashboard reads mutate data and should move to a scheduled or explicit service operation.</w:t>
      </w:r>
    </w:p>
    <w:p>
      <w:pPr>
        <w:pStyle w:val="ListBullet"/>
      </w:pPr>
      <w:r>
        <w:t>Prisma schema validation passed and the local database is up to date with 16 migrations.</w:t>
      </w:r>
    </w:p>
    <w:p>
      <w:pPr>
        <w:pStyle w:val="Heading1"/>
      </w:pPr>
      <w:r>
        <w:t>E. API, Upload, and Validation Issues</w:t>
      </w:r>
    </w:p>
    <w:p>
      <w:pPr/>
      <w:r>
        <w:t>Global ValidationPipe is correctly configured with whitelist and forbidNonWhitelisted. File upload restrictions exist, but dependency advisories and evidence object-level authorization must be fixed before deployment.</w:t>
      </w:r>
    </w:p>
    <w:p>
      <w:pPr>
        <w:pStyle w:val="ListBullet"/>
      </w:pPr>
      <w:r>
        <w:t>Evidence upload validates MIME type and size but relies on a vulnerable Multer dependency chain until packages are updated.</w:t>
      </w:r>
    </w:p>
    <w:p>
      <w:pPr>
        <w:pStyle w:val="ListBullet"/>
      </w:pPr>
      <w:r>
        <w:t>Data Quality CSV import is centralized and now reads schema/limits from backend config.</w:t>
      </w:r>
    </w:p>
    <w:p>
      <w:pPr>
        <w:pStyle w:val="ListBullet"/>
      </w:pPr>
      <w:r>
        <w:t>Some endpoints still return full arrays when pagination parameters are omitted.</w:t>
      </w:r>
    </w:p>
    <w:p>
      <w:pPr>
        <w:pStyle w:val="Heading1"/>
      </w:pPr>
      <w:r>
        <w:t>F. Verification Results</w:t>
      </w:r>
    </w:p>
    <w:tbl>
      <w:tblPr>
        <w:tblW w:type="dxa" w:w="9360"/>
        <w:jc w:val="left"/>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00"/>
        <w:gridCol w:w="1700"/>
        <w:gridCol w:w="5360"/>
      </w:tblGrid>
      <w:tr>
        <w:trPr>
          <w:tblHeader w:val="true"/>
        </w:trPr>
        <w:tc>
          <w:tcPr>
            <w:tcW w:type="dxa" w:w="2300"/>
            <w:vAlign w:val="center"/>
            <w:tcMar>
              <w:top w:w="80" w:type="dxa"/>
              <w:start w:w="120" w:type="dxa"/>
              <w:bottom w:w="80" w:type="dxa"/>
              <w:end w:w="120" w:type="dxa"/>
            </w:tcMar>
            <w:shd w:fill="F2F4F7"/>
          </w:tcPr>
          <w:p>
            <w:pPr>
              <w:spacing w:after="0" w:line="264" w:lineRule="auto"/>
            </w:pPr>
            <w:r>
              <w:rPr>
                <w:b/>
                <w:color w:val="0B2545"/>
              </w:rPr>
            </w:r>
            <w:r>
              <w:rPr>
                <w:rFonts w:ascii="Calibri" w:hAnsi="Calibri"/>
                <w:b/>
                <w:color w:val="0B2545"/>
                <w:sz w:val="18"/>
              </w:rPr>
              <w:t>Check</w:t>
            </w:r>
          </w:p>
        </w:tc>
        <w:tc>
          <w:tcPr>
            <w:tcW w:type="dxa" w:w="1700"/>
            <w:vAlign w:val="center"/>
            <w:tcMar>
              <w:top w:w="80" w:type="dxa"/>
              <w:start w:w="120" w:type="dxa"/>
              <w:bottom w:w="80" w:type="dxa"/>
              <w:end w:w="120" w:type="dxa"/>
            </w:tcMar>
            <w:shd w:fill="F2F4F7"/>
          </w:tcPr>
          <w:p>
            <w:pPr>
              <w:spacing w:after="0" w:line="264" w:lineRule="auto"/>
            </w:pPr>
            <w:r>
              <w:rPr>
                <w:b/>
                <w:color w:val="0B2545"/>
              </w:rPr>
            </w:r>
            <w:r>
              <w:rPr>
                <w:rFonts w:ascii="Calibri" w:hAnsi="Calibri"/>
                <w:b/>
                <w:color w:val="0B2545"/>
                <w:sz w:val="18"/>
              </w:rPr>
              <w:t>Result</w:t>
            </w:r>
          </w:p>
        </w:tc>
        <w:tc>
          <w:tcPr>
            <w:tcW w:type="dxa" w:w="5360"/>
            <w:vAlign w:val="center"/>
            <w:tcMar>
              <w:top w:w="80" w:type="dxa"/>
              <w:start w:w="120" w:type="dxa"/>
              <w:bottom w:w="80" w:type="dxa"/>
              <w:end w:w="120" w:type="dxa"/>
            </w:tcMar>
            <w:shd w:fill="F2F4F7"/>
          </w:tcPr>
          <w:p>
            <w:pPr>
              <w:spacing w:after="0" w:line="264" w:lineRule="auto"/>
            </w:pPr>
            <w:r>
              <w:rPr>
                <w:b/>
                <w:color w:val="0B2545"/>
              </w:rPr>
            </w:r>
            <w:r>
              <w:rPr>
                <w:rFonts w:ascii="Calibri" w:hAnsi="Calibri"/>
                <w:b/>
                <w:color w:val="0B2545"/>
                <w:sz w:val="18"/>
              </w:rPr>
              <w:t>Notes</w:t>
            </w:r>
          </w:p>
        </w:tc>
      </w:tr>
      <w:tr>
        <w:tc>
          <w:tcPr>
            <w:tcW w:type="dxa" w:w="2300"/>
          </w:tcPr>
          <w:p>
            <w:pPr>
              <w:spacing w:after="0" w:line="264" w:lineRule="auto"/>
            </w:pPr>
            <w:r/>
            <w:r>
              <w:rPr>
                <w:rFonts w:ascii="Calibri" w:hAnsi="Calibri"/>
                <w:b/>
                <w:color w:val="0B2545"/>
                <w:sz w:val="18"/>
              </w:rPr>
              <w:t>API tests</w:t>
            </w:r>
          </w:p>
        </w:tc>
        <w:tc>
          <w:tcPr>
            <w:tcW w:type="dxa" w:w="1700"/>
          </w:tcPr>
          <w:p>
            <w:pPr>
              <w:spacing w:after="0" w:line="264" w:lineRule="auto"/>
              <w:jc w:val="center"/>
            </w:pPr>
            <w:r/>
            <w:r>
              <w:rPr>
                <w:rFonts w:ascii="Calibri" w:hAnsi="Calibri"/>
                <w:b/>
                <w:color w:val="1F3A5F"/>
                <w:sz w:val="18"/>
              </w:rPr>
              <w:t>Passed</w:t>
            </w:r>
          </w:p>
        </w:tc>
        <w:tc>
          <w:tcPr>
            <w:tcW w:type="dxa" w:w="5360"/>
          </w:tcPr>
          <w:p>
            <w:pPr>
              <w:spacing w:after="0" w:line="264" w:lineRule="auto"/>
            </w:pPr>
            <w:r/>
            <w:r>
              <w:rPr>
                <w:rFonts w:ascii="Calibri" w:hAnsi="Calibri"/>
                <w:b w:val="0"/>
                <w:color w:val="000000"/>
                <w:sz w:val="18"/>
              </w:rPr>
              <w:t>Full apps/api test suite passed.</w:t>
            </w:r>
          </w:p>
        </w:tc>
      </w:tr>
      <w:tr>
        <w:tc>
          <w:tcPr>
            <w:tcW w:type="dxa" w:w="2300"/>
          </w:tcPr>
          <w:p>
            <w:pPr>
              <w:spacing w:after="0" w:line="264" w:lineRule="auto"/>
            </w:pPr>
            <w:r/>
            <w:r>
              <w:rPr>
                <w:rFonts w:ascii="Calibri" w:hAnsi="Calibri"/>
                <w:b/>
                <w:color w:val="0B2545"/>
                <w:sz w:val="18"/>
              </w:rPr>
              <w:t>API build</w:t>
            </w:r>
          </w:p>
        </w:tc>
        <w:tc>
          <w:tcPr>
            <w:tcW w:type="dxa" w:w="1700"/>
          </w:tcPr>
          <w:p>
            <w:pPr>
              <w:spacing w:after="0" w:line="264" w:lineRule="auto"/>
              <w:jc w:val="center"/>
            </w:pPr>
            <w:r/>
            <w:r>
              <w:rPr>
                <w:rFonts w:ascii="Calibri" w:hAnsi="Calibri"/>
                <w:b/>
                <w:color w:val="1F3A5F"/>
                <w:sz w:val="18"/>
              </w:rPr>
              <w:t>Passed</w:t>
            </w:r>
          </w:p>
        </w:tc>
        <w:tc>
          <w:tcPr>
            <w:tcW w:type="dxa" w:w="5360"/>
          </w:tcPr>
          <w:p>
            <w:pPr>
              <w:spacing w:after="0" w:line="264" w:lineRule="auto"/>
            </w:pPr>
            <w:r/>
            <w:r>
              <w:rPr>
                <w:rFonts w:ascii="Calibri" w:hAnsi="Calibri"/>
                <w:b w:val="0"/>
                <w:color w:val="000000"/>
                <w:sz w:val="18"/>
              </w:rPr>
              <w:t>Nest build completed successfully.</w:t>
            </w:r>
          </w:p>
        </w:tc>
      </w:tr>
      <w:tr>
        <w:tc>
          <w:tcPr>
            <w:tcW w:type="dxa" w:w="2300"/>
          </w:tcPr>
          <w:p>
            <w:pPr>
              <w:spacing w:after="0" w:line="264" w:lineRule="auto"/>
            </w:pPr>
            <w:r/>
            <w:r>
              <w:rPr>
                <w:rFonts w:ascii="Calibri" w:hAnsi="Calibri"/>
                <w:b/>
                <w:color w:val="0B2545"/>
                <w:sz w:val="18"/>
              </w:rPr>
              <w:t>Prisma validate</w:t>
            </w:r>
          </w:p>
        </w:tc>
        <w:tc>
          <w:tcPr>
            <w:tcW w:type="dxa" w:w="1700"/>
          </w:tcPr>
          <w:p>
            <w:pPr>
              <w:spacing w:after="0" w:line="264" w:lineRule="auto"/>
              <w:jc w:val="center"/>
            </w:pPr>
            <w:r/>
            <w:r>
              <w:rPr>
                <w:rFonts w:ascii="Calibri" w:hAnsi="Calibri"/>
                <w:b/>
                <w:color w:val="1F3A5F"/>
                <w:sz w:val="18"/>
              </w:rPr>
              <w:t>Passed</w:t>
            </w:r>
          </w:p>
        </w:tc>
        <w:tc>
          <w:tcPr>
            <w:tcW w:type="dxa" w:w="5360"/>
          </w:tcPr>
          <w:p>
            <w:pPr>
              <w:spacing w:after="0" w:line="264" w:lineRule="auto"/>
            </w:pPr>
            <w:r/>
            <w:r>
              <w:rPr>
                <w:rFonts w:ascii="Calibri" w:hAnsi="Calibri"/>
                <w:b w:val="0"/>
                <w:color w:val="000000"/>
                <w:sz w:val="18"/>
              </w:rPr>
              <w:t>Schema is valid with project Prisma version.</w:t>
            </w:r>
          </w:p>
        </w:tc>
      </w:tr>
      <w:tr>
        <w:tc>
          <w:tcPr>
            <w:tcW w:type="dxa" w:w="2300"/>
          </w:tcPr>
          <w:p>
            <w:pPr>
              <w:spacing w:after="0" w:line="264" w:lineRule="auto"/>
            </w:pPr>
            <w:r/>
            <w:r>
              <w:rPr>
                <w:rFonts w:ascii="Calibri" w:hAnsi="Calibri"/>
                <w:b/>
                <w:color w:val="0B2545"/>
                <w:sz w:val="18"/>
              </w:rPr>
              <w:t>Prisma migrate status</w:t>
            </w:r>
          </w:p>
        </w:tc>
        <w:tc>
          <w:tcPr>
            <w:tcW w:type="dxa" w:w="1700"/>
          </w:tcPr>
          <w:p>
            <w:pPr>
              <w:spacing w:after="0" w:line="264" w:lineRule="auto"/>
              <w:jc w:val="center"/>
            </w:pPr>
            <w:r/>
            <w:r>
              <w:rPr>
                <w:rFonts w:ascii="Calibri" w:hAnsi="Calibri"/>
                <w:b/>
                <w:color w:val="1F3A5F"/>
                <w:sz w:val="18"/>
              </w:rPr>
              <w:t>Passed</w:t>
            </w:r>
          </w:p>
        </w:tc>
        <w:tc>
          <w:tcPr>
            <w:tcW w:type="dxa" w:w="5360"/>
          </w:tcPr>
          <w:p>
            <w:pPr>
              <w:spacing w:after="0" w:line="264" w:lineRule="auto"/>
            </w:pPr>
            <w:r/>
            <w:r>
              <w:rPr>
                <w:rFonts w:ascii="Calibri" w:hAnsi="Calibri"/>
                <w:b w:val="0"/>
                <w:color w:val="000000"/>
                <w:sz w:val="18"/>
              </w:rPr>
              <w:t>Local database schema is up to date.</w:t>
            </w:r>
          </w:p>
        </w:tc>
      </w:tr>
      <w:tr>
        <w:tc>
          <w:tcPr>
            <w:tcW w:type="dxa" w:w="2300"/>
          </w:tcPr>
          <w:p>
            <w:pPr>
              <w:spacing w:after="0" w:line="264" w:lineRule="auto"/>
            </w:pPr>
            <w:r/>
            <w:r>
              <w:rPr>
                <w:rFonts w:ascii="Calibri" w:hAnsi="Calibri"/>
                <w:b/>
                <w:color w:val="0B2545"/>
                <w:sz w:val="18"/>
              </w:rPr>
              <w:t>API health</w:t>
            </w:r>
          </w:p>
        </w:tc>
        <w:tc>
          <w:tcPr>
            <w:tcW w:type="dxa" w:w="1700"/>
          </w:tcPr>
          <w:p>
            <w:pPr>
              <w:spacing w:after="0" w:line="264" w:lineRule="auto"/>
              <w:jc w:val="center"/>
            </w:pPr>
            <w:r/>
            <w:r>
              <w:rPr>
                <w:rFonts w:ascii="Calibri" w:hAnsi="Calibri"/>
                <w:b/>
                <w:color w:val="1F3A5F"/>
                <w:sz w:val="18"/>
              </w:rPr>
              <w:t>Passed</w:t>
            </w:r>
          </w:p>
        </w:tc>
        <w:tc>
          <w:tcPr>
            <w:tcW w:type="dxa" w:w="5360"/>
          </w:tcPr>
          <w:p>
            <w:pPr>
              <w:spacing w:after="0" w:line="264" w:lineRule="auto"/>
            </w:pPr>
            <w:r/>
            <w:r>
              <w:rPr>
                <w:rFonts w:ascii="Calibri" w:hAnsi="Calibri"/>
                <w:b w:val="0"/>
                <w:color w:val="000000"/>
                <w:sz w:val="18"/>
              </w:rPr>
              <w:t>GET /api/health returned status ok.</w:t>
            </w:r>
          </w:p>
        </w:tc>
      </w:tr>
      <w:tr>
        <w:tc>
          <w:tcPr>
            <w:tcW w:type="dxa" w:w="2300"/>
          </w:tcPr>
          <w:p>
            <w:pPr>
              <w:spacing w:after="0" w:line="264" w:lineRule="auto"/>
            </w:pPr>
            <w:r/>
            <w:r>
              <w:rPr>
                <w:rFonts w:ascii="Calibri" w:hAnsi="Calibri"/>
                <w:b/>
                <w:color w:val="0B2545"/>
                <w:sz w:val="18"/>
              </w:rPr>
              <w:t>Web build</w:t>
            </w:r>
          </w:p>
        </w:tc>
        <w:tc>
          <w:tcPr>
            <w:tcW w:type="dxa" w:w="1700"/>
          </w:tcPr>
          <w:p>
            <w:pPr>
              <w:spacing w:after="0" w:line="264" w:lineRule="auto"/>
              <w:jc w:val="center"/>
            </w:pPr>
            <w:r/>
            <w:r>
              <w:rPr>
                <w:rFonts w:ascii="Calibri" w:hAnsi="Calibri"/>
                <w:b/>
                <w:color w:val="7A5A00"/>
                <w:sz w:val="18"/>
              </w:rPr>
              <w:t>Passed with warnings</w:t>
            </w:r>
          </w:p>
        </w:tc>
        <w:tc>
          <w:tcPr>
            <w:tcW w:type="dxa" w:w="5360"/>
          </w:tcPr>
          <w:p>
            <w:pPr>
              <w:spacing w:after="0" w:line="264" w:lineRule="auto"/>
            </w:pPr>
            <w:r/>
            <w:r>
              <w:rPr>
                <w:rFonts w:ascii="Calibri" w:hAnsi="Calibri"/>
                <w:b w:val="0"/>
                <w:color w:val="000000"/>
                <w:sz w:val="18"/>
              </w:rPr>
              <w:t>Build completed; existing bundle/style budget warnings remain.</w:t>
            </w:r>
          </w:p>
        </w:tc>
      </w:tr>
      <w:tr>
        <w:tc>
          <w:tcPr>
            <w:tcW w:type="dxa" w:w="2300"/>
          </w:tcPr>
          <w:p>
            <w:pPr>
              <w:spacing w:after="0" w:line="264" w:lineRule="auto"/>
            </w:pPr>
            <w:r/>
            <w:r>
              <w:rPr>
                <w:rFonts w:ascii="Calibri" w:hAnsi="Calibri"/>
                <w:b/>
                <w:color w:val="0B2545"/>
                <w:sz w:val="18"/>
              </w:rPr>
              <w:t>API npm audit</w:t>
            </w:r>
          </w:p>
        </w:tc>
        <w:tc>
          <w:tcPr>
            <w:tcW w:type="dxa" w:w="1700"/>
          </w:tcPr>
          <w:p>
            <w:pPr>
              <w:spacing w:after="0" w:line="264" w:lineRule="auto"/>
              <w:jc w:val="center"/>
            </w:pPr>
            <w:r/>
            <w:r>
              <w:rPr>
                <w:rFonts w:ascii="Calibri" w:hAnsi="Calibri"/>
                <w:b/>
                <w:color w:val="9B1C1C"/>
                <w:sz w:val="18"/>
              </w:rPr>
              <w:t>Failed</w:t>
            </w:r>
          </w:p>
        </w:tc>
        <w:tc>
          <w:tcPr>
            <w:tcW w:type="dxa" w:w="5360"/>
          </w:tcPr>
          <w:p>
            <w:pPr>
              <w:spacing w:after="0" w:line="264" w:lineRule="auto"/>
            </w:pPr>
            <w:r/>
            <w:r>
              <w:rPr>
                <w:rFonts w:ascii="Calibri" w:hAnsi="Calibri"/>
                <w:b w:val="0"/>
                <w:color w:val="000000"/>
                <w:sz w:val="18"/>
              </w:rPr>
              <w:t>3 high vulnerabilities, centered on Multer via Nest platform-express.</w:t>
            </w:r>
          </w:p>
        </w:tc>
      </w:tr>
      <w:tr>
        <w:tc>
          <w:tcPr>
            <w:tcW w:type="dxa" w:w="2300"/>
          </w:tcPr>
          <w:p>
            <w:pPr>
              <w:spacing w:after="0" w:line="264" w:lineRule="auto"/>
            </w:pPr>
            <w:r/>
            <w:r>
              <w:rPr>
                <w:rFonts w:ascii="Calibri" w:hAnsi="Calibri"/>
                <w:b/>
                <w:color w:val="0B2545"/>
                <w:sz w:val="18"/>
              </w:rPr>
              <w:t>Web npm audit</w:t>
            </w:r>
          </w:p>
        </w:tc>
        <w:tc>
          <w:tcPr>
            <w:tcW w:type="dxa" w:w="1700"/>
          </w:tcPr>
          <w:p>
            <w:pPr>
              <w:spacing w:after="0" w:line="264" w:lineRule="auto"/>
              <w:jc w:val="center"/>
            </w:pPr>
            <w:r/>
            <w:r>
              <w:rPr>
                <w:rFonts w:ascii="Calibri" w:hAnsi="Calibri"/>
                <w:b/>
                <w:color w:val="9B1C1C"/>
                <w:sz w:val="18"/>
              </w:rPr>
              <w:t>Failed</w:t>
            </w:r>
          </w:p>
        </w:tc>
        <w:tc>
          <w:tcPr>
            <w:tcW w:type="dxa" w:w="5360"/>
          </w:tcPr>
          <w:p>
            <w:pPr>
              <w:spacing w:after="0" w:line="264" w:lineRule="auto"/>
            </w:pPr>
            <w:r/>
            <w:r>
              <w:rPr>
                <w:rFonts w:ascii="Calibri" w:hAnsi="Calibri"/>
                <w:b w:val="0"/>
                <w:color w:val="000000"/>
                <w:sz w:val="18"/>
              </w:rPr>
              <w:t>6 vulnerabilities in dev/build dependency chain.</w:t>
            </w:r>
          </w:p>
        </w:tc>
      </w:tr>
    </w:tbl>
    <w:p>
      <w:pPr>
        <w:pStyle w:val="Heading1"/>
      </w:pPr>
      <w:r>
        <w:t>G. Prioritized Remediation Plan</w:t>
      </w:r>
    </w:p>
    <w:tbl>
      <w:tblPr>
        <w:tblW w:type="dxa" w:w="9360"/>
        <w:jc w:val="left"/>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00"/>
        <w:gridCol w:w="7160"/>
      </w:tblGrid>
      <w:tr>
        <w:trPr>
          <w:tblHeader w:val="true"/>
        </w:trPr>
        <w:tc>
          <w:tcPr>
            <w:tcW w:type="dxa" w:w="2200"/>
            <w:vAlign w:val="center"/>
            <w:tcMar>
              <w:top w:w="80" w:type="dxa"/>
              <w:start w:w="120" w:type="dxa"/>
              <w:bottom w:w="80" w:type="dxa"/>
              <w:end w:w="120" w:type="dxa"/>
            </w:tcMar>
            <w:shd w:fill="F2F4F7"/>
          </w:tcPr>
          <w:p>
            <w:pPr>
              <w:spacing w:after="0" w:line="264" w:lineRule="auto"/>
            </w:pPr>
            <w:r>
              <w:rPr>
                <w:b/>
                <w:color w:val="0B2545"/>
              </w:rPr>
            </w:r>
            <w:r>
              <w:rPr>
                <w:rFonts w:ascii="Calibri" w:hAnsi="Calibri"/>
                <w:b/>
                <w:color w:val="0B2545"/>
                <w:sz w:val="18"/>
              </w:rPr>
              <w:t>Priority</w:t>
            </w:r>
          </w:p>
        </w:tc>
        <w:tc>
          <w:tcPr>
            <w:tcW w:type="dxa" w:w="7160"/>
            <w:vAlign w:val="center"/>
            <w:tcMar>
              <w:top w:w="80" w:type="dxa"/>
              <w:start w:w="120" w:type="dxa"/>
              <w:bottom w:w="80" w:type="dxa"/>
              <w:end w:w="120" w:type="dxa"/>
            </w:tcMar>
            <w:shd w:fill="F2F4F7"/>
          </w:tcPr>
          <w:p>
            <w:pPr>
              <w:spacing w:after="0" w:line="264" w:lineRule="auto"/>
            </w:pPr>
            <w:r>
              <w:rPr>
                <w:b/>
                <w:color w:val="0B2545"/>
              </w:rPr>
            </w:r>
            <w:r>
              <w:rPr>
                <w:rFonts w:ascii="Calibri" w:hAnsi="Calibri"/>
                <w:b/>
                <w:color w:val="0B2545"/>
                <w:sz w:val="18"/>
              </w:rPr>
              <w:t>Actions</w:t>
            </w:r>
          </w:p>
        </w:tc>
      </w:tr>
      <w:tr>
        <w:tc>
          <w:tcPr>
            <w:tcW w:type="dxa" w:w="2200"/>
            <w:shd w:fill="F2F4F7"/>
          </w:tcPr>
          <w:p>
            <w:pPr>
              <w:spacing w:after="0" w:line="264" w:lineRule="auto"/>
            </w:pPr>
            <w:r/>
            <w:r>
              <w:rPr>
                <w:rFonts w:ascii="Calibri" w:hAnsi="Calibri"/>
                <w:b/>
                <w:color w:val="0B2545"/>
                <w:sz w:val="19"/>
              </w:rPr>
              <w:t>Before deployment</w:t>
            </w:r>
          </w:p>
        </w:tc>
        <w:tc>
          <w:tcPr>
            <w:tcW w:type="dxa" w:w="7160"/>
          </w:tcPr>
          <w:p>
            <w:pPr>
              <w:spacing w:after="0" w:line="264" w:lineRule="auto"/>
            </w:pPr>
            <w:r/>
            <w:r>
              <w:rPr>
                <w:rFonts w:ascii="Calibri" w:hAnsi="Calibri"/>
                <w:b w:val="0"/>
                <w:color w:val="000000"/>
                <w:sz w:val="18"/>
              </w:rPr>
              <w:t>Fix Multer/Nest upload advisories; enforce evidence scope; enforce asset write scope; remove JWT fallback; require production CORS; commit migrations.</w:t>
            </w:r>
          </w:p>
        </w:tc>
      </w:tr>
      <w:tr>
        <w:tc>
          <w:tcPr>
            <w:tcW w:type="dxa" w:w="2200"/>
            <w:shd w:fill="F2F4F7"/>
          </w:tcPr>
          <w:p>
            <w:pPr>
              <w:spacing w:after="0" w:line="264" w:lineRule="auto"/>
            </w:pPr>
            <w:r/>
            <w:r>
              <w:rPr>
                <w:rFonts w:ascii="Calibri" w:hAnsi="Calibri"/>
                <w:b/>
                <w:color w:val="0B2545"/>
                <w:sz w:val="19"/>
              </w:rPr>
              <w:t>Soon after</w:t>
            </w:r>
          </w:p>
        </w:tc>
        <w:tc>
          <w:tcPr>
            <w:tcW w:type="dxa" w:w="7160"/>
          </w:tcPr>
          <w:p>
            <w:pPr>
              <w:spacing w:after="0" w:line="264" w:lineRule="auto"/>
            </w:pPr>
            <w:r/>
            <w:r>
              <w:rPr>
                <w:rFonts w:ascii="Calibri" w:hAnsi="Calibri"/>
                <w:b w:val="0"/>
                <w:color w:val="000000"/>
                <w:sz w:val="18"/>
              </w:rPr>
              <w:t>Add login-specific throttling; add token revocation or refresh rotation; add .env.example; add e2e authorization tests.</w:t>
            </w:r>
          </w:p>
        </w:tc>
      </w:tr>
      <w:tr>
        <w:tc>
          <w:tcPr>
            <w:tcW w:type="dxa" w:w="2200"/>
            <w:shd w:fill="F2F4F7"/>
          </w:tcPr>
          <w:p>
            <w:pPr>
              <w:spacing w:after="0" w:line="264" w:lineRule="auto"/>
            </w:pPr>
            <w:r/>
            <w:r>
              <w:rPr>
                <w:rFonts w:ascii="Calibri" w:hAnsi="Calibri"/>
                <w:b/>
                <w:color w:val="0B2545"/>
                <w:sz w:val="19"/>
              </w:rPr>
              <w:t>Later hardening</w:t>
            </w:r>
          </w:p>
        </w:tc>
        <w:tc>
          <w:tcPr>
            <w:tcW w:type="dxa" w:w="7160"/>
          </w:tcPr>
          <w:p>
            <w:pPr>
              <w:spacing w:after="0" w:line="264" w:lineRule="auto"/>
            </w:pPr>
            <w:r/>
            <w:r>
              <w:rPr>
                <w:rFonts w:ascii="Calibri" w:hAnsi="Calibri"/>
                <w:b w:val="0"/>
                <w:color w:val="000000"/>
                <w:sz w:val="18"/>
              </w:rPr>
              <w:t>Paginate all large lists; move SLA refresh outside GET reads; tighten CSP; add CI audit gates and monitoring.</w:t>
            </w:r>
          </w:p>
        </w:tc>
      </w:tr>
    </w:tbl>
    <w:p>
      <w:pPr>
        <w:pStyle w:val="Heading1"/>
      </w:pPr>
      <w:r>
        <w:t>H. Recommended Acceptance Criteria</w:t>
      </w:r>
    </w:p>
    <w:p>
      <w:pPr>
        <w:pStyle w:val="ListBullet"/>
      </w:pPr>
      <w:r>
        <w:t>A scoped user cannot download evidence attached to out-of-scope NDI specifications.</w:t>
      </w:r>
    </w:p>
    <w:p>
      <w:pPr>
        <w:pStyle w:val="ListBullet"/>
      </w:pPr>
      <w:r>
        <w:t>A scoped user cannot create, update, delete, import, or relate assets outside allowed org/domain/classification scope.</w:t>
      </w:r>
    </w:p>
    <w:p>
      <w:pPr>
        <w:pStyle w:val="ListBullet"/>
      </w:pPr>
      <w:r>
        <w:t>The API fails startup in production if JWT_SECRET or CORS origins are missing.</w:t>
      </w:r>
    </w:p>
    <w:p>
      <w:pPr>
        <w:pStyle w:val="ListBullet"/>
      </w:pPr>
      <w:r>
        <w:t>API npm audit has no high vulnerabilities or has documented, accepted exceptions.</w:t>
      </w:r>
    </w:p>
    <w:p>
      <w:pPr>
        <w:pStyle w:val="ListBullet"/>
      </w:pPr>
      <w:r>
        <w:t>CI runs API tests, Prisma validation, migration status, API build, web build, and dependency audits.</w:t>
      </w:r>
    </w:p>
    <w:p>
      <w:pPr>
        <w:pStyle w:val="Heading1"/>
      </w:pPr>
      <w:r>
        <w:t>I. Notes for Senior Review</w:t>
      </w:r>
    </w:p>
    <w:p>
      <w:pPr/>
      <w:r>
        <w:t>The current app is strong enough for client presentation as a controlled demo, provided no real sensitive data is loaded. For production, treat the findings above as release blockers. The fastest safe path is to fix evidence and asset scope first, then dependency/config hardening, then pagination and operational hardening.</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A"/>
        <w:sz w:val="16"/>
      </w:rPr>
      <w:t>DGOP AI Vibe Code Check - Vulnerability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