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0B1F3A"/>
          <w:sz w:val="44"/>
          <w:szCs w:val="44"/>
        </w:rPr>
        <w:t xml:space="preserve">MARLBRIDGE</w:t>
      </w:r>
    </w:p>
    <w:p>
      <w:pPr>
        <w:spacing w:after="60"/>
      </w:pPr>
      <w:r>
        <w:rPr>
          <w:b/>
          <w:bCs/>
          <w:color w:val="7A5E10"/>
          <w:sz w:val="28"/>
          <w:szCs w:val="28"/>
        </w:rPr>
        <w:t xml:space="preserve">Quality, Indexing, Trust &amp; Search-Growth Remediation (QIGT)</w:t>
      </w:r>
    </w:p>
    <w:p>
      <w:pPr>
        <w:spacing w:after="300"/>
      </w:pPr>
      <w:r>
        <w:rPr>
          <w:i/>
          <w:iCs/>
          <w:color w:val="555555"/>
          <w:sz w:val="20"/>
          <w:szCs w:val="20"/>
        </w:rPr>
        <w:t xml:space="preserve">Final programme report — prepared for Nouman Ahmed — 26 August 2026</w:t>
      </w:r>
    </w:p>
    <w:p>
      <w:pPr>
        <w:pStyle w:val="Heading1"/>
        <w:spacing w:after="200" w:before="400"/>
      </w:pPr>
      <w:r>
        <w:t xml:space="preserve">1. Executive summary</w:t>
      </w:r>
    </w:p>
    <w:p>
      <w:pPr>
        <w:spacing w:after="160"/>
      </w:pPr>
      <w:r>
        <w:t xml:space="preserve">This report closes out the QIGT programme: a nine-workstream pass across quality assurance, technical indexing, trust and honesty of published claims, demand-led content optimisation, site search, information architecture, AI/answer-engine readiness, and performance/accessibility, run directly against the live Marlbridge repository (Nouman1608/MB, branch main) and the production site (marlbridge.com) rather than against a prior report.</w:t>
      </w:r>
    </w:p>
    <w:p>
      <w:pPr>
        <w:spacing w:after="160"/>
      </w:pPr>
      <w:r>
        <w:t xml:space="preserve">Nine workstreams were completed (D-032 through D-039, plus the baseline and final-gate work D-040/D-041 in this log's numbering), each landing on its own feature branch, validated with the site's full automated gate, merged into main, and pushed. Every merge auto-deployed to production via Cloudflare Pages; this report's final section re-verifies a representative sample of pages live, not just in the local build, to confirm production actually reflects the changes described below.</w:t>
      </w:r>
    </w:p>
    <w:p>
      <w:pPr>
        <w:spacing w:after="160"/>
      </w:pPr>
      <w:r>
        <w:t xml:space="preserve">Across the programme: one pricing-display bug (duplicated currency codes) was fixed; two overclaiming statements about editorial review and authorship were corrected; one licensing contradiction between /schools/ and /legal/terms/ was reconciled; a structured Free Trial Class enquiry flow was built to replace a generic contact form; three under-optimised resource pages were improved; site search was fixed to index only real content and gained faceted filtering; two empty content categories were removed from prominent navigation; eleven subjects' displayed qualification-level labels were corrected against the real academic matrix; a latent bug in the llms.txt generator was closed; and five real, measured accessibility defects were fixed, taking accessibility to 100/100 on every page tested. One real performance issue (the /resources/ index page) was found, root-caused, and documented as a recommendation rather than risked as a same-session structural fix.</w:t>
      </w:r>
    </w:p>
    <w:p>
      <w:pPr>
        <w:spacing w:after="160"/>
      </w:pPr>
      <w:r>
        <w:t xml:space="preserve">Six items were identified that only the owner can resolve — pricing/policy questions (discount stacking, class duration, cancellation, billing) and one licensing-scope question — consolidated in a dedicated register (Section 11). A sixth, a DNS issue with www.marlbridge.com, was found already resolved on re-check and downgraded to an optional recommendation.</w:t>
      </w:r>
    </w:p>
    <w:p>
      <w:pPr>
        <w:spacing w:after="160"/>
      </w:pPr>
      <w:r>
        <w:t xml:space="preserve">The full validation gate (build, type-checking, the six-validator academic-integrity chain, the six-script audit suite, cross-board regression, negative-fixture tests, unit tests, npm audit, and a Cloudflare Workers dry-run deploy) passes cleanly on the final merged state. No canonical URL was changed, no business fact was invented, no bulk content was added, and the academic matrix's validation gates were preserved throughout.</w:t>
      </w:r>
    </w:p>
    <w:p>
      <w:pPr>
        <w:pStyle w:val="Heading1"/>
        <w:spacing w:after="200" w:before="400"/>
      </w:pPr>
      <w:r>
        <w:t xml:space="preserve">2. Scope, method and ground rules</w:t>
      </w:r>
    </w:p>
    <w:p>
      <w:pPr>
        <w:spacing w:after="160"/>
      </w:pPr>
      <w:r>
        <w:t xml:space="preserve">The engagement's own ground rules governed every workstream and are restated here because they shaped what was and was not done: inspect the actual current repository and production site before editing, rather than trust an existing report; treat prior reports as historical until reconfirmed; never invent business, academic, pricing, enrolment, teacher, reviewer, or licensing facts; never claim independent academic review without a real reviewer and review record; never fabricate credentials, testimonials, locations, student numbers, results, partnerships, or institutional relationships; never change a canonical public URL without a demonstrated need and a verified redirect; add no bulk content during this programme; create no thin pages merely to target keywords; never delete or noindex a page on traffic grounds alone; keep AQA and OxfordAQA strictly separate; preserve the academic matrix and its validation gates; and make the smallest safe change that solves a verified problem.</w:t>
      </w:r>
    </w:p>
    <w:p>
      <w:pPr>
        <w:spacing w:after="160"/>
      </w:pPr>
      <w:r>
        <w:t xml:space="preserve">Every fix in this report traces to a real, directly observed defect — a wrong number rendered on a live page, a contradiction between two live pages, a measured contrast ratio, a script's own output — not to an assumption carried over from an earlier document. Where a question could not be answered this way (a business policy the site simply never stated), it was routed to the owner-decisions register in Section 11 instead of guessed at.</w:t>
      </w:r>
    </w:p>
    <w:p>
      <w:pPr>
        <w:spacing w:after="160"/>
      </w:pPr>
      <w:r>
        <w:t xml:space="preserve">Work proceeded as a sequence of small, independently validated branches: edit, run the full validation chain, commit with a detailed rationale, push, merge to main, push main. Each merge is recorded in docs/decision-log.md under its own entry (D-032 through D-041), which remains the fullest record of exactly what changed and why.</w:t>
      </w:r>
    </w:p>
    <w:p>
      <w:pPr>
        <w:pStyle w:val="Heading1"/>
        <w:spacing w:after="200" w:before="400"/>
      </w:pPr>
      <w:r>
        <w:t xml:space="preserve">3. Baseline — state before this programme</w:t>
      </w:r>
    </w:p>
    <w:p>
      <w:pPr>
        <w:spacing w:after="160"/>
      </w:pPr>
      <w:r>
        <w:t xml:space="preserve">Recorded fresh at the start of this programme (commit e04fbc3, docs/reports/qigt-baseline-2026-08-26.md) rather than assumed from any earlier document: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600"/>
        <w:gridCol w:w="4200"/>
      </w:tblGrid>
      <w:tr>
        <w:tc>
          <w:tcPr>
            <w:tcW w:type="dxa" w:w="5600"/>
            <w:shd w:fill="E8E2D0" w:val="clear"/>
            <w:tcMar>
              <w:top w:type="dxa" w:w="80"/>
              <w:left w:type="dxa" w:w="100"/>
              <w:bottom w:type="dxa" w:w="80"/>
              <w:right w:type="dxa" w:w="100"/>
            </w:tcMar>
          </w:tcPr>
          <w:p>
            <w:r>
              <w:rPr>
                <w:b/>
                <w:bCs/>
                <w:sz w:val="20"/>
                <w:szCs w:val="20"/>
              </w:rPr>
              <w:t xml:space="preserve">Metric</w:t>
            </w:r>
          </w:p>
        </w:tc>
        <w:tc>
          <w:tcPr>
            <w:tcW w:type="dxa" w:w="4200"/>
            <w:shd w:fill="E8E2D0" w:val="clear"/>
            <w:tcMar>
              <w:top w:type="dxa" w:w="80"/>
              <w:left w:type="dxa" w:w="100"/>
              <w:bottom w:type="dxa" w:w="80"/>
              <w:right w:type="dxa" w:w="100"/>
            </w:tcMar>
          </w:tcPr>
          <w:p>
            <w:r>
              <w:rPr>
                <w:b/>
                <w:bCs/>
                <w:sz w:val="20"/>
                <w:szCs w:val="20"/>
              </w:rPr>
              <w:t xml:space="preserve">Baseline value</w:t>
            </w:r>
          </w:p>
        </w:tc>
      </w:tr>
      <w:tr>
        <w:tc>
          <w:tcPr>
            <w:tcW w:type="dxa" w:w="5600"/>
            <w:tcMar>
              <w:top w:type="dxa" w:w="80"/>
              <w:left w:type="dxa" w:w="100"/>
              <w:bottom w:type="dxa" w:w="80"/>
              <w:right w:type="dxa" w:w="100"/>
            </w:tcMar>
          </w:tcPr>
          <w:p>
            <w:r>
              <w:rPr>
                <w:b w:val="false"/>
                <w:bCs w:val="false"/>
                <w:sz w:val="20"/>
                <w:szCs w:val="20"/>
              </w:rPr>
              <w:t xml:space="preserve">Built pages</w:t>
            </w:r>
          </w:p>
        </w:tc>
        <w:tc>
          <w:tcPr>
            <w:tcW w:type="dxa" w:w="4200"/>
            <w:tcMar>
              <w:top w:type="dxa" w:w="80"/>
              <w:left w:type="dxa" w:w="100"/>
              <w:bottom w:type="dxa" w:w="80"/>
              <w:right w:type="dxa" w:w="100"/>
            </w:tcMar>
          </w:tcPr>
          <w:p>
            <w:r>
              <w:rPr>
                <w:b w:val="false"/>
                <w:bCs w:val="false"/>
                <w:sz w:val="20"/>
                <w:szCs w:val="20"/>
              </w:rPr>
              <w:t xml:space="preserve">1,131 (1,130 in sitemap; /404.html correctly excluded)</w:t>
            </w:r>
          </w:p>
        </w:tc>
      </w:tr>
      <w:tr>
        <w:tc>
          <w:tcPr>
            <w:tcW w:type="dxa" w:w="5600"/>
            <w:tcMar>
              <w:top w:type="dxa" w:w="80"/>
              <w:left w:type="dxa" w:w="100"/>
              <w:bottom w:type="dxa" w:w="80"/>
              <w:right w:type="dxa" w:w="100"/>
            </w:tcMar>
          </w:tcPr>
          <w:p>
            <w:r>
              <w:rPr>
                <w:b w:val="false"/>
                <w:bCs w:val="false"/>
                <w:sz w:val="20"/>
                <w:szCs w:val="20"/>
              </w:rPr>
              <w:t xml:space="preserve">Resources published</w:t>
            </w:r>
          </w:p>
        </w:tc>
        <w:tc>
          <w:tcPr>
            <w:tcW w:type="dxa" w:w="4200"/>
            <w:tcMar>
              <w:top w:type="dxa" w:w="80"/>
              <w:left w:type="dxa" w:w="100"/>
              <w:bottom w:type="dxa" w:w="80"/>
              <w:right w:type="dxa" w:w="100"/>
            </w:tcMar>
          </w:tcPr>
          <w:p>
            <w:r>
              <w:rPr>
                <w:b w:val="false"/>
                <w:bCs w:val="false"/>
                <w:sz w:val="20"/>
                <w:szCs w:val="20"/>
              </w:rPr>
              <w:t xml:space="preserve">731 files</w:t>
            </w:r>
          </w:p>
        </w:tc>
      </w:tr>
      <w:tr>
        <w:tc>
          <w:tcPr>
            <w:tcW w:type="dxa" w:w="5600"/>
            <w:tcMar>
              <w:top w:type="dxa" w:w="80"/>
              <w:left w:type="dxa" w:w="100"/>
              <w:bottom w:type="dxa" w:w="80"/>
              <w:right w:type="dxa" w:w="100"/>
            </w:tcMar>
          </w:tcPr>
          <w:p>
            <w:r>
              <w:rPr>
                <w:b w:val="false"/>
                <w:bCs w:val="false"/>
                <w:sz w:val="20"/>
                <w:szCs w:val="20"/>
              </w:rPr>
              <w:t xml:space="preserve">Academic matrix</w:t>
            </w:r>
          </w:p>
        </w:tc>
        <w:tc>
          <w:tcPr>
            <w:tcW w:type="dxa" w:w="4200"/>
            <w:tcMar>
              <w:top w:type="dxa" w:w="80"/>
              <w:left w:type="dxa" w:w="100"/>
              <w:bottom w:type="dxa" w:w="80"/>
              <w:right w:type="dxa" w:w="100"/>
            </w:tcMar>
          </w:tcPr>
          <w:p>
            <w:r>
              <w:rPr>
                <w:b w:val="false"/>
                <w:bCs w:val="false"/>
                <w:sz w:val="20"/>
                <w:szCs w:val="20"/>
              </w:rPr>
              <w:t xml:space="preserve">183 rows — 160 ACTIVE, 23 NOT_SUPPORTED</w:t>
            </w:r>
          </w:p>
        </w:tc>
      </w:tr>
      <w:tr>
        <w:tc>
          <w:tcPr>
            <w:tcW w:type="dxa" w:w="5600"/>
            <w:tcMar>
              <w:top w:type="dxa" w:w="80"/>
              <w:left w:type="dxa" w:w="100"/>
              <w:bottom w:type="dxa" w:w="80"/>
              <w:right w:type="dxa" w:w="100"/>
            </w:tcMar>
          </w:tcPr>
          <w:p>
            <w:r>
              <w:rPr>
                <w:b w:val="false"/>
                <w:bCs w:val="false"/>
                <w:sz w:val="20"/>
                <w:szCs w:val="20"/>
              </w:rPr>
              <w:t xml:space="preserve">Redirect rules</w:t>
            </w:r>
          </w:p>
        </w:tc>
        <w:tc>
          <w:tcPr>
            <w:tcW w:type="dxa" w:w="4200"/>
            <w:tcMar>
              <w:top w:type="dxa" w:w="80"/>
              <w:left w:type="dxa" w:w="100"/>
              <w:bottom w:type="dxa" w:w="80"/>
              <w:right w:type="dxa" w:w="100"/>
            </w:tcMar>
          </w:tcPr>
          <w:p>
            <w:r>
              <w:rPr>
                <w:b w:val="false"/>
                <w:bCs w:val="false"/>
                <w:sz w:val="20"/>
                <w:szCs w:val="20"/>
              </w:rPr>
              <w:t xml:space="preserve">976 (975 static, 1 wildcard)</w:t>
            </w:r>
          </w:p>
        </w:tc>
      </w:tr>
      <w:tr>
        <w:tc>
          <w:tcPr>
            <w:tcW w:type="dxa" w:w="5600"/>
            <w:tcMar>
              <w:top w:type="dxa" w:w="80"/>
              <w:left w:type="dxa" w:w="100"/>
              <w:bottom w:type="dxa" w:w="80"/>
              <w:right w:type="dxa" w:w="100"/>
            </w:tcMar>
          </w:tcPr>
          <w:p>
            <w:r>
              <w:rPr>
                <w:b w:val="false"/>
                <w:bCs w:val="false"/>
                <w:sz w:val="20"/>
                <w:szCs w:val="20"/>
              </w:rPr>
              <w:t xml:space="preserve">Font files</w:t>
            </w:r>
          </w:p>
        </w:tc>
        <w:tc>
          <w:tcPr>
            <w:tcW w:type="dxa" w:w="4200"/>
            <w:tcMar>
              <w:top w:type="dxa" w:w="80"/>
              <w:left w:type="dxa" w:w="100"/>
              <w:bottom w:type="dxa" w:w="80"/>
              <w:right w:type="dxa" w:w="100"/>
            </w:tcMar>
          </w:tcPr>
          <w:p>
            <w:r>
              <w:rPr>
                <w:b w:val="false"/>
                <w:bCs w:val="false"/>
                <w:sz w:val="20"/>
                <w:szCs w:val="20"/>
              </w:rPr>
              <w:t xml:space="preserve">14, all independently distinct binaries</w:t>
            </w:r>
          </w:p>
        </w:tc>
      </w:tr>
      <w:tr>
        <w:tc>
          <w:tcPr>
            <w:tcW w:type="dxa" w:w="5600"/>
            <w:tcMar>
              <w:top w:type="dxa" w:w="80"/>
              <w:left w:type="dxa" w:w="100"/>
              <w:bottom w:type="dxa" w:w="80"/>
              <w:right w:type="dxa" w:w="100"/>
            </w:tcMar>
          </w:tcPr>
          <w:p>
            <w:r>
              <w:rPr>
                <w:b w:val="false"/>
                <w:bCs w:val="false"/>
                <w:sz w:val="20"/>
                <w:szCs w:val="20"/>
              </w:rPr>
              <w:t xml:space="preserve">Validation gate</w:t>
            </w:r>
          </w:p>
        </w:tc>
        <w:tc>
          <w:tcPr>
            <w:tcW w:type="dxa" w:w="4200"/>
            <w:tcMar>
              <w:top w:type="dxa" w:w="80"/>
              <w:left w:type="dxa" w:w="100"/>
              <w:bottom w:type="dxa" w:w="80"/>
              <w:right w:type="dxa" w:w="100"/>
            </w:tcMar>
          </w:tcPr>
          <w:p>
            <w:r>
              <w:rPr>
                <w:b w:val="false"/>
                <w:bCs w:val="false"/>
                <w:sz w:val="20"/>
                <w:szCs w:val="20"/>
              </w:rPr>
              <w:t xml:space="preserve">Fully green — build, astro check, validate:academic, audit:all, cross-board regression, negative-fixture suite, unit tests, npm audit, tsc, wrangler dry-run</w:t>
            </w:r>
          </w:p>
        </w:tc>
      </w:tr>
      <w:tr>
        <w:tc>
          <w:tcPr>
            <w:tcW w:type="dxa" w:w="5600"/>
            <w:tcMar>
              <w:top w:type="dxa" w:w="80"/>
              <w:left w:type="dxa" w:w="100"/>
              <w:bottom w:type="dxa" w:w="80"/>
              <w:right w:type="dxa" w:w="100"/>
            </w:tcMar>
          </w:tcPr>
          <w:p>
            <w:r>
              <w:rPr>
                <w:b w:val="false"/>
                <w:bCs w:val="false"/>
                <w:sz w:val="20"/>
                <w:szCs w:val="20"/>
              </w:rPr>
              <w:t xml:space="preserve">Reviewed content</w:t>
            </w:r>
          </w:p>
        </w:tc>
        <w:tc>
          <w:tcPr>
            <w:tcW w:type="dxa" w:w="4200"/>
            <w:tcMar>
              <w:top w:type="dxa" w:w="80"/>
              <w:left w:type="dxa" w:w="100"/>
              <w:bottom w:type="dxa" w:w="80"/>
              <w:right w:type="dxa" w:w="100"/>
            </w:tcMar>
          </w:tcPr>
          <w:p>
            <w:r>
              <w:rPr>
                <w:b w:val="false"/>
                <w:bCs w:val="false"/>
                <w:sz w:val="20"/>
                <w:szCs w:val="20"/>
              </w:rPr>
              <w:t xml:space="preserve">1 of 735 resources+articles marked reviewed, with a real named reviewer</w:t>
            </w:r>
          </w:p>
        </w:tc>
      </w:tr>
    </w:tbl>
    <w:p>
      <w:pPr>
        <w:spacing w:after="160"/>
      </w:pPr>
      <w:r>
        <w:t xml:space="preserve">Also confirmed at baseline: three resource categories (Past Papers, Exam Preparation, Learning Articles) were advertised in the resources index with a live "0 published" count; programme status labels ("Teaching now" / "Not confirmed") were already honest; and the review-state fields (reviewStatus, reviewer) existed in the content schema but were not enforced or displayed anywhere in the codebase — a real, verified gap the QA workstream closed first.</w:t>
      </w:r>
    </w:p>
    <w:p>
      <w:pPr>
        <w:pStyle w:val="Heading1"/>
        <w:spacing w:after="200" w:before="400"/>
      </w:pPr>
      <w:r>
        <w:t xml:space="preserve">4. QA workstream — publication-state enforcement (D-032)</w:t>
      </w:r>
    </w:p>
    <w:p>
      <w:pPr>
        <w:spacing w:after="160"/>
      </w:pPr>
      <w:r>
        <w:t xml:space="preserve">The site's content schema already had the fields needed to distinguish reviewed from not-yet-reviewed material (reviewStatus, reviewer), but nothing in the codebase read or validated them — a resource could be marked reviewed with no reviewer on file, or reviewed by someone not actually authorised as a reviewer, and nothing would catch it. This workstream built scripts/validate-review-integrity.mjs, which now runs as part of every validation gate and rejects: a reviewed status with no reviewer field; a reviewer reference to a nonexistent author; a reviewer who exists but is not flagged isReviewer: true; a reviewedDate before the resource's own publishedDate; and a future-dated review. Five negative-fixture tests were added proving each rejection actually fires, not just that the validator exists.</w:t>
      </w:r>
    </w:p>
    <w:p>
      <w:pPr>
        <w:spacing w:after="160"/>
      </w:pPr>
      <w:r>
        <w:t xml:space="preserve">A second finding in the same pass: editorial-policy.astro overclaimed how much published content is organisationally reviewed. It was rewritten to state the true, current split — a minority of resources formally reviewed, with a real named reviewer on file for the one that is — rather than implying blanket editorial review.</w:t>
      </w:r>
    </w:p>
    <w:p>
      <w:pPr>
        <w:pStyle w:val="Heading1"/>
        <w:spacing w:after="200" w:before="400"/>
      </w:pPr>
      <w:r>
        <w:t xml:space="preserve">5. Indexing workstream (D-033)</w:t>
      </w:r>
    </w:p>
    <w:p>
      <w:pPr>
        <w:spacing w:after="160"/>
      </w:pPr>
      <w:r>
        <w:t xml:space="preserve">The brief's own supplied Google Search Console figures were from an export not available to re-open this session and predated this repository's current state by an entire prior remediation programme, so a URL-for-URL reconciliation against a stale export would not have been meaningful. Instead, this workstream re-verified every item in the brief's indexing checklist directly against the live, built site: self-canonicals, the HTTP-to-HTTPS redirect, trailing-slash consistency, sitemap/redirect/noindex agreement, robots.txt access, sitemap-index validity, query-parameter indexability, and locale hreflang/canonicals — all confirmed already correct, no change needed.</w:t>
      </w:r>
    </w:p>
    <w:p>
      <w:pPr>
        <w:spacing w:after="160"/>
      </w:pPr>
      <w:r>
        <w:t xml:space="preserve">One real gap was found and fixed: /search/, the Pagefind results page, was indexable despite rendering its results entirely client-side into a container no crawler ever populates. It now carries noindex and is excluded from the sitemap — verified live in production (Section 13). A redirect-inventory audit also confirmed all 976 rules trace to a genuinely-was-live URL shape, with none synthetic or speculative; and a fresh crawl of all 160 academic hub pages confirmed 0 remain below the 400-word substantial-content bar established in the prior remediation programme.</w:t>
      </w:r>
    </w:p>
    <w:p>
      <w:pPr>
        <w:spacing w:after="160"/>
      </w:pPr>
      <w:r>
        <w:t xml:space="preserve">One infrastructure finding was logged, not fixed in code, because it lives entirely in Cloudflare's DNS configuration: www.marlbridge.com was not resolving at the time. Section 13 of this report reflects a later re-check that found this has since resolved on its own.</w:t>
      </w:r>
    </w:p>
    <w:p>
      <w:pPr>
        <w:pStyle w:val="Heading1"/>
        <w:spacing w:after="200" w:before="400"/>
      </w:pPr>
      <w:r>
        <w:t xml:space="preserve">6. Trust workstream (D-034)</w:t>
      </w:r>
    </w:p>
    <w:p>
      <w:pPr>
        <w:spacing w:after="160"/>
      </w:pPr>
      <w:r>
        <w:t xml:space="preserve">The pricing page rendered every fee as symbol-plus-amount-plus-currency-code, which for six regions where the symbol and the ISO code are identical (SAR, AED, QAR, KWD, BHD, OMR) produced literal duplication on a live, customer-facing page — for example "SAR 270 SAR/subject/month". Every fee cell, the IB card, and both pricing FAQ answers were standardised on amount plus ISO code only, with the unit stated separately. No amount, rounding, or region was changed, and src/data/pricing.ts, the canonical pricing source, was untouched; the three localised homepages already displayed currency correctly and needed no change.</w:t>
      </w:r>
    </w:p>
    <w:p>
      <w:pPr>
        <w:spacing w:after="160"/>
      </w:pPr>
      <w:r>
        <w:t xml:space="preserve">The About page separately overclaimed that all published material is "written and reviewed by subject specialists" and implied every resource carries the organisational byline. Direct verification against the content collection found the true figures — 373 of 731 resources already carry a real named author rather than the organisational byline, and only 1 of 735 resources-plus-articles is formally marked reviewed — and both paragraphs were rewritten to state this honestly.</w:t>
      </w:r>
    </w:p>
    <w:p>
      <w:pPr>
        <w:spacing w:after="160"/>
      </w:pPr>
      <w:r>
        <w:t xml:space="preserve">A direct contradiction was found between /schools/, which tells schools "no licence, no account, no attribution required" for classroom use, and /legal/terms/, which told the same audience to "write to us first" for exactly that use. Terms was narrowed to carve out an explicit exception matching what Schools already grants, while preserving the permission requirement for republishing, resale, and other partnerships — the deeper question of exactly how far the classroom-use grant extends (bulk printing, LMS upload, modification) was not inferable from existing wording and was routed to the owner-decisions register rather than guessed at.</w:t>
      </w:r>
    </w:p>
    <w:p>
      <w:pPr>
        <w:spacing w:after="160"/>
      </w:pPr>
      <w:r>
        <w:t xml:space="preserve">Finally, the header's "Free Trial Class" button linked to a generic five-field contact form with no structured way to capture qualification, board, or subject. A dedicated trial enquiry kind and a new /trial/ page were built, with qualification/board/subject options read live from the same verified academic-matrix data every board-hub page already uses, plus sixteen passing unit tests covering the new validation path.</w:t>
      </w:r>
    </w:p>
    <w:p>
      <w:pPr>
        <w:pStyle w:val="Heading1"/>
        <w:spacing w:after="200" w:before="400"/>
      </w:pPr>
      <w:r>
        <w:t xml:space="preserve">7. Demand workstream (D-035)</w:t>
      </w:r>
    </w:p>
    <w:p>
      <w:pPr>
        <w:spacing w:after="160"/>
      </w:pPr>
      <w:r>
        <w:t xml:space="preserve">The ten pages the brief named as ranking in positions 4-20 for real queries — four board-hub pages and six resource pages — were each re-checked fresh against a twelve-point on-page checklist (direct-answer opening, spec-coded title/description, topic-mapped headings, real cross-linking, accurate schema, and currency of any spec-code/year references). Seven of the ten were already fully compliant. Three genuine gaps were found and fixed: two Chemistry resource pages had a previously bare mention of the Cambridge AS &amp; A Level Chemistry hub that was not actually linked, and the A-Level Physics medical-physics revision notes opened with generic framing rather than naming its own topic, code, and exam series. All three fixes were verified directly against the resulting diff before merging, not taken on the strength of a summary alone.</w:t>
      </w:r>
    </w:p>
    <w:p>
      <w:pPr>
        <w:pStyle w:val="Heading1"/>
        <w:spacing w:after="200" w:before="400"/>
      </w:pPr>
      <w:r>
        <w:t xml:space="preserve">8. Search and information-architecture workstreams (D-036, D-037)</w:t>
      </w:r>
    </w:p>
    <w:p>
      <w:pPr>
        <w:spacing w:after="160"/>
      </w:pPr>
      <w:r>
        <w:t xml:space="preserve">Pagefind, the site's search engine, was indexing the entire rendered &lt;body&gt; of every page — navigation, footer, and all — rather than just the actual content, and exposed no filtering. Adding data-pagefind-body to the one real content wrapper used sitewide scoped indexing to real content only; the build log now reports "Found a data-pagefind-body element" against 5 indexed filters, where it previously reported indexing the whole body with zero filters. Resource and article pages now carry data-pagefind-filter attributes for subject, level, resource type, board, and qualification, so Pagefind's own default UI renders working facet checkboxes with no further configuration needed.</w:t>
      </w:r>
    </w:p>
    <w:p>
      <w:pPr>
        <w:spacing w:after="160"/>
      </w:pPr>
      <w:r>
        <w:t xml:space="preserve">Separately, two navigation surfaces were found advertising empty content: the footer linked "Past Papers" and "Exam Preparation" categories with zero published resources each, while a genuinely populated 225-resource "Practice Questions" category sat unlinked from the footer entirely. The footer was corrected to link Practice Questions in place of the two empty categories, and the homepage's own category-card grid was changed to only render categories that actually have published content — the /resources/ index page itself, whose entire purpose is showing the full taxonomy honestly, was deliberately left showing its own honest "0 published — in development" treatment for the empty categories, satisfying both the brief's "no filler" and "no legitimate route may silently disappear" requirements at once.</w:t>
      </w:r>
    </w:p>
    <w:p>
      <w:pPr>
        <w:spacing w:after="160"/>
      </w:pPr>
      <w:r>
        <w:t xml:space="preserve">A separate, unrelated finding in the same pass: eleven subjects' displayed qualification-level summary (e.g. "O · A Level") had drifted out of sync with the site's real, live academic matrix — most severely, Accounting's label falsely implied an O Level combination that has no page and was never offered, while several other subjects were simply missing real, live combinations (IB Diploma/Middle Years Programme, additional GCSE variants) from their displayed summary. Each of the eleven corrections was verified against both the reimplemented live matrix logic and an actually-built page for that combination before being applied, not against the matrix data alone.</w:t>
      </w:r>
    </w:p>
    <w:p>
      <w:pPr>
        <w:pStyle w:val="Heading1"/>
        <w:spacing w:after="200" w:before="400"/>
      </w:pPr>
      <w:r>
        <w:t xml:space="preserve">9. AEO / GEO / AIO workstream (D-038)</w:t>
      </w:r>
    </w:p>
    <w:p>
      <w:pPr>
        <w:spacing w:after="160"/>
      </w:pPr>
      <w:r>
        <w:t xml:space="preserve">This pass audited the site's structured-data builders and its llms.txt generator for truthfulness rather than just presence — the concern named in the brief was overclaiming to answer engines and AI crawlers, not missing schema. Article, Course, FAQ, Organization, and Person schema builders were all found already correct: FAQ schema mirrors its page's visible FAQs at every one of seven call sites checked, Course schema is minimal and correctly gated, and exactly one EducationalOrganization entity exists sitewide with proper parent-organisation linkage for the academic byline — no changes were needed.</w:t>
      </w:r>
    </w:p>
    <w:p>
      <w:pPr>
        <w:spacing w:after="160"/>
      </w:pPr>
      <w:r>
        <w:t xml:space="preserve">One latent bug was found and closed in scripts/generate-llms-txt.mjs: the script's computation of which resource-type categories to claim as "present" in the llms.txt summary did not exclude draft-status resources, so a future draft-only resource would have been counted as present despite never actually building a page. No draft resources currently exist, so this made no visible difference to the published llms.txt today, but the fix closes the gap before it can produce a false claim later — confirmed behaviour-preserving by diffing the generated file before and after.</w:t>
      </w:r>
    </w:p>
    <w:p>
      <w:pPr>
        <w:pStyle w:val="Heading1"/>
        <w:spacing w:after="200" w:before="400"/>
      </w:pPr>
      <w:r>
        <w:t xml:space="preserve">10. Performance and accessibility workstream (D-039)</w:t>
      </w:r>
    </w:p>
    <w:p>
      <w:pPr>
        <w:spacing w:after="160"/>
      </w:pPr>
      <w:r>
        <w:t xml:space="preserve">Real Lighthouse audits (not static linting) were run against six representative pages — homepage, a resource page, a board hub, the resources index, the Free Trial form, and search — using a local production build, since several of the day's merges might not yet have finished deploying to production at measurement time. Five real, measured accessibility defects were found and fixed, each confirmed with a second Lighthouse pass after the fix, not assumed from the CSS change alone.</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5200"/>
        <w:gridCol w:w="4600"/>
      </w:tblGrid>
      <w:tr>
        <w:tc>
          <w:tcPr>
            <w:tcW w:type="dxa" w:w="5200"/>
            <w:shd w:fill="E8E2D0" w:val="clear"/>
            <w:tcMar>
              <w:top w:type="dxa" w:w="80"/>
              <w:left w:type="dxa" w:w="100"/>
              <w:bottom w:type="dxa" w:w="80"/>
              <w:right w:type="dxa" w:w="100"/>
            </w:tcMar>
          </w:tcPr>
          <w:p>
            <w:r>
              <w:rPr>
                <w:b/>
                <w:bCs/>
                <w:sz w:val="20"/>
                <w:szCs w:val="20"/>
              </w:rPr>
              <w:t xml:space="preserve">Defect</w:t>
            </w:r>
          </w:p>
        </w:tc>
        <w:tc>
          <w:tcPr>
            <w:tcW w:type="dxa" w:w="4600"/>
            <w:shd w:fill="E8E2D0" w:val="clear"/>
            <w:tcMar>
              <w:top w:type="dxa" w:w="80"/>
              <w:left w:type="dxa" w:w="100"/>
              <w:bottom w:type="dxa" w:w="80"/>
              <w:right w:type="dxa" w:w="100"/>
            </w:tcMar>
          </w:tcPr>
          <w:p>
            <w:r>
              <w:rPr>
                <w:b/>
                <w:bCs/>
                <w:sz w:val="20"/>
                <w:szCs w:val="20"/>
              </w:rPr>
              <w:t xml:space="preserve">Fix</w:t>
            </w:r>
          </w:p>
        </w:tc>
      </w:tr>
      <w:tr>
        <w:tc>
          <w:tcPr>
            <w:tcW w:type="dxa" w:w="5200"/>
            <w:tcMar>
              <w:top w:type="dxa" w:w="80"/>
              <w:left w:type="dxa" w:w="100"/>
              <w:bottom w:type="dxa" w:w="80"/>
              <w:right w:type="dxa" w:w="100"/>
            </w:tcMar>
          </w:tcPr>
          <w:p>
            <w:r>
              <w:rPr>
                <w:b w:val="false"/>
                <w:bCs w:val="false"/>
                <w:sz w:val="20"/>
                <w:szCs w:val="20"/>
              </w:rPr>
              <w:t xml:space="preserve">Sitewide gold-600 token measured 4.47:1 against ivory (below the 4.5:1 AA minimum), flagged on every page</w:t>
            </w:r>
          </w:p>
        </w:tc>
        <w:tc>
          <w:tcPr>
            <w:tcW w:type="dxa" w:w="4600"/>
            <w:tcMar>
              <w:top w:type="dxa" w:w="80"/>
              <w:left w:type="dxa" w:w="100"/>
              <w:bottom w:type="dxa" w:w="80"/>
              <w:right w:type="dxa" w:w="100"/>
            </w:tcMar>
          </w:tcPr>
          <w:p>
            <w:r>
              <w:rPr>
                <w:b w:val="false"/>
                <w:bCs w:val="false"/>
                <w:sz w:val="20"/>
                <w:szCs w:val="20"/>
              </w:rPr>
              <w:t xml:space="preserve">Darkened to #7A5E10 — 5.56:1 vs ivory, 6.11:1 vs white</w:t>
            </w:r>
          </w:p>
        </w:tc>
      </w:tr>
      <w:tr>
        <w:tc>
          <w:tcPr>
            <w:tcW w:type="dxa" w:w="5200"/>
            <w:tcMar>
              <w:top w:type="dxa" w:w="80"/>
              <w:left w:type="dxa" w:w="100"/>
              <w:bottom w:type="dxa" w:w="80"/>
              <w:right w:type="dxa" w:w="100"/>
            </w:tcMar>
          </w:tcPr>
          <w:p>
            <w:r>
              <w:rPr>
                <w:b w:val="false"/>
                <w:bCs w:val="false"/>
                <w:sz w:val="20"/>
                <w:szCs w:val="20"/>
              </w:rPr>
              <w:t xml:space="preserve">"01/02/03" list markers used the on-navy gold-500 token on light surfaces (2.2–2.4:1)</w:t>
            </w:r>
          </w:p>
        </w:tc>
        <w:tc>
          <w:tcPr>
            <w:tcW w:type="dxa" w:w="4600"/>
            <w:tcMar>
              <w:top w:type="dxa" w:w="80"/>
              <w:left w:type="dxa" w:w="100"/>
              <w:bottom w:type="dxa" w:w="80"/>
              <w:right w:type="dxa" w:w="100"/>
            </w:tcMar>
          </w:tcPr>
          <w:p>
            <w:r>
              <w:rPr>
                <w:b w:val="false"/>
                <w:bCs w:val="false"/>
                <w:sz w:val="20"/>
                <w:szCs w:val="20"/>
              </w:rPr>
              <w:t xml:space="preserve">Switched to gold-600 in both affected components</w:t>
            </w:r>
          </w:p>
        </w:tc>
      </w:tr>
      <w:tr>
        <w:tc>
          <w:tcPr>
            <w:tcW w:type="dxa" w:w="5200"/>
            <w:tcMar>
              <w:top w:type="dxa" w:w="80"/>
              <w:left w:type="dxa" w:w="100"/>
              <w:bottom w:type="dxa" w:w="80"/>
              <w:right w:type="dxa" w:w="100"/>
            </w:tcMar>
          </w:tcPr>
          <w:p>
            <w:r>
              <w:rPr>
                <w:b w:val="false"/>
                <w:bCs w:val="false"/>
                <w:sz w:val="20"/>
                <w:szCs w:val="20"/>
              </w:rPr>
              <w:t xml:space="preserve">Resource/article body links distinguished by colour alone (axe link-in-text-block)</w:t>
            </w:r>
          </w:p>
        </w:tc>
        <w:tc>
          <w:tcPr>
            <w:tcW w:type="dxa" w:w="4600"/>
            <w:tcMar>
              <w:top w:type="dxa" w:w="80"/>
              <w:left w:type="dxa" w:w="100"/>
              <w:bottom w:type="dxa" w:w="80"/>
              <w:right w:type="dxa" w:w="100"/>
            </w:tcMar>
          </w:tcPr>
          <w:p>
            <w:r>
              <w:rPr>
                <w:b w:val="false"/>
                <w:bCs w:val="false"/>
                <w:sz w:val="20"/>
                <w:szCs w:val="20"/>
              </w:rPr>
              <w:t xml:space="preserve">Added a scoped underline rule to the rendered content wrapper</w:t>
            </w:r>
          </w:p>
        </w:tc>
      </w:tr>
      <w:tr>
        <w:tc>
          <w:tcPr>
            <w:tcW w:type="dxa" w:w="5200"/>
            <w:tcMar>
              <w:top w:type="dxa" w:w="80"/>
              <w:left w:type="dxa" w:w="100"/>
              <w:bottom w:type="dxa" w:w="80"/>
              <w:right w:type="dxa" w:w="100"/>
            </w:tcMar>
          </w:tcPr>
          <w:p>
            <w:r>
              <w:rPr>
                <w:b w:val="false"/>
                <w:bCs w:val="false"/>
                <w:sz w:val="20"/>
                <w:szCs w:val="20"/>
              </w:rPr>
              <w:t xml:space="preserve">Cookie-banner link had no explicit colour and inherited the wrong global rule — measured 1.1:1, effectively invisible</w:t>
            </w:r>
          </w:p>
        </w:tc>
        <w:tc>
          <w:tcPr>
            <w:tcW w:type="dxa" w:w="4600"/>
            <w:tcMar>
              <w:top w:type="dxa" w:w="80"/>
              <w:left w:type="dxa" w:w="100"/>
              <w:bottom w:type="dxa" w:w="80"/>
              <w:right w:type="dxa" w:w="100"/>
            </w:tcMar>
          </w:tcPr>
          <w:p>
            <w:r>
              <w:rPr>
                <w:b w:val="false"/>
                <w:bCs w:val="false"/>
                <w:sz w:val="20"/>
                <w:szCs w:val="20"/>
              </w:rPr>
              <w:t xml:space="preserve">Added the correct on-navy text colour</w:t>
            </w:r>
          </w:p>
        </w:tc>
      </w:tr>
      <w:tr>
        <w:tc>
          <w:tcPr>
            <w:tcW w:type="dxa" w:w="5200"/>
            <w:tcMar>
              <w:top w:type="dxa" w:w="80"/>
              <w:left w:type="dxa" w:w="100"/>
              <w:bottom w:type="dxa" w:w="80"/>
              <w:right w:type="dxa" w:w="100"/>
            </w:tcMar>
          </w:tcPr>
          <w:p>
            <w:r>
              <w:rPr>
                <w:b w:val="false"/>
                <w:bCs w:val="false"/>
                <w:sz w:val="20"/>
                <w:szCs w:val="20"/>
              </w:rPr>
              <w:t xml:space="preserve">Footer copyright/founding-year text hardcoded a 4.38:1 grey</w:t>
            </w:r>
          </w:p>
        </w:tc>
        <w:tc>
          <w:tcPr>
            <w:tcW w:type="dxa" w:w="4600"/>
            <w:tcMar>
              <w:top w:type="dxa" w:w="80"/>
              <w:left w:type="dxa" w:w="100"/>
              <w:bottom w:type="dxa" w:w="80"/>
              <w:right w:type="dxa" w:w="100"/>
            </w:tcMar>
          </w:tcPr>
          <w:p>
            <w:r>
              <w:rPr>
                <w:b w:val="false"/>
                <w:bCs w:val="false"/>
                <w:sz w:val="20"/>
                <w:szCs w:val="20"/>
              </w:rPr>
              <w:t xml:space="preserve">Replaced with the existing 8.06:1 on-navy-mute token</w:t>
            </w:r>
          </w:p>
        </w:tc>
      </w:tr>
    </w:tbl>
    <w:p>
      <w:pPr>
        <w:spacing w:after="160"/>
      </w:pPr>
      <w:r>
        <w:t xml:space="preserve">Net effect: accessibility moved from 93–97 across the six pages (colour-contrast failing on all six, link-in-text-block on one) to 100/100 on all six. Heading order, accessible names, ARIA usage, html[lang], form labelling, focus order, and target size were never flagged on any page, before or after — confirmed already compliant, not re-implemented.</w:t>
      </w:r>
    </w:p>
    <w:p>
      <w:pPr>
        <w:spacing w:after="160"/>
      </w:pPr>
      <w:r>
        <w:t xml:space="preserve">One real performance issue was found and deliberately not fixed this pass: /resources/ scores Performance 71 with a 1,370ms Total Blocking Time, root-caused directly to the page rendering all 731 resource cards into the DOM at once (existing filters hide non-matching cards rather than removing them), producing roughly 5,200 DOM nodes and 3.7 seconds of style-and-layout work on first paint. A structural fix — pagination, virtualisation, or lazy per-section rendering — would mean restructuring existing, working, tested client-side filter logic, which is more risk than this programme's smallest-safe-change principle justifies without dedicated follow-up testing capability. It is recorded here as a clear, evidence-backed recommendation for a future session.</w:t>
      </w:r>
    </w:p>
    <w:p>
      <w:pPr>
        <w:pStyle w:val="Heading1"/>
        <w:spacing w:after="200" w:before="400"/>
      </w:pPr>
      <w:r>
        <w:t xml:space="preserve">11. Business decisions requiring owner input</w:t>
      </w:r>
    </w:p>
    <w:p>
      <w:pPr>
        <w:spacing w:after="160"/>
      </w:pPr>
      <w:r>
        <w:t xml:space="preserve">Six items were identified across this programme that genuinely cannot be answered from the codebase, the live site, or public awarding-body sources — real business or policy questions the site simply never states a position on. They are consolidated in docs/business-decisions-register.md and summarised here; none of them blocked any of the technical work in this report.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700"/>
        <w:gridCol w:w="7300"/>
        <w:gridCol w:w="1800"/>
      </w:tblGrid>
      <w:tr>
        <w:tc>
          <w:tcPr>
            <w:tcW w:type="dxa" w:w="700"/>
            <w:shd w:fill="E8E2D0" w:val="clear"/>
            <w:tcMar>
              <w:top w:type="dxa" w:w="80"/>
              <w:left w:type="dxa" w:w="100"/>
              <w:bottom w:type="dxa" w:w="80"/>
              <w:right w:type="dxa" w:w="100"/>
            </w:tcMar>
          </w:tcPr>
          <w:p>
            <w:r>
              <w:rPr>
                <w:b/>
                <w:bCs/>
                <w:sz w:val="20"/>
                <w:szCs w:val="20"/>
              </w:rPr>
              <w:t xml:space="preserve">#</w:t>
            </w:r>
          </w:p>
        </w:tc>
        <w:tc>
          <w:tcPr>
            <w:tcW w:type="dxa" w:w="7300"/>
            <w:shd w:fill="E8E2D0" w:val="clear"/>
            <w:tcMar>
              <w:top w:type="dxa" w:w="80"/>
              <w:left w:type="dxa" w:w="100"/>
              <w:bottom w:type="dxa" w:w="80"/>
              <w:right w:type="dxa" w:w="100"/>
            </w:tcMar>
          </w:tcPr>
          <w:p>
            <w:r>
              <w:rPr>
                <w:b/>
                <w:bCs/>
                <w:sz w:val="20"/>
                <w:szCs w:val="20"/>
              </w:rPr>
              <w:t xml:space="preserve">Question</w:t>
            </w:r>
          </w:p>
        </w:tc>
        <w:tc>
          <w:tcPr>
            <w:tcW w:type="dxa" w:w="1800"/>
            <w:shd w:fill="E8E2D0" w:val="clear"/>
            <w:tcMar>
              <w:top w:type="dxa" w:w="80"/>
              <w:left w:type="dxa" w:w="100"/>
              <w:bottom w:type="dxa" w:w="80"/>
              <w:right w:type="dxa" w:w="100"/>
            </w:tcMar>
          </w:tcPr>
          <w:p>
            <w:r>
              <w:rPr>
                <w:b/>
                <w:bCs/>
                <w:sz w:val="20"/>
                <w:szCs w:val="20"/>
              </w:rPr>
              <w:t xml:space="preserve">Status</w:t>
            </w:r>
          </w:p>
        </w:tc>
      </w:tr>
      <w:tr>
        <w:tc>
          <w:tcPr>
            <w:tcW w:type="dxa" w:w="700"/>
            <w:tcMar>
              <w:top w:type="dxa" w:w="80"/>
              <w:left w:type="dxa" w:w="100"/>
              <w:bottom w:type="dxa" w:w="80"/>
              <w:right w:type="dxa" w:w="100"/>
            </w:tcMar>
          </w:tcPr>
          <w:p>
            <w:r>
              <w:rPr>
                <w:b w:val="false"/>
                <w:bCs w:val="false"/>
                <w:sz w:val="20"/>
                <w:szCs w:val="20"/>
              </w:rPr>
              <w:t xml:space="preserve">1</w:t>
            </w:r>
          </w:p>
        </w:tc>
        <w:tc>
          <w:tcPr>
            <w:tcW w:type="dxa" w:w="7300"/>
            <w:tcMar>
              <w:top w:type="dxa" w:w="80"/>
              <w:left w:type="dxa" w:w="100"/>
              <w:bottom w:type="dxa" w:w="80"/>
              <w:right w:type="dxa" w:w="100"/>
            </w:tcMar>
          </w:tcPr>
          <w:p>
            <w:r>
              <w:rPr>
                <w:b w:val="false"/>
                <w:bCs w:val="false"/>
                <w:sz w:val="20"/>
                <w:szCs w:val="20"/>
              </w:rPr>
              <w:t xml:space="preserve">Exact scope of the schools' content-licence grant — bulk printing, LMS upload, modification?</w:t>
            </w:r>
          </w:p>
        </w:tc>
        <w:tc>
          <w:tcPr>
            <w:tcW w:type="dxa" w:w="1800"/>
            <w:tcMar>
              <w:top w:type="dxa" w:w="80"/>
              <w:left w:type="dxa" w:w="100"/>
              <w:bottom w:type="dxa" w:w="80"/>
              <w:right w:type="dxa" w:w="100"/>
            </w:tcMar>
          </w:tcPr>
          <w:p>
            <w:r>
              <w:rPr>
                <w:b w:val="false"/>
                <w:bCs w:val="false"/>
                <w:sz w:val="20"/>
                <w:szCs w:val="20"/>
              </w:rPr>
              <w:t xml:space="preserve">Open</w:t>
            </w:r>
          </w:p>
        </w:tc>
      </w:tr>
      <w:tr>
        <w:tc>
          <w:tcPr>
            <w:tcW w:type="dxa" w:w="700"/>
            <w:tcMar>
              <w:top w:type="dxa" w:w="80"/>
              <w:left w:type="dxa" w:w="100"/>
              <w:bottom w:type="dxa" w:w="80"/>
              <w:right w:type="dxa" w:w="100"/>
            </w:tcMar>
          </w:tcPr>
          <w:p>
            <w:r>
              <w:rPr>
                <w:b w:val="false"/>
                <w:bCs w:val="false"/>
                <w:sz w:val="20"/>
                <w:szCs w:val="20"/>
              </w:rPr>
              <w:t xml:space="preserve">2</w:t>
            </w:r>
          </w:p>
        </w:tc>
        <w:tc>
          <w:tcPr>
            <w:tcW w:type="dxa" w:w="7300"/>
            <w:tcMar>
              <w:top w:type="dxa" w:w="80"/>
              <w:left w:type="dxa" w:w="100"/>
              <w:bottom w:type="dxa" w:w="80"/>
              <w:right w:type="dxa" w:w="100"/>
            </w:tcMar>
          </w:tcPr>
          <w:p>
            <w:r>
              <w:rPr>
                <w:b w:val="false"/>
                <w:bCs w:val="false"/>
                <w:sz w:val="20"/>
                <w:szCs w:val="20"/>
              </w:rPr>
              <w:t xml:space="preserve">Do the multi-subject and sibling pricing discounts stack?</w:t>
            </w:r>
          </w:p>
        </w:tc>
        <w:tc>
          <w:tcPr>
            <w:tcW w:type="dxa" w:w="1800"/>
            <w:tcMar>
              <w:top w:type="dxa" w:w="80"/>
              <w:left w:type="dxa" w:w="100"/>
              <w:bottom w:type="dxa" w:w="80"/>
              <w:right w:type="dxa" w:w="100"/>
            </w:tcMar>
          </w:tcPr>
          <w:p>
            <w:r>
              <w:rPr>
                <w:b w:val="false"/>
                <w:bCs w:val="false"/>
                <w:sz w:val="20"/>
                <w:szCs w:val="20"/>
              </w:rPr>
              <w:t xml:space="preserve">Open</w:t>
            </w:r>
          </w:p>
        </w:tc>
      </w:tr>
      <w:tr>
        <w:tc>
          <w:tcPr>
            <w:tcW w:type="dxa" w:w="700"/>
            <w:tcMar>
              <w:top w:type="dxa" w:w="80"/>
              <w:left w:type="dxa" w:w="100"/>
              <w:bottom w:type="dxa" w:w="80"/>
              <w:right w:type="dxa" w:w="100"/>
            </w:tcMar>
          </w:tcPr>
          <w:p>
            <w:r>
              <w:rPr>
                <w:b w:val="false"/>
                <w:bCs w:val="false"/>
                <w:sz w:val="20"/>
                <w:szCs w:val="20"/>
              </w:rPr>
              <w:t xml:space="preserve">3</w:t>
            </w:r>
          </w:p>
        </w:tc>
        <w:tc>
          <w:tcPr>
            <w:tcW w:type="dxa" w:w="7300"/>
            <w:tcMar>
              <w:top w:type="dxa" w:w="80"/>
              <w:left w:type="dxa" w:w="100"/>
              <w:bottom w:type="dxa" w:w="80"/>
              <w:right w:type="dxa" w:w="100"/>
            </w:tcMar>
          </w:tcPr>
          <w:p>
            <w:r>
              <w:rPr>
                <w:b w:val="false"/>
                <w:bCs w:val="false"/>
                <w:sz w:val="20"/>
                <w:szCs w:val="20"/>
              </w:rPr>
              <w:t xml:space="preserve">Standard class duration and frequency per subject/level?</w:t>
            </w:r>
          </w:p>
        </w:tc>
        <w:tc>
          <w:tcPr>
            <w:tcW w:type="dxa" w:w="1800"/>
            <w:tcMar>
              <w:top w:type="dxa" w:w="80"/>
              <w:left w:type="dxa" w:w="100"/>
              <w:bottom w:type="dxa" w:w="80"/>
              <w:right w:type="dxa" w:w="100"/>
            </w:tcMar>
          </w:tcPr>
          <w:p>
            <w:r>
              <w:rPr>
                <w:b w:val="false"/>
                <w:bCs w:val="false"/>
                <w:sz w:val="20"/>
                <w:szCs w:val="20"/>
              </w:rPr>
              <w:t xml:space="preserve">Open</w:t>
            </w:r>
          </w:p>
        </w:tc>
      </w:tr>
      <w:tr>
        <w:tc>
          <w:tcPr>
            <w:tcW w:type="dxa" w:w="700"/>
            <w:tcMar>
              <w:top w:type="dxa" w:w="80"/>
              <w:left w:type="dxa" w:w="100"/>
              <w:bottom w:type="dxa" w:w="80"/>
              <w:right w:type="dxa" w:w="100"/>
            </w:tcMar>
          </w:tcPr>
          <w:p>
            <w:r>
              <w:rPr>
                <w:b w:val="false"/>
                <w:bCs w:val="false"/>
                <w:sz w:val="20"/>
                <w:szCs w:val="20"/>
              </w:rPr>
              <w:t xml:space="preserve">4</w:t>
            </w:r>
          </w:p>
        </w:tc>
        <w:tc>
          <w:tcPr>
            <w:tcW w:type="dxa" w:w="7300"/>
            <w:tcMar>
              <w:top w:type="dxa" w:w="80"/>
              <w:left w:type="dxa" w:w="100"/>
              <w:bottom w:type="dxa" w:w="80"/>
              <w:right w:type="dxa" w:w="100"/>
            </w:tcMar>
          </w:tcPr>
          <w:p>
            <w:r>
              <w:rPr>
                <w:b w:val="false"/>
                <w:bCs w:val="false"/>
                <w:sz w:val="20"/>
                <w:szCs w:val="20"/>
              </w:rPr>
              <w:t xml:space="preserve">Cancellation/refund policy — currently unstated anywhere on the site</w:t>
            </w:r>
          </w:p>
        </w:tc>
        <w:tc>
          <w:tcPr>
            <w:tcW w:type="dxa" w:w="1800"/>
            <w:tcMar>
              <w:top w:type="dxa" w:w="80"/>
              <w:left w:type="dxa" w:w="100"/>
              <w:bottom w:type="dxa" w:w="80"/>
              <w:right w:type="dxa" w:w="100"/>
            </w:tcMar>
          </w:tcPr>
          <w:p>
            <w:r>
              <w:rPr>
                <w:b w:val="false"/>
                <w:bCs w:val="false"/>
                <w:sz w:val="20"/>
                <w:szCs w:val="20"/>
              </w:rPr>
              <w:t xml:space="preserve">Open</w:t>
            </w:r>
          </w:p>
        </w:tc>
      </w:tr>
      <w:tr>
        <w:tc>
          <w:tcPr>
            <w:tcW w:type="dxa" w:w="700"/>
            <w:tcMar>
              <w:top w:type="dxa" w:w="80"/>
              <w:left w:type="dxa" w:w="100"/>
              <w:bottom w:type="dxa" w:w="80"/>
              <w:right w:type="dxa" w:w="100"/>
            </w:tcMar>
          </w:tcPr>
          <w:p>
            <w:r>
              <w:rPr>
                <w:b w:val="false"/>
                <w:bCs w:val="false"/>
                <w:sz w:val="20"/>
                <w:szCs w:val="20"/>
              </w:rPr>
              <w:t xml:space="preserve">5</w:t>
            </w:r>
          </w:p>
        </w:tc>
        <w:tc>
          <w:tcPr>
            <w:tcW w:type="dxa" w:w="7300"/>
            <w:tcMar>
              <w:top w:type="dxa" w:w="80"/>
              <w:left w:type="dxa" w:w="100"/>
              <w:bottom w:type="dxa" w:w="80"/>
              <w:right w:type="dxa" w:w="100"/>
            </w:tcMar>
          </w:tcPr>
          <w:p>
            <w:r>
              <w:rPr>
                <w:b w:val="false"/>
                <w:bCs w:val="false"/>
                <w:sz w:val="20"/>
                <w:szCs w:val="20"/>
              </w:rPr>
              <w:t xml:space="preserve">Billing cadence, accepted payment methods, any fees beyond the published rate?</w:t>
            </w:r>
          </w:p>
        </w:tc>
        <w:tc>
          <w:tcPr>
            <w:tcW w:type="dxa" w:w="1800"/>
            <w:tcMar>
              <w:top w:type="dxa" w:w="80"/>
              <w:left w:type="dxa" w:w="100"/>
              <w:bottom w:type="dxa" w:w="80"/>
              <w:right w:type="dxa" w:w="100"/>
            </w:tcMar>
          </w:tcPr>
          <w:p>
            <w:r>
              <w:rPr>
                <w:b w:val="false"/>
                <w:bCs w:val="false"/>
                <w:sz w:val="20"/>
                <w:szCs w:val="20"/>
              </w:rPr>
              <w:t xml:space="preserve">Open</w:t>
            </w:r>
          </w:p>
        </w:tc>
      </w:tr>
      <w:tr>
        <w:tc>
          <w:tcPr>
            <w:tcW w:type="dxa" w:w="700"/>
            <w:tcMar>
              <w:top w:type="dxa" w:w="80"/>
              <w:left w:type="dxa" w:w="100"/>
              <w:bottom w:type="dxa" w:w="80"/>
              <w:right w:type="dxa" w:w="100"/>
            </w:tcMar>
          </w:tcPr>
          <w:p>
            <w:r>
              <w:rPr>
                <w:b w:val="false"/>
                <w:bCs w:val="false"/>
                <w:sz w:val="20"/>
                <w:szCs w:val="20"/>
              </w:rPr>
              <w:t xml:space="preserve">6</w:t>
            </w:r>
          </w:p>
        </w:tc>
        <w:tc>
          <w:tcPr>
            <w:tcW w:type="dxa" w:w="7300"/>
            <w:tcMar>
              <w:top w:type="dxa" w:w="80"/>
              <w:left w:type="dxa" w:w="100"/>
              <w:bottom w:type="dxa" w:w="80"/>
              <w:right w:type="dxa" w:w="100"/>
            </w:tcMar>
          </w:tcPr>
          <w:p>
            <w:r>
              <w:rPr>
                <w:b w:val="false"/>
                <w:bCs w:val="false"/>
                <w:sz w:val="20"/>
                <w:szCs w:val="20"/>
              </w:rPr>
              <w:t xml:space="preserve">www.marlbridge.com previously did not resolve</w:t>
            </w:r>
          </w:p>
        </w:tc>
        <w:tc>
          <w:tcPr>
            <w:tcW w:type="dxa" w:w="1800"/>
            <w:tcMar>
              <w:top w:type="dxa" w:w="80"/>
              <w:left w:type="dxa" w:w="100"/>
              <w:bottom w:type="dxa" w:w="80"/>
              <w:right w:type="dxa" w:w="100"/>
            </w:tcMar>
          </w:tcPr>
          <w:p>
            <w:r>
              <w:rPr>
                <w:b w:val="false"/>
                <w:bCs w:val="false"/>
                <w:sz w:val="20"/>
                <w:szCs w:val="20"/>
              </w:rPr>
              <w:t xml:space="preserve">Resolved on re-check — now optional/cosmetic only</w:t>
            </w:r>
          </w:p>
        </w:tc>
      </w:tr>
    </w:tbl>
    <w:p>
      <w:pPr>
        <w:spacing w:after="160"/>
      </w:pPr>
      <w:r>
        <w:t xml:space="preserve">Item 6 was originally flagged as an infrastructure action item in D-010/D-033 (the domain was timing out rather than redirecting). Re-checked live during this report's final verification pass, www.marlbridge.com now resolves cleanly, returns HTTP 200, serves byte-identical content to the bare domain, and carries a correct canonical tag pointing at https://marlbridge.com/ — the same safe pattern Google documents for this exact situation. Whatever caused the earlier timeout has resolved itself; the register was corrected in place rather than left stating something no longer true, and a Cloudflare redirect rule from www to the bare domain remains an optional tidiness improvement only, not a required fix.</w:t>
      </w:r>
    </w:p>
    <w:p>
      <w:pPr>
        <w:pStyle w:val="Heading1"/>
        <w:spacing w:after="200" w:before="400"/>
      </w:pPr>
      <w:r>
        <w:t xml:space="preserve">12. Full validation gate and before/after comparison</w:t>
      </w:r>
    </w:p>
    <w:p>
      <w:pPr>
        <w:spacing w:after="160"/>
      </w:pPr>
      <w:r>
        <w:t xml:space="preserve">The complete validation gate was re-run fresh against the final merged state of main (commit e870812 at the time of this pass, then 3366daa once this workstream's own log entry was merged) rather than trusting each workstream's own earlier result in isolation. Every check passed: the Astro build (1,131–1,132 pages depending on which audit script's own counting convention is used — both pre-existing behaviours, not a regression); astro check (0 errors, warnings, or hints across 140 files); the six-validator academic-integrity chain (matrix, content tagging, commercial claims, cross-board integrity, pricing consistency, review integrity); the six-script technical-SEO audit suite plus the sitemap/noindex agreement check; the cross-board regression test; the eleven-case negative-fixture suite; sixteen enquiry-validation unit tests; a clean TypeScript compile; zero npm-audit vulnerabilities; and a successful Cloudflare Workers dry-run deploy.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200"/>
      </w:tblGrid>
      <w:tr>
        <w:tc>
          <w:tcPr>
            <w:tcW w:type="dxa" w:w="3400"/>
            <w:shd w:fill="E8E2D0" w:val="clear"/>
            <w:tcMar>
              <w:top w:type="dxa" w:w="80"/>
              <w:left w:type="dxa" w:w="100"/>
              <w:bottom w:type="dxa" w:w="80"/>
              <w:right w:type="dxa" w:w="100"/>
            </w:tcMar>
          </w:tcPr>
          <w:p>
            <w:r>
              <w:rPr>
                <w:b/>
                <w:bCs/>
                <w:sz w:val="20"/>
                <w:szCs w:val="20"/>
              </w:rPr>
              <w:t xml:space="preserve">Metric</w:t>
            </w:r>
          </w:p>
        </w:tc>
        <w:tc>
          <w:tcPr>
            <w:tcW w:type="dxa" w:w="3000"/>
            <w:shd w:fill="E8E2D0" w:val="clear"/>
            <w:tcMar>
              <w:top w:type="dxa" w:w="80"/>
              <w:left w:type="dxa" w:w="100"/>
              <w:bottom w:type="dxa" w:w="80"/>
              <w:right w:type="dxa" w:w="100"/>
            </w:tcMar>
          </w:tcPr>
          <w:p>
            <w:r>
              <w:rPr>
                <w:b/>
                <w:bCs/>
                <w:sz w:val="20"/>
                <w:szCs w:val="20"/>
              </w:rPr>
              <w:t xml:space="preserve">Baseline</w:t>
            </w:r>
          </w:p>
        </w:tc>
        <w:tc>
          <w:tcPr>
            <w:tcW w:type="dxa" w:w="3200"/>
            <w:shd w:fill="E8E2D0" w:val="clear"/>
            <w:tcMar>
              <w:top w:type="dxa" w:w="80"/>
              <w:left w:type="dxa" w:w="100"/>
              <w:bottom w:type="dxa" w:w="80"/>
              <w:right w:type="dxa" w:w="100"/>
            </w:tcMar>
          </w:tcPr>
          <w:p>
            <w:r>
              <w:rPr>
                <w:b/>
                <w:bCs/>
                <w:sz w:val="20"/>
                <w:szCs w:val="20"/>
              </w:rPr>
              <w:t xml:space="preserve">After QIGT</w:t>
            </w:r>
          </w:p>
        </w:tc>
      </w:tr>
      <w:tr>
        <w:tc>
          <w:tcPr>
            <w:tcW w:type="dxa" w:w="3400"/>
            <w:tcMar>
              <w:top w:type="dxa" w:w="80"/>
              <w:left w:type="dxa" w:w="100"/>
              <w:bottom w:type="dxa" w:w="80"/>
              <w:right w:type="dxa" w:w="100"/>
            </w:tcMar>
          </w:tcPr>
          <w:p>
            <w:r>
              <w:rPr>
                <w:b w:val="false"/>
                <w:bCs w:val="false"/>
                <w:sz w:val="20"/>
                <w:szCs w:val="20"/>
              </w:rPr>
              <w:t xml:space="preserve">Sitemap URLs</w:t>
            </w:r>
          </w:p>
        </w:tc>
        <w:tc>
          <w:tcPr>
            <w:tcW w:type="dxa" w:w="3000"/>
            <w:tcMar>
              <w:top w:type="dxa" w:w="80"/>
              <w:left w:type="dxa" w:w="100"/>
              <w:bottom w:type="dxa" w:w="80"/>
              <w:right w:type="dxa" w:w="100"/>
            </w:tcMar>
          </w:tcPr>
          <w:p>
            <w:r>
              <w:rPr>
                <w:b w:val="false"/>
                <w:bCs w:val="false"/>
                <w:sz w:val="20"/>
                <w:szCs w:val="20"/>
              </w:rPr>
              <w:t xml:space="preserve">1,130</w:t>
            </w:r>
          </w:p>
        </w:tc>
        <w:tc>
          <w:tcPr>
            <w:tcW w:type="dxa" w:w="3200"/>
            <w:tcMar>
              <w:top w:type="dxa" w:w="80"/>
              <w:left w:type="dxa" w:w="100"/>
              <w:bottom w:type="dxa" w:w="80"/>
              <w:right w:type="dxa" w:w="100"/>
            </w:tcMar>
          </w:tcPr>
          <w:p>
            <w:r>
              <w:rPr>
                <w:b w:val="false"/>
                <w:bCs w:val="false"/>
                <w:sz w:val="20"/>
                <w:szCs w:val="20"/>
              </w:rPr>
              <w:t xml:space="preserve">1,130 (net unchanged: /search/ removed, /trial/ added)</w:t>
            </w:r>
          </w:p>
        </w:tc>
      </w:tr>
      <w:tr>
        <w:tc>
          <w:tcPr>
            <w:tcW w:type="dxa" w:w="3400"/>
            <w:tcMar>
              <w:top w:type="dxa" w:w="80"/>
              <w:left w:type="dxa" w:w="100"/>
              <w:bottom w:type="dxa" w:w="80"/>
              <w:right w:type="dxa" w:w="100"/>
            </w:tcMar>
          </w:tcPr>
          <w:p>
            <w:r>
              <w:rPr>
                <w:b w:val="false"/>
                <w:bCs w:val="false"/>
                <w:sz w:val="20"/>
                <w:szCs w:val="20"/>
              </w:rPr>
              <w:t xml:space="preserve">Redirect rules</w:t>
            </w:r>
          </w:p>
        </w:tc>
        <w:tc>
          <w:tcPr>
            <w:tcW w:type="dxa" w:w="3000"/>
            <w:tcMar>
              <w:top w:type="dxa" w:w="80"/>
              <w:left w:type="dxa" w:w="100"/>
              <w:bottom w:type="dxa" w:w="80"/>
              <w:right w:type="dxa" w:w="100"/>
            </w:tcMar>
          </w:tcPr>
          <w:p>
            <w:r>
              <w:rPr>
                <w:b w:val="false"/>
                <w:bCs w:val="false"/>
                <w:sz w:val="20"/>
                <w:szCs w:val="20"/>
              </w:rPr>
              <w:t xml:space="preserve">976 (975 static + 1 wildcard)</w:t>
            </w:r>
          </w:p>
        </w:tc>
        <w:tc>
          <w:tcPr>
            <w:tcW w:type="dxa" w:w="3200"/>
            <w:tcMar>
              <w:top w:type="dxa" w:w="80"/>
              <w:left w:type="dxa" w:w="100"/>
              <w:bottom w:type="dxa" w:w="80"/>
              <w:right w:type="dxa" w:w="100"/>
            </w:tcMar>
          </w:tcPr>
          <w:p>
            <w:r>
              <w:rPr>
                <w:b w:val="false"/>
                <w:bCs w:val="false"/>
                <w:sz w:val="20"/>
                <w:szCs w:val="20"/>
              </w:rPr>
              <w:t xml:space="preserve">976 — unchanged</w:t>
            </w:r>
          </w:p>
        </w:tc>
      </w:tr>
      <w:tr>
        <w:tc>
          <w:tcPr>
            <w:tcW w:type="dxa" w:w="3400"/>
            <w:tcMar>
              <w:top w:type="dxa" w:w="80"/>
              <w:left w:type="dxa" w:w="100"/>
              <w:bottom w:type="dxa" w:w="80"/>
              <w:right w:type="dxa" w:w="100"/>
            </w:tcMar>
          </w:tcPr>
          <w:p>
            <w:r>
              <w:rPr>
                <w:b w:val="false"/>
                <w:bCs w:val="false"/>
                <w:sz w:val="20"/>
                <w:szCs w:val="20"/>
              </w:rPr>
              <w:t xml:space="preserve">Academic matrix rows</w:t>
            </w:r>
          </w:p>
        </w:tc>
        <w:tc>
          <w:tcPr>
            <w:tcW w:type="dxa" w:w="3000"/>
            <w:tcMar>
              <w:top w:type="dxa" w:w="80"/>
              <w:left w:type="dxa" w:w="100"/>
              <w:bottom w:type="dxa" w:w="80"/>
              <w:right w:type="dxa" w:w="100"/>
            </w:tcMar>
          </w:tcPr>
          <w:p>
            <w:r>
              <w:rPr>
                <w:b w:val="false"/>
                <w:bCs w:val="false"/>
                <w:sz w:val="20"/>
                <w:szCs w:val="20"/>
              </w:rPr>
              <w:t xml:space="preserve">183 (160 ACTIVE / 23 NOT_SUPPORTED)</w:t>
            </w:r>
          </w:p>
        </w:tc>
        <w:tc>
          <w:tcPr>
            <w:tcW w:type="dxa" w:w="3200"/>
            <w:tcMar>
              <w:top w:type="dxa" w:w="80"/>
              <w:left w:type="dxa" w:w="100"/>
              <w:bottom w:type="dxa" w:w="80"/>
              <w:right w:type="dxa" w:w="100"/>
            </w:tcMar>
          </w:tcPr>
          <w:p>
            <w:r>
              <w:rPr>
                <w:b w:val="false"/>
                <w:bCs w:val="false"/>
                <w:sz w:val="20"/>
                <w:szCs w:val="20"/>
              </w:rPr>
              <w:t xml:space="preserve">183 (160 / 23) — unchanged; 11 subjects' display labels corrected to match</w:t>
            </w:r>
          </w:p>
        </w:tc>
      </w:tr>
      <w:tr>
        <w:tc>
          <w:tcPr>
            <w:tcW w:type="dxa" w:w="3400"/>
            <w:tcMar>
              <w:top w:type="dxa" w:w="80"/>
              <w:left w:type="dxa" w:w="100"/>
              <w:bottom w:type="dxa" w:w="80"/>
              <w:right w:type="dxa" w:w="100"/>
            </w:tcMar>
          </w:tcPr>
          <w:p>
            <w:r>
              <w:rPr>
                <w:b w:val="false"/>
                <w:bCs w:val="false"/>
                <w:sz w:val="20"/>
                <w:szCs w:val="20"/>
              </w:rPr>
              <w:t xml:space="preserve">Resources / articles published</w:t>
            </w:r>
          </w:p>
        </w:tc>
        <w:tc>
          <w:tcPr>
            <w:tcW w:type="dxa" w:w="3000"/>
            <w:tcMar>
              <w:top w:type="dxa" w:w="80"/>
              <w:left w:type="dxa" w:w="100"/>
              <w:bottom w:type="dxa" w:w="80"/>
              <w:right w:type="dxa" w:w="100"/>
            </w:tcMar>
          </w:tcPr>
          <w:p>
            <w:r>
              <w:rPr>
                <w:b w:val="false"/>
                <w:bCs w:val="false"/>
                <w:sz w:val="20"/>
                <w:szCs w:val="20"/>
              </w:rPr>
              <w:t xml:space="preserve">731 / 4</w:t>
            </w:r>
          </w:p>
        </w:tc>
        <w:tc>
          <w:tcPr>
            <w:tcW w:type="dxa" w:w="3200"/>
            <w:tcMar>
              <w:top w:type="dxa" w:w="80"/>
              <w:left w:type="dxa" w:w="100"/>
              <w:bottom w:type="dxa" w:w="80"/>
              <w:right w:type="dxa" w:w="100"/>
            </w:tcMar>
          </w:tcPr>
          <w:p>
            <w:r>
              <w:rPr>
                <w:b w:val="false"/>
                <w:bCs w:val="false"/>
                <w:sz w:val="20"/>
                <w:szCs w:val="20"/>
              </w:rPr>
              <w:t xml:space="preserve">731 / 4 — unchanged; review-integrity now formally validated (20 reviewer records, 9 flagged isReviewer)</w:t>
            </w:r>
          </w:p>
        </w:tc>
      </w:tr>
      <w:tr>
        <w:tc>
          <w:tcPr>
            <w:tcW w:type="dxa" w:w="3400"/>
            <w:tcMar>
              <w:top w:type="dxa" w:w="80"/>
              <w:left w:type="dxa" w:w="100"/>
              <w:bottom w:type="dxa" w:w="80"/>
              <w:right w:type="dxa" w:w="100"/>
            </w:tcMar>
          </w:tcPr>
          <w:p>
            <w:r>
              <w:rPr>
                <w:b w:val="false"/>
                <w:bCs w:val="false"/>
                <w:sz w:val="20"/>
                <w:szCs w:val="20"/>
              </w:rPr>
              <w:t xml:space="preserve">Duplicate titles / descriptions</w:t>
            </w:r>
          </w:p>
        </w:tc>
        <w:tc>
          <w:tcPr>
            <w:tcW w:type="dxa" w:w="3000"/>
            <w:tcMar>
              <w:top w:type="dxa" w:w="80"/>
              <w:left w:type="dxa" w:w="100"/>
              <w:bottom w:type="dxa" w:w="80"/>
              <w:right w:type="dxa" w:w="100"/>
            </w:tcMar>
          </w:tcPr>
          <w:p>
            <w:r>
              <w:rPr>
                <w:b w:val="false"/>
                <w:bCs w:val="false"/>
                <w:sz w:val="20"/>
                <w:szCs w:val="20"/>
              </w:rPr>
              <w:t xml:space="preserve">0 / 0</w:t>
            </w:r>
          </w:p>
        </w:tc>
        <w:tc>
          <w:tcPr>
            <w:tcW w:type="dxa" w:w="3200"/>
            <w:tcMar>
              <w:top w:type="dxa" w:w="80"/>
              <w:left w:type="dxa" w:w="100"/>
              <w:bottom w:type="dxa" w:w="80"/>
              <w:right w:type="dxa" w:w="100"/>
            </w:tcMar>
          </w:tcPr>
          <w:p>
            <w:r>
              <w:rPr>
                <w:b w:val="false"/>
                <w:bCs w:val="false"/>
                <w:sz w:val="20"/>
                <w:szCs w:val="20"/>
              </w:rPr>
              <w:t xml:space="preserve">0 / 0 — unchanged</w:t>
            </w:r>
          </w:p>
        </w:tc>
      </w:tr>
      <w:tr>
        <w:tc>
          <w:tcPr>
            <w:tcW w:type="dxa" w:w="3400"/>
            <w:tcMar>
              <w:top w:type="dxa" w:w="80"/>
              <w:left w:type="dxa" w:w="100"/>
              <w:bottom w:type="dxa" w:w="80"/>
              <w:right w:type="dxa" w:w="100"/>
            </w:tcMar>
          </w:tcPr>
          <w:p>
            <w:r>
              <w:rPr>
                <w:b w:val="false"/>
                <w:bCs w:val="false"/>
                <w:sz w:val="20"/>
                <w:szCs w:val="20"/>
              </w:rPr>
              <w:t xml:space="preserve">Broken internal links / orphan pages</w:t>
            </w:r>
          </w:p>
        </w:tc>
        <w:tc>
          <w:tcPr>
            <w:tcW w:type="dxa" w:w="3000"/>
            <w:tcMar>
              <w:top w:type="dxa" w:w="80"/>
              <w:left w:type="dxa" w:w="100"/>
              <w:bottom w:type="dxa" w:w="80"/>
              <w:right w:type="dxa" w:w="100"/>
            </w:tcMar>
          </w:tcPr>
          <w:p>
            <w:r>
              <w:rPr>
                <w:b w:val="false"/>
                <w:bCs w:val="false"/>
                <w:sz w:val="20"/>
                <w:szCs w:val="20"/>
              </w:rPr>
              <w:t xml:space="preserve">0 / 0</w:t>
            </w:r>
          </w:p>
        </w:tc>
        <w:tc>
          <w:tcPr>
            <w:tcW w:type="dxa" w:w="3200"/>
            <w:tcMar>
              <w:top w:type="dxa" w:w="80"/>
              <w:left w:type="dxa" w:w="100"/>
              <w:bottom w:type="dxa" w:w="80"/>
              <w:right w:type="dxa" w:w="100"/>
            </w:tcMar>
          </w:tcPr>
          <w:p>
            <w:r>
              <w:rPr>
                <w:b w:val="false"/>
                <w:bCs w:val="false"/>
                <w:sz w:val="20"/>
                <w:szCs w:val="20"/>
              </w:rPr>
              <w:t xml:space="preserve">0 / 0 — unchanged</w:t>
            </w:r>
          </w:p>
        </w:tc>
      </w:tr>
      <w:tr>
        <w:tc>
          <w:tcPr>
            <w:tcW w:type="dxa" w:w="3400"/>
            <w:tcMar>
              <w:top w:type="dxa" w:w="80"/>
              <w:left w:type="dxa" w:w="100"/>
              <w:bottom w:type="dxa" w:w="80"/>
              <w:right w:type="dxa" w:w="100"/>
            </w:tcMar>
          </w:tcPr>
          <w:p>
            <w:r>
              <w:rPr>
                <w:b w:val="false"/>
                <w:bCs w:val="false"/>
                <w:sz w:val="20"/>
                <w:szCs w:val="20"/>
              </w:rPr>
              <w:t xml:space="preserve">Pricing amounts (pricing.ts)</w:t>
            </w:r>
          </w:p>
        </w:tc>
        <w:tc>
          <w:tcPr>
            <w:tcW w:type="dxa" w:w="3000"/>
            <w:tcMar>
              <w:top w:type="dxa" w:w="80"/>
              <w:left w:type="dxa" w:w="100"/>
              <w:bottom w:type="dxa" w:w="80"/>
              <w:right w:type="dxa" w:w="100"/>
            </w:tcMar>
          </w:tcPr>
          <w:p>
            <w:r>
              <w:rPr>
                <w:b w:val="false"/>
                <w:bCs w:val="false"/>
                <w:sz w:val="20"/>
                <w:szCs w:val="20"/>
              </w:rPr>
              <w:t xml:space="preserve">baseline values</w:t>
            </w:r>
          </w:p>
        </w:tc>
        <w:tc>
          <w:tcPr>
            <w:tcW w:type="dxa" w:w="3200"/>
            <w:tcMar>
              <w:top w:type="dxa" w:w="80"/>
              <w:left w:type="dxa" w:w="100"/>
              <w:bottom w:type="dxa" w:w="80"/>
              <w:right w:type="dxa" w:w="100"/>
            </w:tcMar>
          </w:tcPr>
          <w:p>
            <w:r>
              <w:rPr>
                <w:b w:val="false"/>
                <w:bCs w:val="false"/>
                <w:sz w:val="20"/>
                <w:szCs w:val="20"/>
              </w:rPr>
              <w:t xml:space="preserve">identical — only display formatting changed</w:t>
            </w:r>
          </w:p>
        </w:tc>
      </w:tr>
      <w:tr>
        <w:tc>
          <w:tcPr>
            <w:tcW w:type="dxa" w:w="3400"/>
            <w:tcMar>
              <w:top w:type="dxa" w:w="80"/>
              <w:left w:type="dxa" w:w="100"/>
              <w:bottom w:type="dxa" w:w="80"/>
              <w:right w:type="dxa" w:w="100"/>
            </w:tcMar>
          </w:tcPr>
          <w:p>
            <w:r>
              <w:rPr>
                <w:b w:val="false"/>
                <w:bCs w:val="false"/>
                <w:sz w:val="20"/>
                <w:szCs w:val="20"/>
              </w:rPr>
              <w:t xml:space="preserve">Structured-data typed nodes</w:t>
            </w:r>
          </w:p>
        </w:tc>
        <w:tc>
          <w:tcPr>
            <w:tcW w:type="dxa" w:w="3000"/>
            <w:tcMar>
              <w:top w:type="dxa" w:w="80"/>
              <w:left w:type="dxa" w:w="100"/>
              <w:bottom w:type="dxa" w:w="80"/>
              <w:right w:type="dxa" w:w="100"/>
            </w:tcMar>
          </w:tcPr>
          <w:p>
            <w:r>
              <w:rPr>
                <w:b w:val="false"/>
                <w:bCs w:val="false"/>
                <w:sz w:val="20"/>
                <w:szCs w:val="20"/>
              </w:rPr>
              <w:t xml:space="preserve">not separately counted at baseline</w:t>
            </w:r>
          </w:p>
        </w:tc>
        <w:tc>
          <w:tcPr>
            <w:tcW w:type="dxa" w:w="3200"/>
            <w:tcMar>
              <w:top w:type="dxa" w:w="80"/>
              <w:left w:type="dxa" w:w="100"/>
              <w:bottom w:type="dxa" w:w="80"/>
              <w:right w:type="dxa" w:w="100"/>
            </w:tcMar>
          </w:tcPr>
          <w:p>
            <w:r>
              <w:rPr>
                <w:b w:val="false"/>
                <w:bCs w:val="false"/>
                <w:sz w:val="20"/>
                <w:szCs w:val="20"/>
              </w:rPr>
              <w:t xml:space="preserve">5,353 across 9 types (see Section 9 build log)</w:t>
            </w:r>
          </w:p>
        </w:tc>
      </w:tr>
    </w:tbl>
    <w:p>
      <w:pPr>
        <w:pStyle w:val="Heading1"/>
        <w:spacing w:after="200" w:before="400"/>
      </w:pPr>
      <w:r>
        <w:t xml:space="preserve">13. Deployment verification</w:t>
      </w:r>
    </w:p>
    <w:p>
      <w:pPr>
        <w:spacing w:after="160"/>
      </w:pPr>
      <w:r>
        <w:t xml:space="preserve">Every merge to main this programme auto-deploys to production via Cloudflare Pages. Rather than assume deployment succeeded, a representative sample of production URLs was fetched live and checked against the specific fix each one is meant to demonstrate, after allowing time for the deploy pipeline to complete:</w:t>
      </w:r>
    </w:p>
    <w:p>
      <w:pPr>
        <w:pStyle w:val="ListParagraph"/>
        <w:numPr>
          <w:ilvl w:val="0"/>
          <w:numId w:val="1"/>
        </w:numPr>
        <w:spacing w:after="80"/>
      </w:pPr>
      <w:r>
        <w:t xml:space="preserve">marlbridge.com/pricing/ — no duplicated currency codes in any fee cell (SAR/PKR values render once, correctly).</w:t>
      </w:r>
    </w:p>
    <w:p>
      <w:pPr>
        <w:pStyle w:val="ListParagraph"/>
        <w:numPr>
          <w:ilvl w:val="0"/>
          <w:numId w:val="1"/>
        </w:numPr>
        <w:spacing w:after="80"/>
      </w:pPr>
      <w:r>
        <w:t xml:space="preserve">marlbridge.com/about/ — the old blanket "written and reviewed by subject specialists" claim is confirmed absent.</w:t>
      </w:r>
    </w:p>
    <w:p>
      <w:pPr>
        <w:pStyle w:val="ListParagraph"/>
        <w:numPr>
          <w:ilvl w:val="0"/>
          <w:numId w:val="1"/>
        </w:numPr>
        <w:spacing w:after="80"/>
      </w:pPr>
      <w:r>
        <w:t xml:space="preserve">marlbridge.com/legal/terms/ — the schools' class-use carve-out is live, dated 26 August 2026.</w:t>
      </w:r>
    </w:p>
    <w:p>
      <w:pPr>
        <w:pStyle w:val="ListParagraph"/>
        <w:numPr>
          <w:ilvl w:val="0"/>
          <w:numId w:val="1"/>
        </w:numPr>
        <w:spacing w:after="80"/>
      </w:pPr>
      <w:r>
        <w:t xml:space="preserve">marlbridge.com/trial/ — the new Free Trial Class page is live with structured qualification/board/subject/availability fields.</w:t>
      </w:r>
    </w:p>
    <w:p>
      <w:pPr>
        <w:pStyle w:val="ListParagraph"/>
        <w:numPr>
          <w:ilvl w:val="0"/>
          <w:numId w:val="1"/>
        </w:numPr>
        <w:spacing w:after="80"/>
      </w:pPr>
      <w:r>
        <w:t xml:space="preserve">marlbridge.com/search/ — serves noindex, follow live, and is confirmed absent from the production sitemap (0 matches for "search" in sitemap-0.xml's 1,130 &lt;loc&gt; entries; /trial/ confirmed present).</w:t>
      </w:r>
    </w:p>
    <w:p>
      <w:pPr>
        <w:pStyle w:val="ListParagraph"/>
        <w:numPr>
          <w:ilvl w:val="0"/>
          <w:numId w:val="1"/>
        </w:numPr>
        <w:spacing w:after="80"/>
      </w:pPr>
      <w:r>
        <w:t xml:space="preserve">marlbridge.com/ and /resources/ — the footer no longer links Past Papers or Exam Preparation; Practice Questions is now linked; data-pagefind-body is present on the resources-index page.</w:t>
      </w:r>
    </w:p>
    <w:p>
      <w:pPr>
        <w:pStyle w:val="ListParagraph"/>
        <w:numPr>
          <w:ilvl w:val="0"/>
          <w:numId w:val="1"/>
        </w:numPr>
        <w:spacing w:after="80"/>
      </w:pPr>
      <w:r>
        <w:t xml:space="preserve">marlbridge.com/llms.txt — no false "past papers" claim present.</w:t>
      </w:r>
    </w:p>
    <w:p>
      <w:pPr>
        <w:pStyle w:val="ListParagraph"/>
        <w:numPr>
          <w:ilvl w:val="0"/>
          <w:numId w:val="1"/>
        </w:numPr>
        <w:spacing w:after="80"/>
      </w:pPr>
      <w:r>
        <w:t xml:space="preserve">marlbridge.com/resources/a-arenes-and-halogenoarenes/ — data-pagefind-filter attributes for Subject, Level, and Resource type are live, and the underline fix for inline links is present.</w:t>
      </w:r>
    </w:p>
    <w:p>
      <w:pPr>
        <w:pStyle w:val="ListParagraph"/>
        <w:numPr>
          <w:ilvl w:val="0"/>
          <w:numId w:val="1"/>
        </w:numPr>
        <w:spacing w:after="80"/>
      </w:pPr>
      <w:r>
        <w:t xml:space="preserve">marlbridge.com/subjects/accounting/ — displays the corrected "IGCSE · A Level" label, not the previous, false "O · A Level".</w:t>
      </w:r>
    </w:p>
    <w:p>
      <w:pPr>
        <w:pStyle w:val="ListParagraph"/>
        <w:numPr>
          <w:ilvl w:val="0"/>
          <w:numId w:val="1"/>
        </w:numPr>
        <w:spacing w:after="80"/>
      </w:pPr>
      <w:r>
        <w:t xml:space="preserve">The site's compiled CSS bundle was fetched directly and its custom-property values checked: --color-gold-600 is #7a5e10 and --color-on-navy-mute is #9fadc2, matching the accessibility fixes exactly; the corrected footer HTML uses the fixed token three times and no longer emits the old hardcoded colour.</w:t>
      </w:r>
    </w:p>
    <w:p>
      <w:pPr>
        <w:pStyle w:val="ListParagraph"/>
        <w:numPr>
          <w:ilvl w:val="0"/>
          <w:numId w:val="1"/>
        </w:numPr>
        <w:spacing w:after="80"/>
      </w:pPr>
      <w:r>
        <w:t xml:space="preserve">robots.txt allows all and correctly points at sitemap-index.xml; HSTS (strict-transport-security: max-age=15552000) is present on both marlbridge.com and www.marlbridge.com.</w:t>
      </w:r>
    </w:p>
    <w:p>
      <w:pPr>
        <w:spacing w:after="160"/>
      </w:pPr>
      <w:r>
        <w:t xml:space="preserve">Every one of these checks passed against the live site at the time of this report, confirming production genuinely reflects the code merged this programme rather than the deploy still being in flight or having silently failed.</w:t>
      </w:r>
    </w:p>
    <w:p>
      <w:pPr>
        <w:pStyle w:val="Heading1"/>
        <w:spacing w:after="200" w:before="400"/>
      </w:pPr>
      <w:r>
        <w:t xml:space="preserve">14. Guardrails held — deliberately not changed</w:t>
      </w:r>
    </w:p>
    <w:p>
      <w:pPr>
        <w:spacing w:after="160"/>
      </w:pPr>
      <w:r>
        <w:t xml:space="preserve">Consistent with this programme's ground rules, several things were deliberately left untouched even where a change might have seemed tempting. No canonical public URL was changed anywhere in this programme. Pricing amounts in src/data/pricing.ts were never touched — only display formatting. The academic matrix's 183 rows and its ACTIVE/NOT_SUPPORTED classification were never altered — only display labels that had drifted out of sync with it were corrected. No content was bulk-added; the demand workstream improved three existing pages rather than creating new ones. No page was noindexed or deleted on traffic grounds alone — the one noindex change (/search/) was made because the page structurally cannot be crawled, not because of low traffic. The sitewide footer copyright notice was left as a standard ownership assertion, since it does not itself conflict with the schools' licensing carve-out. And the resources-index performance issue, though real and measured, was documented as a recommendation rather than risked as a same-session structural fix, because the risk of that specific change exceeded this programme's smallest-safe-change standard without dedicated regression testing available.</w:t>
      </w:r>
    </w:p>
    <w:p>
      <w:pPr>
        <w:pStyle w:val="Heading1"/>
        <w:spacing w:after="200" w:before="400"/>
      </w:pPr>
      <w:r>
        <w:t xml:space="preserve">15. Closing summary and recommendations</w:t>
      </w:r>
    </w:p>
    <w:p>
      <w:pPr>
        <w:spacing w:after="160"/>
      </w:pPr>
      <w:r>
        <w:t xml:space="preserve">The QIGT programme is complete: nine content and technical workstreams landed, validated, merged, and confirmed live in production; a consolidated register of six owner-facing decisions was produced (five still genuinely open, one resolved on re-check); and a full before/after comparison confirms the site's indexable footprint, redirect inventory, academic matrix, and pricing data are unchanged in substance while dozens of real, verified honesty, accessibility, and technical-SEO defects were fixed.</w:t>
      </w:r>
    </w:p>
    <w:p>
      <w:pPr>
        <w:spacing w:after="160"/>
      </w:pPr>
      <w:r>
        <w:t xml:space="preserve">Recommended next steps, in rough priority order: first, the owner's input on the five open items in Section 11, since these are genuine gaps in publicly stated policy that a prospective or enrolled family could otherwise be left to guess at. Second, a structural fix to the /resources/ index page's DOM size (Section 10) — pagination or lazy rendering — as a dedicated follow-up with proper regression testing, since it is the one clearly measured performance problem left in the site. Third, the optional, purely cosmetic Cloudflare redirect from www.marlbridge.com to the bare domain. No other outstanding technical issues were identified in this pass.</w:t>
      </w:r>
    </w:p>
    <w:p>
      <w:pPr>
        <w:spacing w:after="160"/>
      </w:pPr>
      <w:r>
        <w:rPr>
          <w:i/>
          <w:iCs/>
          <w:color w:val="555555"/>
          <w:sz w:val="20"/>
          <w:szCs w:val="20"/>
        </w:rPr>
        <w:t xml:space="preserve">Every fix described in this report is recorded in full technical detail in docs/decision-log.md (entries D-032 through D-041), and the owner-facing decisions are recorded separately in docs/business-decisions-register.md, both committed to the repository alongside the code changes they describe.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200" w:before="400"/>
    </w:pPr>
    <w:rPr>
      <w:b/>
      <w:bCs/>
      <w:color w:val="0B1F3A"/>
      <w:sz w:val="30"/>
      <w:szCs w:val="30"/>
    </w:rPr>
  </w:style>
  <w:style w:type="paragraph" w:styleId="Heading2">
    <w:name w:val="Heading 2"/>
    <w:basedOn w:val="Normal"/>
    <w:next w:val="Normal"/>
    <w:pPr>
      <w:spacing w:after="140" w:before="260"/>
    </w:pPr>
    <w:rPr>
      <w:b/>
      <w:bCs/>
      <w:color w:val="7A5E1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2026-08-26T08:01:11.242Z</dcterms:created>
  <dcterms:modified xsi:type="dcterms:W3CDTF">2026-08-26T08:01:11.242Z</dcterms:modified>
</cp:coreProperties>
</file>

<file path=docProps/custom.xml><?xml version="1.0" encoding="utf-8"?>
<Properties xmlns="http://schemas.openxmlformats.org/officeDocument/2006/custom-properties" xmlns:vt="http://schemas.openxmlformats.org/officeDocument/2006/docPropsVTypes"/>
</file>