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Whole-Portal Business Rule Catalog</w:t>
      </w:r>
    </w:p>
    <w:p>
      <w:pPr>
        <w:spacing w:after="160"/>
        <w:jc w:val="center"/>
      </w:pPr>
      <w:r>
        <w:rPr>
          <w:i/>
          <w:iCs/>
          <w:color w:val="5B6B87"/>
          <w:sz w:val="18"/>
          <w:szCs w:val="18"/>
        </w:rPr>
        <w:t xml:space="preserve">Insurance-AI Platform — every module, as implemented today. Internal — Confidential.</w:t>
      </w:r>
    </w:p>
    <w:p>
      <w:pPr>
        <w:spacing w:after="160" w:line="250"/>
      </w:pPr>
      <w:r>
        <w:rPr>
          <w:color w:val="222222"/>
          <w:sz w:val="18"/>
          <w:szCs w:val="18"/>
        </w:rPr>
        <w:t xml:space="preserve">This is a dense reference catalog, not an analysis document (see the companion Rule Engine R&amp;D Report for narrative findings, duplication analysis, and the proposed architecture). Every row below is a real rule read from the running codebase, with its file:line source. Rows marked ⚠ are gaps or risks worth flagging on their own, not just candidates for centralization.</w:t>
      </w:r>
    </w:p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1. </w:t>
      </w:r>
      <w:r>
        <w:rPr>
          <w:b/>
          <w:bCs/>
          <w:color w:val="1F3864"/>
          <w:sz w:val="19"/>
          <w:szCs w:val="19"/>
        </w:rPr>
        <w:t xml:space="preserve">Lead / Customer Intake &amp; Assignment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Duplicate CNIC blocked per-tenant (409) — only if CNIC is supplied; a null CNIC allows unlimited duplicate leads.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customers.py:109-122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Auto profile_status: all 4 of CNIC+DOB+income+occupation → UNDERWRITING_READY; any 1 of DOB/income/occupation → PROSPECT; else LEAD.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customers.py:124-132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NOT_INTERESTED is sticky/terminal — only an explicit status change in the request can move a lead off it.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customers.py:626-637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Silent defaults on create: is_smoker=false, height=170cm, weight=70kg — rating never sees "unknown" biometrics.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customers.py:144-146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No agent auto-assignment rule exists — assigned_agent_id is only ever set by the request body. A Case with none inherits the customer's agent.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customers.py:150; cases.py:99-103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2. </w:t>
      </w:r>
      <w:r>
        <w:rPr>
          <w:b/>
          <w:bCs/>
          <w:color w:val="1F3864"/>
          <w:sz w:val="19"/>
          <w:szCs w:val="19"/>
        </w:rPr>
        <w:t xml:space="preserve">Proposal &amp; Quotation (Eligibility + Pricing)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Eligibility: entry-age band, term band, age+term ≤ max maturity age, coverage ≤ income×12×max_multiple — reject with itemised errors otherwise.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quote.py:428-449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GROUP_LIFE cannot be priced via /quote (400) — priced only through the group/master-policy path.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quote.py:416-420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Premium = (coverage/1000)×base_rate×age_index×age_factor + smoker/BMI/UW loading + PKR 500 fee + 1% stamp duty.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shared/pricing/calculator.py:117-203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Age factor bands 0.8×(18-25) to 3.5×(66+); BMI factor binary 1.15× outside 18.5-24.9, no gradation.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calculator.py:54-94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Eligibility bands exist in 4 places (DB plan rows, seed table, risk-engine table, auto-quote worker) and disagree — e.g. GROUP_LIFE income multiple is 3× in one, 36× in another.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underwriting_rules.py:143-148 vs seed:361-367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3. </w:t>
      </w:r>
      <w:r>
        <w:rPr>
          <w:b/>
          <w:bCs/>
          <w:color w:val="1F3864"/>
          <w:sz w:val="19"/>
          <w:szCs w:val="19"/>
        </w:rPr>
        <w:t xml:space="preserve">Pre-Underwriting — The 6 Gates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Gate order: E-Application → ACR → Compliance → IPP → Insurance History → Medical; done-criteria = Verified / Submitted / Passed / Realized / Clear / Completed-Waived-NotRequired.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cases.py:566-575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5 independent copies of "is gate done" exist (backend, agent app, portal ×2, copilot) and disagree on Gate 1 (Verified-only vs Verified-or-Submitted).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preUnderwriting.ts:29-44; underwriting/page.tsx:302-311,669-674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Only server-enforced sequencing: a medical-exam invite 409s unless the NML assessment has already run for the case.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medical_exam.py (invite guard)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4. </w:t>
      </w:r>
      <w:r>
        <w:rPr>
          <w:b/>
          <w:bCs/>
          <w:color w:val="1F3864"/>
          <w:sz w:val="19"/>
          <w:szCs w:val="19"/>
        </w:rPr>
        <w:t xml:space="preserve">Compliance / AML / Sanctions / PEP / SECP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3 checks per applicant: AML (additive score), Sanctions (covers PEP, via OpenSanctions ≥0.5 match score, else 5-name hardcoded fallback), SECP (13-digit CNIC format only).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compliance_engine.py:38-40,109-169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AML score: +45 high-risk occupation, +40 coverage/income≥10, +20 ≥6, +25 income unknown, +15 coverage≥PKR 20M. ≥90 Failed, ≥60 Flagged, else Passed.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compliance_engine.py:115-142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REQUIRE_MANUAL_CLEARANCE defaults true — a clean engine Pass still presents as Flagged until an officer sets cleared_by.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compliance_engine.py:198-216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Re-running the screen deletes and recreates all 3 check rows, including previously-cleared ones — a re-screen silently wipes a prior manual clearance.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compliance_engine.py:219-252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5. </w:t>
      </w:r>
      <w:r>
        <w:rPr>
          <w:b/>
          <w:bCs/>
          <w:color w:val="1F3864"/>
          <w:sz w:val="19"/>
          <w:szCs w:val="19"/>
        </w:rPr>
        <w:t xml:space="preserve">Medical / Non-Medical Limit Underwriting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Age-banded NML: PKR 3,000,000 (18-35) down to 250,000 (56-60), 0 from 61 (always medical).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underwriting_limits.py:42-51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Medical triggered if sum-at-risk &gt; NML, OR age ≥ 61, OR any adverse e-application disclosure.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underwriting_limits.py:279-321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12-tier test panel unions by coverage + age thresholds (MER/FBS baseline up to ECHO at PKR 25M); gender/smoker overlays add Cotinine/PSA/PAP.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underwriting_limits.py:209-266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Post-exam lab loadings independently scaled (e.g. HbA1c≥9.0 → +125%), capped 200%/finding, 400% overall; competes with AI loading via max().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medical_findings.py:28-176; policies.py:167-200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Medical validity 180 days; booking invite valid 21 days.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underwriting_limits.py:233-235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6. </w:t>
      </w:r>
      <w:r>
        <w:rPr>
          <w:b/>
          <w:bCs/>
          <w:color w:val="1F3864"/>
          <w:sz w:val="19"/>
          <w:szCs w:val="19"/>
        </w:rPr>
        <w:t xml:space="preserve">Insurance History / Replacement / Over-Insurance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HLV ceiling = annual income × age-banded multiple (25× at 18-30 down to 5× at 61+).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underwriting_limits.py:414-437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10 weighted findings (Prior Decline +60, Over-Insured +55 at ratio&gt;1.5, Non-Disclosure +45 … Prior Lapse +10); ≥85 Failed, ≥40 Flagged, else Clear.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insurance_history.py:227-336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Clear/Fail override restricted to Underwriter/Admin/SuperAdmin — Agents cannot self-clear.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insurance_history.py:46,209-217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Re-screening wipes prior clearance (opposite convention to Compliance's own effective_status rule).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insurance_history.py:189-192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7. </w:t>
      </w:r>
      <w:r>
        <w:rPr>
          <w:b/>
          <w:bCs/>
          <w:color w:val="1F3864"/>
          <w:sz w:val="19"/>
          <w:szCs w:val="19"/>
        </w:rPr>
        <w:t xml:space="preserve">Initial Premium Payment (IPP)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Amount = latest quote's total premium; fallback 1.035% of coverage if no quote exists; else reject.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initial_premium_payment.py:58-75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Already-Realized cannot be re-collected (409); confirm without a prior initiate = 404; non-realized settlement = 402 + status Failed.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initial_premium_payment.py:145-229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4 channels: JazzCash/Easypaisa/Card/BankTransfer — settlement is a mock, synchronous.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payment_gateway.py:27-132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8. </w:t>
      </w:r>
      <w:r>
        <w:rPr>
          <w:b/>
          <w:bCs/>
          <w:color w:val="1F3864"/>
          <w:sz w:val="19"/>
          <w:szCs w:val="19"/>
        </w:rPr>
        <w:t xml:space="preserve">AI Risk Assessment &amp; Decisioning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Medical/financial/fraud scores are Gemini 2.5 Flash outputs (prose-scored, schema-constrained), not an ML model or formula.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risk-engine/workflow.py:57-159,254-318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composite = 0.40×medical + 0.40×financial + 0.20×(fraud×100), clamped 0-100 — the one deterministic formula in the graph.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workflow.py:357-372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Decision bands: &lt;30 &amp; fraud&lt;0.10 → Auto Approve; &gt;75 OR fraud&gt;0.60 → Decline; &lt;50 &amp; fraud&lt;0.10 → Approve w/ Loading; else Human Review.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workflow.py:376-412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Loading bands: composite≥30→+25%, ≥40→+50%, ≥50→+75%, ≥60→+100%.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workflow.py:336-354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AI-decision→policy/case-status mapping exists 3× and disagrees: gateway maps every decision to Under-Review; tenant-service maps Auto-Approve→Approved directly; copilot collapses Approve-w/-Loading into Under-Review.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risk_persistence.py:50-61; decision_status.py:17-28; journey.py:294-318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Fraud graph signals: income &gt;3× area/occupation-cluster average; coverage within PKR 50,000 of an occupation peer's.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workflow.py:189,199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9. </w:t>
      </w:r>
      <w:r>
        <w:rPr>
          <w:b/>
          <w:bCs/>
          <w:color w:val="1F3864"/>
          <w:sz w:val="19"/>
          <w:szCs w:val="19"/>
        </w:rPr>
        <w:t xml:space="preserve">Post-Underwriting — Pre-Issuance (Stage A) Readiness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7-step readiness (terms/requirements/premium/compliance/beneficiaries/documents/reinsurance); revised-terms is the only step that always blocks.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pre_issuance_gate.py:183-281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DEMO_MODE defaults true — downgrades 4 of 5 mandatory gates (requirements, compliance, beneficiaries, reinsurance) to non-blocking warnings; bypasses recorded only as a flag string on the policy.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pre_issuance_gate.py:67-80,286-291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Beneficiaries valid only if shares sum to 100% (±0.01).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pre_issuance_gate.py:257-268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10. </w:t>
      </w:r>
      <w:r>
        <w:rPr>
          <w:b/>
          <w:bCs/>
          <w:color w:val="1F3864"/>
          <w:sz w:val="19"/>
          <w:szCs w:val="19"/>
        </w:rPr>
        <w:t xml:space="preserve">Policy Issuance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Issuable only from Approved/AcceptedWithLoadings/Issued/UnderReview (UnderReview auto-approved as "demo-bypass"); already-issued = 400.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policies.py:731-738,776-782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Effective loading precedence: accepted Loading counter-offer wins outright; else max(medical loading, AI loading); else 0.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policies.py:174-218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Policy number PL-{year}-{seq}, advisory-lock allocated (collision-free). Grace-period end = expiry + 30 days.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policies.py:107-128,786-835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Fully-prepaid IPP binds cover immediately (ACTIVE); else policy sits PENDING_PAYMENT.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policies.py:765-868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Whole issuance is one DB transaction — any failure rolls back entirely (no partial-issued state).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policies.py:872-878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11. </w:t>
      </w:r>
      <w:r>
        <w:rPr>
          <w:b/>
          <w:bCs/>
          <w:color w:val="1F3864"/>
          <w:sz w:val="19"/>
          <w:szCs w:val="19"/>
        </w:rPr>
        <w:t xml:space="preserve">Post-Issuance Servicing (Endorsements)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Exactly 4 endorsement types built: Nominee, Address, SumAssured, Rider — no top-up, surrender, or reinstatement endpoint exists.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endorsement_engine.py:54; post_issuance.py:14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All endorsements require Active/GracePeriod status; effective today only, no back-dating; each mints a new minor PolicyVersion.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post_issuance.py:1397-1399; endorsement_engine.py:32-68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Rider premium = supplied value, else 1.5% of rider sum assured.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post_issuance.py:1601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Free-look: 14 days from delivery (not effective date); full refund, cancels to terminal CANCELLED.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post_issuance.py:98-193; policy_state_machine.py:152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12. </w:t>
      </w:r>
      <w:r>
        <w:rPr>
          <w:b/>
          <w:bCs/>
          <w:color w:val="1F3864"/>
          <w:sz w:val="19"/>
          <w:szCs w:val="19"/>
        </w:rPr>
        <w:t xml:space="preserve">Renewals, Lapse &amp; Reinstatement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The renewal scheduler is fully disabled — not imported or started by the application at all.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main.py:72-73,137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Dormant logic (if enabled): renewal triggers at exactly 90 and 30 days pre-expiry; Active→GracePeriod at expiry; GracePeriod→Lapsed 30 days later.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renewal_scheduler.py:107,139-181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Renewal re-rating: age_index = 1.02^(renewal_year−1), compounding.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calculator.py:126,148,167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No renewal, lapse, or reinstatement endpoint exists in the API at all — routes are present in source but commented out; the state machine permits Lapsed→Active but nothing calls it.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policies.py:1044,1177,1199; policy_state_machine.py:150-151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PendingPayment unpaid &gt; 30 days (env NTU_DAYS) → NotTakenUp (dormant logic only).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renewal_scheduler.py:96,189-201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13. </w:t>
      </w:r>
      <w:r>
        <w:rPr>
          <w:b/>
          <w:bCs/>
          <w:color w:val="1F3864"/>
          <w:sz w:val="19"/>
          <w:szCs w:val="19"/>
        </w:rPr>
        <w:t xml:space="preserve">Claims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No backend claims module exists at all — a Claim DB table is defined but has zero routers, adjudication, fraud, or payout logic.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shared/models/core.py:879-899 (unregistered)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The Claims page is 100% hardcoded frontend mock data with no API call behind it.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frontend/app/claims/page.tsx:3-19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14. </w:t>
      </w:r>
      <w:r>
        <w:rPr>
          <w:b/>
          <w:bCs/>
          <w:color w:val="1F3864"/>
          <w:sz w:val="19"/>
          <w:szCs w:val="19"/>
        </w:rPr>
        <w:t xml:space="preserve">Billing / Ongoing Premium Collection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Installment states: paid/waived/due_soon(≤7d)/upcoming/due_today/grace(≤+30d)/past_grace(lapse-eligible).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billing_gate.py:42-59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2% late surcharge applies only in grace/past_grace, computed on amount_due.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billing_gate.py:62-66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Grace clock anchors on the earliest unpaid installment: grace_until = its due_date + 30 days.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billing_gate.py:133-137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Collection reactivates a grace-period policy once no arrears remain; a waived installment is not arrears and cannot trigger lapse.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post_issuance.py:764-772,986-1003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Reminder schedule T-7 Upcoming / T-0 Due / T+3 Overdue / T+7 Final Notice; agent commission on each collection = 5% flat, attributed to the customer's agent or "unassigned".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insurer_config.py:92-97; post_issuance.py:734-736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15. </w:t>
      </w:r>
      <w:r>
        <w:rPr>
          <w:b/>
          <w:bCs/>
          <w:color w:val="1F3864"/>
          <w:sz w:val="19"/>
          <w:szCs w:val="19"/>
        </w:rPr>
        <w:t xml:space="preserve">Reinsurance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Retention PKR 5,000,000 (age-scaled 0.25×-1.00×), 4 treaty lines, facultative rate 1.85/mille; referral required only if a facultative cession remains after retention+treaty.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underwriting_limits.py:334-402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6-reinsurer panel with individual treaty/facultative capacity and response-day SLA (e.g. Munich Re 20M/250M/5 days); over-capacity placement must be split (400).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reinsurance.py:82-133,383-389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Decisions: Accept / AcceptWithLoading / AcceptWithExclusion / Decline / Postpone; conditional accept without terms = 422.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reinsurance.py:500-507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Blended loading = max(EMR−100,0) × ceded-share of total sum assured — only the ceded portion is loaded, retained share stays standard.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reinsurance_engine.py:250-282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Counter-offer from an applied reinsurer term defaults to 21-day validity.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reinsurance.py:534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16. </w:t>
      </w:r>
      <w:r>
        <w:rPr>
          <w:b/>
          <w:bCs/>
          <w:color w:val="1F3864"/>
          <w:sz w:val="19"/>
          <w:szCs w:val="19"/>
        </w:rPr>
        <w:t xml:space="preserve">Group &amp; Family Underwriting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No minimum group size is actually enforced despite seeded plans declaring one (10/5/2) — the check is a documented gap.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group_underwriting.py:18-22,64-66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Free Cover Limit = PKR 1,000,000 × size factor (1.0×-4.0× by group size) × age factor (1.2×-0.6×) — only members above FCL are individually risk-scored.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group_underwriting.py:128-188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Group sum-assured multiple bounded 12×-36× monthly basic salary.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group_underwriting.py:24,106-113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Family: 2-8 members, relationships restricted to Self/Spouse/Child/Parent, exactly one Self required; floater priced once off the eldest life.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family_underwriting.py:22-177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17. </w:t>
      </w:r>
      <w:r>
        <w:rPr>
          <w:b/>
          <w:bCs/>
          <w:color w:val="1F3864"/>
          <w:sz w:val="19"/>
          <w:szCs w:val="19"/>
        </w:rPr>
        <w:t xml:space="preserve">Commission &amp; Statutory Payout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SECP rate table: Individual first-year 35% (Rule 24), renewal 7.5%/5.0% (yr2/yr3+), Group first-year 15%, Group renewal 3%, Family Takaful 30%.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commissions.ts:56-64 (both apps, identical)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10% withholding tax flat; PAYABLE gated on cash realization (SECP Rule 58 language).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commissions.ts:97,223-229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Both apps' actual ledger builders bypass their own table — hardcode "group→15%, else→35%" regardless of premium type or policy year.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commissions.ts:95; agent-app commissions.ts:59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No backend commission table exists; the only backend figure is an unrelated flat 5% AGENT_COMMISSION_PCT used for billing.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insurer_config.py:89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18. </w:t>
      </w:r>
      <w:r>
        <w:rPr>
          <w:b/>
          <w:bCs/>
          <w:color w:val="1F3864"/>
          <w:sz w:val="19"/>
          <w:szCs w:val="19"/>
        </w:rPr>
        <w:t xml:space="preserve">Role-Based Authorization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5 roles: SuperAdmin, Admin, Underwriter, Agent, Viewer. Admin/SuperAdmin always allowed; Agent gated by a 26-tool (web) / 31-tool (mobile) allowlist; Viewer by a 21-tool safe list; Underwriter denylisted against only 4 tools.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chat-agent/permission.py:175-258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verify_admin — guarding ~50 mutating routes — is fail-open: missing/invalid token, unknown user, or non-admin role all return "allow"; it raises only for cross-tenant Admin access.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tenant-service/routers/users.py:72-99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Tenant PATCH and GET /tenants, and Branch GET, have no auth dependency at all — any caller can rename/deactivate any tenant or enumerate the tenant list.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routers/tenants.py:20,47-70,96; branches.py:52-77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The {Underwriter,Admin,SuperAdmin} role set is independently redeclared under 5 different constant names across 5 files.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medical_exam.py:73; reinsurance.py:73; insurance_history.py:46; cases.py:52; quote.py:63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19. </w:t>
      </w:r>
      <w:r>
        <w:rPr>
          <w:b/>
          <w:bCs/>
          <w:color w:val="1F3864"/>
          <w:sz w:val="19"/>
          <w:szCs w:val="19"/>
        </w:rPr>
        <w:t xml:space="preserve">Document / OCR Requirements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Required-document list keyed by (insurance_type, case_type) — e.g. TERM_LIFE/Underwriting needs CNIC, Medical Report, Salary Slip; a per-tenant plan override takes precedence over the static table.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document_requirements.py:12-32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GROUP_LIFE and FAMILY_FLOATER have no static-table entry — resolve to zero required documents unless a tenant-specific plan row exists.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document_requirements.py (no key)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OCR extraction (Gemini-based) carries no business rules of its own — document type/requirement logic lives entirely in the caller.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services/ocr-engine/main.py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20. </w:t>
      </w:r>
      <w:r>
        <w:rPr>
          <w:b/>
          <w:bCs/>
          <w:color w:val="1F3864"/>
          <w:sz w:val="19"/>
          <w:szCs w:val="19"/>
        </w:rPr>
        <w:t xml:space="preserve">Tenant &amp; Branch Administration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Tenant name and code both globally unique (409 on clash); tenant create/delete require SuperAdmin (fail-closed, unlike verify_admin).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tenants.py:20,26-38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Branch code unique per tenant; branch create/patch/delete require SuperAdmin.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branches.py:31-43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Tenant delete is an irreversible manual 6-phase cascade across ~20 tables — no soft-delete.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tenants.py:106-145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Cross-tenant isolation elsewhere is enforced ad hoc per-endpoint (tenant_id mismatch → 404), not by a global middleware.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policies.py:87-91 (representative)</w:t>
            </w:r>
          </w:p>
        </w:tc>
      </w:tr>
    </w:tbl>
    <w:p>
      <w:pPr>
        <w:keepNext/>
        <w:spacing w:after="40" w:before="140"/>
      </w:pPr>
      <w:r>
        <w:rPr>
          <w:b/>
          <w:bCs/>
          <w:color w:val="1F3864"/>
          <w:sz w:val="19"/>
          <w:szCs w:val="19"/>
        </w:rPr>
        <w:t xml:space="preserve">21. </w:t>
      </w:r>
      <w:r>
        <w:rPr>
          <w:b/>
          <w:bCs/>
          <w:color w:val="1F3864"/>
          <w:sz w:val="19"/>
          <w:szCs w:val="19"/>
        </w:rPr>
        <w:t xml:space="preserve">Scheduled Triggers &amp; SLA</w:t>
      </w:r>
    </w:p>
    <w:tbl>
      <w:tblPr>
        <w:tblW w:type="pct" w:w="100%"/>
        <w:tblBorders>
          <w:top w:val="single" w:color="C7D4E8" w:sz="3"/>
          <w:left w:val="single" w:color="C7D4E8" w:sz="3"/>
          <w:bottom w:val="single" w:color="C7D4E8" w:sz="3"/>
          <w:right w:val="single" w:color="C7D4E8" w:sz="3"/>
          <w:insideH w:val="single" w:color="C7D4E8" w:sz="3"/>
          <w:insideV w:val="single" w:color="C7D4E8" w:sz="3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⚠ The renewal scheduler is the platform's only cron-style job, and it is disabled — every other lifecycle transition (billing sweep, reminders) is on-demand only, not automatic.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main.py:72-73,137; post_issuance.py:1016-1018</w:t>
            </w:r>
          </w:p>
        </w:tc>
      </w:tr>
      <w:tr>
        <w:trPr>
          <w:cantSplit/>
        </w:trPr>
        <w:tc>
          <w:tcPr>
            <w:tcW w:type="pct" w:w="76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SLA targets: Proposed 2 days, Under Review 5 days, Information Requested 7 days — breached at &lt;0 days remaining, approaching-breach at ≤1 day.</w:t>
            </w:r>
          </w:p>
        </w:tc>
        <w:tc>
          <w:tcPr>
            <w:tcW w:type="pct" w:w="24%"/>
            <w:shd w:fill="F3F6FB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quote.py:66-82</w:t>
            </w:r>
          </w:p>
        </w:tc>
      </w:tr>
      <w:tr>
        <w:trPr>
          <w:cantSplit/>
        </w:trPr>
        <w:tc>
          <w:tcPr>
            <w:tcW w:type="pct" w:w="76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color w:val="1A1A1A"/>
                <w:sz w:val="16"/>
                <w:szCs w:val="16"/>
              </w:rPr>
              <w:t xml:space="preserve">Counter-offer validity 21 days; reinsurer response SLA 5-10 days by panel member.</w:t>
            </w:r>
          </w:p>
        </w:tc>
        <w:tc>
          <w:tcPr>
            <w:tcW w:type="pct" w:w="24%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i/>
                <w:iCs/>
                <w:color w:val="5B6B87"/>
                <w:sz w:val="13"/>
                <w:szCs w:val="13"/>
              </w:rPr>
              <w:t xml:space="preserve">pre_issuance.py:69; reinsurance.py:82-101</w:t>
            </w:r>
          </w:p>
        </w:tc>
      </w:tr>
    </w:tbl>
    <w:sectPr>
      <w:pgSz w:w="11906" w:h="16838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Whole-Portal Business Rule Catalog</dc:title>
  <dc:creator>Insurance-AI Platform — Internal R&amp;D</dc:creator>
  <dc:description>Dense, citation-backed catalog of every business rule across the full platform.</dc:description>
  <cp:lastModifiedBy>Un-named</cp:lastModifiedBy>
  <cp:revision>1</cp:revision>
  <dcterms:created xsi:type="dcterms:W3CDTF">2026-08-12T20:35:57.138Z</dcterms:created>
  <dcterms:modified xsi:type="dcterms:W3CDTF">2026-08-12T20:35:57.139Z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