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1F3864"/>
          <w:sz w:val="56"/>
          <w:szCs w:val="56"/>
        </w:rPr>
        <w:t xml:space="preserve">Claims Management Module</w:t>
      </w:r>
    </w:p>
    <w:p>
      <w:pPr>
        <w:spacing w:after="400"/>
        <w:jc w:val="center"/>
      </w:pPr>
      <w:r>
        <w:rPr>
          <w:color w:val="2E74B5"/>
          <w:sz w:val="30"/>
          <w:szCs w:val="30"/>
        </w:rPr>
        <w:t xml:space="preserve">Functional, Workflow &amp; Architecture Specification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Insurance Portal — insurance-ai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Version 1.0  ·  Draft for Engineering &amp; Product Review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Prepared 2026-08-20</w:t>
      </w:r>
    </w:p>
    <w:p>
      <w:pPr>
        <w:spacing w:after="60"/>
        <w:jc w:val="center"/>
      </w:pPr>
      <w:r>
        <w:rPr>
          <w:color w:val="888888"/>
          <w:sz w:val="18"/>
          <w:szCs w:val="18"/>
        </w:rPr>
        <w:t xml:space="preserve">This document grounds the module in the current insurance-ai codebase (backend routers, data model,</w:t>
      </w:r>
    </w:p>
    <w:p>
      <w:pPr>
        <w:spacing w:after="60"/>
        <w:jc w:val="center"/>
      </w:pPr>
      <w:r>
        <w:rPr>
          <w:color w:val="888888"/>
          <w:sz w:val="18"/>
          <w:szCs w:val="18"/>
        </w:rPr>
        <w:t xml:space="preserve">frontend conventions) and cross-references every external claim against primary industry sources.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Purpose, Scope, and How This Document Was Built</w:t>
      </w:r>
    </w:p>
    <w:p>
      <w:pPr>
        <w:spacing w:after="160" w:line="276"/>
      </w:pPr>
      <w:r>
        <w:t xml:space="preserve">This document specifies the Claims Management module for the insurance-ai portal. It replaces the current static mock at </w:t>
      </w:r>
    </w:p>
    <w:p>
      <w:pPr>
        <w:spacing w:after="160" w:line="276"/>
      </w:pPr>
      <w:r>
        <w:t xml:space="preserve">This document specifies the Claims Management module for the insurance-ai portal. It replaces the current static mock at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frontend/app/claims/page.tsx</w:t>
      </w:r>
      <w:r>
        <w:t xml:space="preserve"> with a real, working feature: an internal claims workbench for claims handlers/adjusters, backed by a new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routers/claims.py</w:t>
      </w:r>
      <w:r>
        <w:t xml:space="preserve"> service, wired through the API gateway, and integrated with the rule engine, document/OCR pipeline, and email notifications that already exist in this codebase.</w:t>
      </w:r>
    </w:p>
    <w:p>
      <w:pPr>
        <w:spacing w:after="160" w:line="276"/>
      </w:pPr>
      <w:r>
        <w:rPr>
          <w:b/>
          <w:bCs/>
        </w:rPr>
        <w:t xml:space="preserve">This is not a generic claims spec.</w:t>
      </w:r>
      <w:r>
        <w:t xml:space="preserve"> An earlier draft (produced by Perplexity) was written against a generic P&amp;C/auto-insurance mental model — repair networks, vehicle damage photos, policyholder self-service login. This system is a </w:t>
      </w:r>
      <w:r>
        <w:rPr>
          <w:b/>
          <w:bCs/>
        </w:rPr>
        <w:t xml:space="preserve">life &amp; health insurer</w:t>
      </w:r>
      <w:r>
        <w:t xml:space="preserve"> (claim types already modeled: Hospitalization, Surgery, Death Claim, Reimbursement; PKR currency; agent-led distribution; reinsurance treaties; PEP/sanctions screening at underwriting). Every recommendation below has been re-derived against that actual context, not copy-pasted from the P&amp;C framing.</w:t>
      </w:r>
    </w:p>
    <w:p>
      <w:pPr>
        <w:pStyle w:val="Heading2"/>
        <w:spacing w:after="140" w:before="260"/>
      </w:pPr>
      <w:r>
        <w:t xml:space="preserve">1.1 Methodology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Codebase grounding: </w:t>
      </w:r>
      <w:r>
        <w:t xml:space="preserve">a full read of the backend (7 microservices), the shared SQLModel schema, the frontend App Router structure, the sidebar navigation, the API client pattern, and the four most-recently-built full-stack modules (Pre-Underwriting, Rule Engine, Reinsurance Referral, Commission/Treasury) used as structural precedent.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External verification: </w:t>
      </w:r>
      <w:r>
        <w:t xml:space="preserve">every claims-lifecycle, UX, and compliance assertion below was checked against primary or reputable secondary sources (Guidewire, Duck Creek, NAIC model law text, W3C WCAG spec, OpsDog KPI benchmarks) — see §12 References. Where the earlier Perplexity draft stated something imprecisely or without a real regulatory basis, it is called out explicitly in §2.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Audience: </w:t>
      </w:r>
      <w:r>
        <w:t xml:space="preserve">this document is written to be directly actionable by the engineers who will build it — every backend/frontend recommendation cites the exact file, pattern, or existing model field it builds on.</w:t>
      </w:r>
    </w:p>
    <w:p>
      <w:pPr>
        <w:pStyle w:val="Heading1"/>
        <w:spacing w:after="180" w:before="360"/>
      </w:pPr>
      <w:r>
        <w:t xml:space="preserve">2. Verification of the Prior (Perplexity) Draft</w:t>
      </w:r>
    </w:p>
    <w:p>
      <w:pPr>
        <w:spacing w:after="160" w:line="276"/>
      </w:pPr>
      <w:r>
        <w:t xml:space="preserve">The six-stage claims lifecycle, the general FNOL→triage→investigation→decision→settlement→subrogation shape, and most UI/UX recommendations in the earlier draft check out and are retained below. The items in this table needed correction, sourcing, or reframing for this specific product.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Perplexity claim</w:t>
            </w:r>
          </w:p>
        </w:tc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result</w:t>
            </w:r>
          </w:p>
        </w:tc>
        <w:tc>
          <w:tcPr>
            <w:tcW w:type="pct" w:w="56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Correction / source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“Instant acknowledgement with a claim number within 60 seconds” — implied as an industry/regulatory norm.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Partly correct, mis-scoped.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is a good product UX target (a system-generated claim number on submit is trivial to do and is best practice), but it is not a regulatory requirement. The actual NAIC Unfair Claims Settlement Practices Model Act (#900) and Model #902 require insurers to acknowledge a claim within 10–15 business days depending on state, and to accept/deny within 21 days of proof of loss. Keep the instant claim-number UX goal, but do not label it a compliance requirement in the spec — label it a product SLA.</w:t>
            </w:r>
          </w:p>
        </w:tc>
      </w:tr>
      <w:tr>
        <w:tc>
          <w:tcPr>
            <w:tcW w:type="pct" w:w="2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“Touch targets at least 44×44px” as a stated accessibility requirement.</w:t>
            </w:r>
          </w:p>
        </w:tc>
        <w:tc>
          <w:tcPr>
            <w:tcW w:type="pct" w:w="2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Overstated as a hard requirement.</w:t>
            </w:r>
          </w:p>
        </w:tc>
        <w:tc>
          <w:tcPr>
            <w:tcW w:type="pct" w:w="5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WCAG 2.2 Success Criterion 2.5.8 (Level AA, the bar this system should target) requires only 24×24 CSS px minimum. 44×44 is the Level AAA figure (SC 2.5.5) and Apple/Google HIG guidance. Recommendation: meet 24×24 as the accessibility floor everywhere, and use 44×44 only for primary mobile actions (submit, upload) as a UX best practice — not framed as a compliance gate.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“Document upload supporting PDF, JPG, PNG, HEIC, TIFF…” listed as a flat requirement.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list, missing an operational caveat.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HEIC (the default iPhone capture format) is very commonly rejected by claims portals in practice, and adjuster tooling / OCR pipelines are usually JPEG/PDF-only. Recommendation: accept HEIC at the upload boundary but auto-convert server-side to JPEG before OCR/storage, don’t require the claimant to convert it themselves. Also note this system’s existing artifacts pipeline (§6.4) currently supports pdf, png, jpg/jpeg, tiff, bmp — HEIC support would need to be added.</w:t>
            </w:r>
          </w:p>
        </w:tc>
      </w:tr>
      <w:tr>
        <w:tc>
          <w:tcPr>
            <w:tcW w:type="pct" w:w="2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“policyholder self-service portal” (dashboard, login, claim list, messaging) presented as the primary deliverable.</w:t>
            </w:r>
          </w:p>
        </w:tc>
        <w:tc>
          <w:tcPr>
            <w:tcW w:type="pct" w:w="2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Doesn’t match this system’s actual architecture.</w:t>
            </w:r>
          </w:p>
        </w:tc>
        <w:tc>
          <w:tcPr>
            <w:tcW w:type="pct" w:w="5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portal has no customer-login self-service surface today. Every existing customer-facing touchpoint (see e_application.py) uses a tokenized, single-use secure link sent to the customer — no persistent customer account. Recommendation: Phase 1 is an internal claims workbench (staff-filed and staff-managed, mirroring how underwriting cases work today); a tokenized customer-facing FNOL/document-upload link is a natural Phase 2 using the exact e-application invite pattern already built — not a full portal rebuild.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“Integrate with platforms such as Guidewire or Duck Creek for live status data.”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applicable to this codebase.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system is not built on Guidewire/Duck Creek — it is a bespoke FastAPI/Next.js platform. Guidewire/Duck Creek are cited correctly as industry references for lifecycle terminology (§3), not as integration targets.</w:t>
            </w:r>
          </w:p>
        </w:tc>
      </w:tr>
      <w:tr>
        <w:tc>
          <w:tcPr>
            <w:tcW w:type="pct" w:w="2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Six-stage lifecycle presented as the only framing.</w:t>
            </w:r>
          </w:p>
        </w:tc>
        <w:tc>
          <w:tcPr>
            <w:tcW w:type="pct" w:w="2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Correct but incomplete — worth citing the 2026 reframing too.</w:t>
            </w:r>
          </w:p>
        </w:tc>
        <w:tc>
          <w:tcPr>
            <w:tcW w:type="pct" w:w="5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Guidewire, Duck Creek, and VCA Software all independently describe the same six stages (FNOL → triage/assignment → investigation → evaluation/decision → settlement/payment → subrogation/closure). A 2026 industry framing collapses these into five overlapping operating layers (structured intake, decision-grade triage, investigation &amp; evidence assembly, decisioning &amp; reserves, settlement-subrogation-closure). Both are valid; §3 uses the six-stage version because it maps more directly to concrete UI states, and notes the five-layer framing as the systems-thinking lens for automation investment.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numeric KPI targets (e.g. cycle-time bands, STP rates, reserve-adequacy percentages) implied as industry-standard benchmarks.</w:t>
            </w:r>
          </w:p>
        </w:tc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Treat as directional only, not verified fact.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These figures come from vendor/marketing blog content, not an audited industry survey. §10 instead cites named benchmark providers (OpsDog) and NAIC-derived industry averages (e.g. ~55% average P&amp;C loss ratio) where a real named source exists, and flags anything else as “to be baselined from this insurer’s own historical claims data” rather than assumed.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20"/>
          <w:szCs w:val="20"/>
        </w:rPr>
        <w:t xml:space="preserve">Full source list with URLs is in §12 (References).</w:t>
      </w:r>
    </w:p>
    <w:p>
      <w:pPr>
        <w:pStyle w:val="Heading1"/>
        <w:spacing w:after="180" w:before="360"/>
      </w:pPr>
      <w:r>
        <w:t xml:space="preserve">3. Claims Lifecycle (Adapted for Life &amp; Health)</w:t>
      </w:r>
    </w:p>
    <w:p>
      <w:pPr>
        <w:spacing w:after="160" w:line="276"/>
      </w:pPr>
      <w:r>
        <w:t xml:space="preserve">The industry-standard six-stage lifecycle, re-expressed for this insurer's actual claim types (Hospitalization, Surgery, Death Claim, Reimbursement) and its agent-mediated distribution model: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pct" w:w="5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 (this insurer's context)</w:t>
            </w:r>
          </w:p>
        </w:tc>
        <w:tc>
          <w:tcPr>
            <w:tcW w:type="pct" w:w="3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touchpoint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FNOL / Intake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is opened — today by an agent or claims handler on behalf of the claimant/beneficiary; policy and coverage auto-pulled from the linked Policy record (mirrors how e-application pre-fills from policy data).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Claim wizard (§6.1); system-generated claim number on save.</w:t>
            </w:r>
          </w:p>
        </w:tc>
      </w:tr>
      <w:tr>
        <w:tc>
          <w:tcPr>
            <w:tcW w:type="pct" w:w="1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Triage &amp; Assignment</w:t>
            </w:r>
          </w:p>
        </w:tc>
        <w:tc>
          <w:tcPr>
            <w:tcW w:type="pct" w:w="5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is segmented by type/severity/amount and routed: e.g. small reimbursement claims can auto-route to straight-through processing; Death Claims and high-value claims route to a senior adjuster + require secondary approval.</w:t>
            </w:r>
          </w:p>
        </w:tc>
        <w:tc>
          <w:tcPr>
            <w:tcW w:type="pct" w:w="3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assignedAdjusterId, priority, and a rule-engine – driven triage rule set (§6.3).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Investigation &amp; Assessment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Documents collected (medical records, hospital bills, death certificate, police/FIR report for accidental death, etc.); fraud_probability and duplicate_flag are computed (fields already exist on the Claim model, currently unpopulated); for Death Claims, insurance-history and prior ACR/medical-exam data from underwriting can be cross-checked.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checklist per claim type; OCR via existing artifacts pipeline; fraud score surfaced on the claim detail page.</w:t>
            </w:r>
          </w:p>
        </w:tc>
      </w:tr>
      <w:tr>
        <w:tc>
          <w:tcPr>
            <w:tcW w:type="pct" w:w="1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Evaluation &amp; Decision</w:t>
            </w:r>
          </w:p>
        </w:tc>
        <w:tc>
          <w:tcPr>
            <w:tcW w:type="pct" w:w="5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Claimed amount is checked against policy coverage/sum-assured and exclusions; approved_amount is set; for claims above a threshold, a second-approver sign-off is required (mirrors reinsurance referral's decision pattern).</w:t>
            </w:r>
          </w:p>
        </w:tc>
        <w:tc>
          <w:tcPr>
            <w:tcW w:type="pct" w:w="3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Adjudication panel; optional rule-engine auto-recommendation (AUTO_APPROVE / REFER / DECLINE).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Settlement &amp; Payment</w:t>
            </w:r>
          </w:p>
        </w:tc>
        <w:tc>
          <w:tcPr>
            <w:tcW w:type="pct" w:w="5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Approved amount is disbursed to claimant/beneficiary; for large claims, a reinsurance recovery may be triggered against the ceding treaty on the policy.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Payout record + status; PDF settlement/discharge letter (reuse document_generator.py pattern).</w:t>
            </w:r>
          </w:p>
        </w:tc>
      </w:tr>
      <w:tr>
        <w:tc>
          <w:tcPr>
            <w:tcW w:type="pct" w:w="1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Recovery &amp; Closure</w:t>
            </w:r>
          </w:p>
        </w:tc>
        <w:tc>
          <w:tcPr>
            <w:tcW w:type="pct" w:w="5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subrogation/reinsurance recovery is tracked; claim is formally closed with a full audit trail.</w:t>
            </w:r>
          </w:p>
        </w:tc>
        <w:tc>
          <w:tcPr>
            <w:tcW w:type="pct" w:w="32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closed status; CaseWorkflow-style audit log.</w:t>
            </w:r>
          </w:p>
        </w:tc>
      </w:tr>
    </w:tbl>
    <w:p>
      <w:pPr>
        <w:pStyle w:val="Heading3"/>
        <w:spacing w:after="100" w:before="200"/>
      </w:pPr>
      <w:r>
        <w:t xml:space="preserve">A note on the “five-layer” framing</w:t>
      </w:r>
    </w:p>
    <w:p>
      <w:pPr>
        <w:spacing w:after="160" w:line="276"/>
      </w:pPr>
      <w:r>
        <w:t xml:space="preserve">A newer industry framing (see §12, decerto.com) describes claims operations as five continuously-running layers rather than six sequential steps: structured intake, decision-grade triage, investigation &amp; evidence assembly, decisioning &amp; reserves, and settlement-subrogation-closure. The distinction matters for where to invest in automation: it argues for building triage and decisioning as always-on rule/ML services (which this codebase already has the scaffolding for — the rule engine, §6.3) rather than as a single linear wizard. Phase 2+ of this module should keep that in mind, but Phase 1's UI is deliberately built around the simpler six-stage model because it maps directly to concrete, buildable screens.</w:t>
      </w:r>
    </w:p>
    <w:p>
      <w:pPr>
        <w:pStyle w:val="Heading1"/>
        <w:spacing w:after="180" w:before="360"/>
      </w:pPr>
      <w:r>
        <w:t xml:space="preserve">4. Current State in This Codebase</w:t>
      </w:r>
    </w:p>
    <w:p>
      <w:pPr>
        <w:spacing w:after="160" w:line="276"/>
      </w:pPr>
      <w:r>
        <w:t xml:space="preserve">What already exists today, verified by direct inspection — this is the actual starting point, not a green field: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Frontend: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frontend/app/claims/page.tsx</w:t>
      </w:r>
      <w:r>
        <w:t xml:space="preserve"> exists but is 100% hardcoded mock data (KPI tiles, score cards, a claims register table) with no API calls and no service file. It's a usable visual shell to build on top of, not a working feature.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Sidebar: </w:t>
      </w:r>
      <w:r>
        <w:t xml:space="preserve">a Claims navigation group already exists in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frontend/components/Sidebar.tsx</w:t>
      </w:r>
      <w:r>
        <w:t xml:space="preserve"> but is commented out (dead code, ~line 516–574). Re-enabling it with real sub-links is part of this build.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model: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shared/models/core.py</w:t>
      </w:r>
      <w:r>
        <w:t xml:space="preserve"> already has a minimal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</w:t>
      </w:r>
      <w:r>
        <w:t xml:space="preserve"> table (line 879):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id, tenant_id, policy_id, claim_type, submitted_amount, approved_amount, status (raw str), fraud_probability, duplicate_flag, ai_recommendation, created_at</w:t>
      </w:r>
      <w:r>
        <w:t xml:space="preserve">. No claim number, no adjuster/assignment fields, no FNOL metadata, no status enum, no case linkage, no settlement/payout sub-records.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Document attachment: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Artifact.claim_id</w:t>
      </w:r>
      <w:r>
        <w:t xml:space="preserve"> foreign key already exists in the schema — document-to-claim linkage is already modeled at the DB layer; only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routers/artifacts.py</w:t>
      </w:r>
      <w:r>
        <w:t xml:space="preserve"> needs to accept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claim_id</w:t>
      </w:r>
      <w:r>
        <w:t xml:space="preserve"> alongside its existing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case_id</w:t>
      </w:r>
      <w:r>
        <w:t xml:space="preserve"> parameter.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Case type: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CaseTypeEnum.CLAIM</w:t>
      </w:r>
      <w:r>
        <w:t xml:space="preserve"> already exists in the generic Case model (used for underwriting workflow today) — worth deciding explicitly whether Claims uses the generic Case/CaseWorkflow machinery for status tracking and assignment, or a parallel Claim-specific workflow (recommendation in §6.2).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Backend router: </w:t>
      </w:r>
      <w:r>
        <w:t xml:space="preserve">no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routers/claims.py</w:t>
      </w:r>
      <w:r>
        <w:t xml:space="preserve"> exists in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services/tenant-service/</w:t>
      </w:r>
      <w:r>
        <w:t xml:space="preserve"> — needs to be built from scratch.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Gateway: </w:t>
      </w:r>
      <w:r>
        <w:t xml:space="preserve">no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/claims</w:t>
      </w:r>
      <w:r>
        <w:t xml:space="preserve"> or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/tenants/{tenant_id}/claims</w:t>
      </w:r>
      <w:r>
        <w:t xml:space="preserve"> route or wildcard proxy exists in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services/api-gateway/main.py</w:t>
      </w:r>
      <w:r>
        <w:t xml:space="preserve">. This is the documented recurring trap in this codebase (see project memory: “new tenant-service endpoints need a matching hand-written proxy in api-gateway/main.py or they 404”) — called out explicitly in §6.1 so it isn't missed again.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Roles: </w:t>
      </w:r>
      <w:r>
        <w:t xml:space="preserve">no “Adjuster” / “Claims Handler” role exists in the seeded RBAC roles (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SuperAdmin, Admin, Underwriter, Agent, Viewer</w:t>
      </w:r>
      <w:r>
        <w:t xml:space="preserve">).</w:t>
      </w:r>
    </w:p>
    <w:p>
      <w:pPr>
        <w:pStyle w:val="Heading1"/>
        <w:spacing w:after="180" w:before="360"/>
      </w:pPr>
      <w:r>
        <w:t xml:space="preserve">5. Product Context (Why the Design Choices Below)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Life &amp; health insurer, agent-distributed, single-currency (PKR) — reflected in the existing mock's claim types (Hospitalization, Surgery, Death Claim, Reimbursement) and coverage-limit-vs-claimed-amount framing.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consumer self-service login exists anywhere in the portal today — every customer touchpoint is agent-mediated or via a tokenized single-use link. Claims should follow the same shape unless product explicitly decides to build customer accounts (open question, §11).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Reinsurance treaties are already modeled (ReinsuranceReferral) — large claims that exceed retention should be able to trigger a recovery referral using that exact pattern, not a new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general-purpose rule engine already exists and is used for commission calculation — it is the natural home for claims auto-adjudication rules (e.g. auto-approve reimbursement claims under a threshold with low fraud score) rather than hardcoding thresholds.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Underwriting already captures ACR, medical exam, and insurance-history data per customer — Death Claims and Hospitalization claims should be able to cross-reference that data during investigation (e.g. non-disclosure checks), which is a differentiator specific to this system, not present in the generic Perplexity draft.</w:t>
      </w:r>
    </w:p>
    <w:p>
      <w:pPr>
        <w:pStyle w:val="Heading1"/>
        <w:spacing w:after="180" w:before="360"/>
      </w:pPr>
      <w:r>
        <w:t xml:space="preserve">6. Target Architecture</w:t>
      </w:r>
    </w:p>
    <w:p>
      <w:pPr>
        <w:pStyle w:val="Heading2"/>
        <w:spacing w:after="140" w:before="260"/>
      </w:pPr>
      <w:r>
        <w:t xml:space="preserve">6.1 Backend — services/tenant-service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New router: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services/tenant-service/routers/claims.py</w:t>
      </w:r>
      <w:r>
        <w:t xml:space="preserve">, following the conventions of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e_application.py</w:t>
      </w:r>
      <w:r>
        <w:t xml:space="preserve"> (tokenized customer step) and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reinsurance.py</w:t>
      </w:r>
      <w:r>
        <w:t xml:space="preserve"> (submit → review → decision → apply). Tenant-path-scoped (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/tenants/{tenant_id}/claims</w:t>
      </w:r>
      <w:r>
        <w:t xml:space="preserve">), gated with a new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require_roles("ClaimsAdjuster","ClaimsManager","Admin")</w:t>
      </w:r>
      <w:r>
        <w:t xml:space="preserve"> dependency, response models colocated in the router file per repo convention.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Register it: </w:t>
      </w:r>
      <w:r>
        <w:t xml:space="preserve">add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from routers.claims import router as claims_router</w:t>
      </w:r>
      <w:r>
        <w:t xml:space="preserve"> +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app.include_router(claims_router)</w:t>
      </w:r>
      <w:r>
        <w:t xml:space="preserve"> in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services/tenant-service/main.py</w:t>
      </w:r>
      <w:r>
        <w:t xml:space="preserve"> (alongside the other 25 routers).</w:t>
      </w:r>
    </w:p>
    <w:p>
      <w:pPr>
        <w:pBdr>
          <w:left w:val="single" w:color="E8A33D" w:sz="24" w:space="8"/>
        </w:pBdr>
        <w:shd w:fill="FFF4E5" w:val="clear"/>
        <w:spacing w:after="200" w:before="120"/>
        <w:ind w:left="200"/>
      </w:pPr>
      <w:r>
        <w:rPr>
          <w:b/>
          <w:bCs/>
          <w:color w:val="8A5A00"/>
        </w:rPr>
        <w:t xml:space="preserve">Do not skip:  </w:t>
      </w:r>
      <w:r>
        <w:rPr>
          <w:color w:val="594100"/>
        </w:rPr>
        <w:t xml:space="preserve">add both an explicit documented proxy (e.g. POST /tenants/{tenant_id}/claims, GET .../claims/{claim_id}) and a wildcard fallback proxy (@app.api_route("/tenants/{tenant_id}/claims{path:path}", ..., include_in_schema=False)) in services/api-gateway/main.py, mirroring the existing proxy_tenant_policies pattern. Without this, every claims call from the frontend 404s even though the tenant-service endpoint works correctly — this is the exact trap already hit once on this project (per api-gateway explicit proxy routes memory) and it will recur here if forgotten.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Auth/RBAC: </w:t>
      </w:r>
      <w:r>
        <w:t xml:space="preserve">add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"ClaimsAdjuster"</w:t>
      </w:r>
      <w:r>
        <w:t xml:space="preserve"> (and optionally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"ClaimsManager"</w:t>
      </w:r>
      <w:r>
        <w:t xml:space="preserve"> for approval-threshold gating) to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_SEED_ROLES</w:t>
      </w:r>
      <w:r>
        <w:t xml:space="preserve"> in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tenant-service/main.py</w:t>
      </w:r>
      <w:r>
        <w:t xml:space="preserve">, and to the relevant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require_roles(...)</w:t>
      </w:r>
      <w:r>
        <w:t xml:space="preserve"> calls and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Sidebar.tsx</w:t>
      </w:r>
      <w:r>
        <w:t xml:space="preserve"> role gates.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Claim numbering: </w:t>
      </w:r>
      <w:r>
        <w:t xml:space="preserve">follow the repo's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UniqueConstraint("tenant_id", "claim_number", ...)</w:t>
      </w:r>
      <w:r>
        <w:t xml:space="preserve"> convention (tenant-scoped uniqueness, not global), matching how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Customer.cnic</w:t>
      </w:r>
      <w:r>
        <w:t xml:space="preserve"> and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Branch.branch_code</w:t>
      </w:r>
      <w:r>
        <w:t xml:space="preserve"> are handled.</w:t>
      </w:r>
    </w:p>
    <w:p>
      <w:pPr>
        <w:pStyle w:val="Heading2"/>
        <w:spacing w:after="140" w:before="260"/>
      </w:pPr>
      <w:r>
        <w:t xml:space="preserve">6.2 Status tracking: extend Case, or build a parallel Claim workflow?</w:t>
      </w:r>
    </w:p>
    <w:p>
      <w:pPr>
        <w:spacing w:after="160" w:line="276"/>
      </w:pPr>
      <w:r>
        <w:t xml:space="preserve">Two viable options exist, given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CaseTypeEnum.CLAIM</w:t>
      </w:r>
      <w:r>
        <w:t xml:space="preserve"> already exists: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Reuse Case/CaseWorkflow/CaseAssignment </w:t>
      </w:r>
      <w:r>
        <w:t xml:space="preserve">for claims (create a Case with caseType=CLAIM, link it 1:1 to the Claim row). Pros: get status history, assignment, SLA-deadline, and escalation-level machinery for free, identical to how underwriting cases already work. Cons: Case's generic status enum (New/InProgress/PendingDocuments/UnderReview/Approved/Rejected/Closed) doesn't capture claims-specific states like “Awaiting Reinsurance Decision” or “Pending Disbursement” without extension.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Build a claims-specific status enum and a lightweight ClaimStatusHistory table </w:t>
      </w:r>
      <w:r>
        <w:t xml:space="preserve">(mirroring the audit-log pattern of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RuleEvaluationLog</w:t>
      </w:r>
      <w:r>
        <w:t xml:space="preserve">), independent of Case. Pros: precise states for this domain. Cons: duplicates assignment/SLA plumbing Case already has.</w:t>
      </w:r>
    </w:p>
    <w:p>
      <w:pPr>
        <w:spacing w:after="160" w:line="276"/>
      </w:pPr>
      <w:r>
        <w:rPr>
          <w:b/>
          <w:bCs/>
        </w:rPr>
        <w:t xml:space="preserve">Recommendation: </w:t>
      </w:r>
      <w:r>
        <w:t xml:space="preserve">Option 1 (reuse Case) for assignment/SLA/escalation, combined with a claims-specific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ClaimStatusEnum</w:t>
      </w:r>
      <w:r>
        <w:t xml:space="preserve"> stored directly on the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</w:t>
      </w:r>
      <w:r>
        <w:t xml:space="preserve"> row (replacing today's raw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status: str</w:t>
      </w:r>
      <w:r>
        <w:t xml:space="preserve">) for the domain-specific state machine. This gets the proven case-management plumbing without forcing claims-specific states into the generic Case enum. Confirm with engineering before building — flagged as an open question in §11.</w:t>
      </w:r>
    </w:p>
    <w:p>
      <w:pPr>
        <w:pStyle w:val="Heading2"/>
        <w:spacing w:after="140" w:before="260"/>
      </w:pPr>
      <w:r>
        <w:t xml:space="preserve">6.3 Data model changes — shared/models/core.py</w:t>
      </w:r>
    </w:p>
    <w:p>
      <w:pPr>
        <w:spacing w:after="160" w:line="276"/>
      </w:pPr>
      <w:r>
        <w:t xml:space="preserve">Extend the existing Claim table (via a new entry appended to migrate.py's MIGRATIONS list — never edit existing entries, per repo convention) and add satellite tables following the Case*/Policy* pattern already used throughout: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24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New / extended</w:t>
            </w:r>
          </w:p>
        </w:tc>
        <w:tc>
          <w:tcPr>
            <w:tcW w:type="pct" w:w="56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 to add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Extend existing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claim_number (unique per tenant), case_id (FK to cases), status: ClaimStatusEnum (replaces raw str), incident_date, reported_date, assigned_adjuster_id (FK users), reinsurance_referral_id (nullable FK), settlement_amount, settled_at, closed_at</w:t>
            </w:r>
          </w:p>
        </w:tc>
      </w:tr>
      <w:tr>
        <w:tc>
          <w:tcPr>
            <w:tcW w:type="pct" w:w="20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ClaimDocument</w:t>
            </w:r>
          </w:p>
        </w:tc>
        <w:tc>
          <w:tcPr>
            <w:tcW w:type="pct" w:w="24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(or reuse Artifact.claim_id)</w:t>
            </w:r>
          </w:p>
        </w:tc>
        <w:tc>
          <w:tcPr>
            <w:tcW w:type="pct" w:w="5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 extending routers/artifacts.py to accept claim_id — the FK already exists on Artifact; avoid a duplicate table.</w:t>
            </w:r>
          </w:p>
        </w:tc>
      </w:tr>
      <w:t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ClaimStatusHistory</w:t>
            </w:r>
          </w:p>
        </w:tc>
        <w:tc>
          <w:tcPr>
            <w:tcW w:type="pct" w:w="24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pct" w:w="56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claim_id, from_status, to_status, actor_id, notes, created_at — audit trail, mirrors RuleEvaluationLog's append-only pattern.</w:t>
            </w:r>
          </w:p>
        </w:tc>
      </w:tr>
      <w:tr>
        <w:tc>
          <w:tcPr>
            <w:tcW w:type="pct" w:w="20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ClaimPayout</w:t>
            </w:r>
          </w:p>
        </w:tc>
        <w:tc>
          <w:tcPr>
            <w:tcW w:type="pct" w:w="24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pct" w:w="56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claim_id, amount, method, status, initiated_at, completed_at, reference_number — kept separate from Claim so partial/multiple payouts are representable.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20"/>
          <w:szCs w:val="20"/>
        </w:rPr>
        <w:t xml:space="preserve">SQLModel.metadata.create_all handles brand-new tables automatically on tenant-service startup; only column additions to the existing claims table need a new migrate.py MIGRATIONS entry.</w:t>
      </w:r>
    </w:p>
    <w:p>
      <w:pPr>
        <w:pStyle w:val="Heading2"/>
        <w:spacing w:after="140" w:before="260"/>
      </w:pPr>
      <w:r>
        <w:t xml:space="preserve">6.4 Documents &amp; OCR</w:t>
      </w:r>
    </w:p>
    <w:p>
      <w:pPr>
        <w:spacing w:after="160" w:line="276"/>
      </w:pPr>
      <w:r>
        <w:t xml:space="preserve">Reuse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routers/artifacts.py</w:t>
      </w:r>
      <w:r>
        <w:t xml:space="preserve"> as-is: it already does S3-primary-with-local-fallback storage, a presigned-URL download flow, and a Kafka-driven OCR pipeline (publishes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insurance.artifact.ocr.requested.v1</w:t>
      </w:r>
      <w:r>
        <w:t xml:space="preserve">, consumed by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services/ocr-engine</w:t>
      </w:r>
      <w:r>
        <w:t xml:space="preserve">). Required changes: (1) accept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claim_id</w:t>
      </w:r>
      <w:r>
        <w:t xml:space="preserve"> as an alternative to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case_id</w:t>
      </w:r>
      <w:r>
        <w:t xml:space="preserve"> in the upload endpoint signature; (2) extend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SUPPORTED_MIME</w:t>
      </w:r>
      <w:r>
        <w:t xml:space="preserve"> to add HEIC (auto-converted server-side to JPEG before storage/OCR — see §2 correction); (3) mirror the S3 key convention as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{tenant_id}/claims/{claim_id}/{artifact_id}/{file_name}</w:t>
      </w:r>
      <w:r>
        <w:t xml:space="preserve">.</w:t>
      </w:r>
    </w:p>
    <w:p>
      <w:pPr>
        <w:pStyle w:val="Heading2"/>
        <w:spacing w:after="140" w:before="260"/>
      </w:pPr>
      <w:r>
        <w:t xml:space="preserve">6.5 Auto-adjudication via the rule engine</w:t>
      </w:r>
    </w:p>
    <w:p>
      <w:pPr>
        <w:spacing w:after="160" w:line="276"/>
      </w:pPr>
      <w:r>
        <w:t xml:space="preserve">Reuse the existing rule engine (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routers/rules.py</w:t>
      </w:r>
      <w:r>
        <w:t xml:space="preserve"> +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rule_evaluator.py</w:t>
      </w:r>
      <w:r>
        <w:t xml:space="preserve">) rather than hardcoding thresholds. Add a new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Category</w:t>
      </w:r>
      <w:r>
        <w:t xml:space="preserve"> (e.g.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code="CLAIMS_ADJUDICATION"</w:t>
      </w:r>
      <w:r>
        <w:t xml:space="preserve">) with rule sets whose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ActualRule.impact_data.impact_type</w:t>
      </w:r>
      <w:r>
        <w:t xml:space="preserve"> values map onto claims outcomes — the existing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ImpactTypeEnum</w:t>
      </w:r>
      <w:r>
        <w:t xml:space="preserve"> already includes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AUTO_APPROVE</w:t>
      </w:r>
      <w:r>
        <w:t xml:space="preserve"> and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REFER_TO_UNDERWRITER</w:t>
      </w:r>
      <w:r>
        <w:t xml:space="preserve">-shaped values that generalize directly to “auto-approve” / “refer to adjuster” for claims. This is the same engine already powering commission calculation, so claims rules get the existing admin UI (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app/admin/rule-engine/*</w:t>
      </w:r>
      <w:r>
        <w:t xml:space="preserve">) — catalog, simulator, version history, audit log — for free.</w:t>
      </w:r>
    </w:p>
    <w:p>
      <w:pPr>
        <w:pStyle w:val="Heading2"/>
        <w:spacing w:after="140" w:before="260"/>
      </w:pPr>
      <w:r>
        <w:t xml:space="preserve">6.6 Notifications</w:t>
      </w:r>
    </w:p>
    <w:p>
      <w:pPr>
        <w:spacing w:after="160" w:line="276"/>
      </w:pPr>
      <w:r>
        <w:t xml:space="preserve">No dedicated notification service exists in this codebase yet (verified: no Notification table anywhere). For claim status-change emails (received, adjuster assigned, decision made, payout issued), reuse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services/tenant-service/email_utils.py</w:t>
      </w:r>
      <w:r>
        <w:t xml:space="preserve"> (SES-backed, best-effort, never raises) the same way it's used today for credential emails, adding claims-specific templates to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services/email_templates.py</w:t>
      </w:r>
      <w:r>
        <w:t xml:space="preserve">. There is no SMS integration anywhere in the codebase — SMS notifications are out of scope for Phase 1 unless a provider (e.g. Twilio) is explicitly chosen (open question, §11). In-portal notifications can reuse the existing client-side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NotificationContext.tsx</w:t>
      </w:r>
      <w:r>
        <w:t xml:space="preserve"> toast pattern, polling the claim detail endpoint for status diffs (there is no websocket/push infrastructure in this codebase today).</w:t>
      </w:r>
    </w:p>
    <w:p>
      <w:pPr>
        <w:pStyle w:val="Heading2"/>
        <w:spacing w:after="140" w:before="260"/>
      </w:pPr>
      <w:r>
        <w:t xml:space="preserve">6.7 Reinsurance recovery for large claims</w:t>
      </w:r>
    </w:p>
    <w:p>
      <w:pPr>
        <w:spacing w:after="160" w:line="276"/>
      </w:pPr>
      <w:r>
        <w:t xml:space="preserve">For claims that exceed the policy's retention (per its reinsurance treaty), reuse the exact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ReinsuranceReferral</w:t>
      </w:r>
      <w:r>
        <w:t xml:space="preserve"> submit → external-decision → apply-terms pattern from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routers/reinsurance.py</w:t>
      </w:r>
      <w:r>
        <w:t xml:space="preserve"> rather than inventing a parallel recovery workflow — link it via the new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Claim.reinsurance_referral_id</w:t>
      </w:r>
      <w:r>
        <w:t xml:space="preserve"> field (§6.3).</w:t>
      </w:r>
    </w:p>
    <w:p>
      <w:pPr>
        <w:pStyle w:val="Heading1"/>
        <w:spacing w:after="180" w:before="360"/>
      </w:pPr>
      <w:r>
        <w:t xml:space="preserve">7. Frontend Page Structure</w:t>
      </w:r>
    </w:p>
    <w:p>
      <w:pPr>
        <w:spacing w:after="160" w:line="276"/>
      </w:pPr>
      <w:r>
        <w:t xml:space="preserve">Phase 1 is an internal claims workbench for claims handlers/adjusters/managers, following this codebase's established conventions (Tailwind-only, no component library, hand-rolled SVG icons, plain useState/useEffect + a per-domain services/*.ts file — no React Query).</w:t>
      </w:r>
    </w:p>
    <w:p>
      <w:pPr>
        <w:pStyle w:val="Heading3"/>
        <w:spacing w:after="100" w:before="200"/>
      </w:pPr>
      <w:r>
        <w:t xml:space="preserve">7.1 Claims Register (replaces the current mock)</w:t>
      </w:r>
    </w:p>
    <w:p>
      <w:pPr>
        <w:spacing w:after="160" w:line="276"/>
      </w:pPr>
      <w:r>
        <w:t xml:space="preserve">Rebuild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app/claims/page.tsx</w:t>
      </w:r>
      <w:r>
        <w:t xml:space="preserve"> on real data via a new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app/services/claims.ts</w:t>
      </w:r>
      <w:r>
        <w:t xml:space="preserve"> (typed interfaces + thin async wrappers, exact shape of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eApplication.ts</w:t>
      </w:r>
      <w:r>
        <w:t xml:space="preserve">). Keep the existing visual shell — KPI grid via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MetricCard</w:t>
      </w:r>
      <w:r>
        <w:t xml:space="preserve">, score cards, and the register table with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STATUS_STYLE</w:t>
      </w:r>
      <w:r>
        <w:t xml:space="preserve"> badges and the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FraudBar</w:t>
      </w:r>
      <w:r>
        <w:t xml:space="preserve"> mini-indicator — it's a good layout, it just needs real data and filters (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FiltersPanel</w:t>
      </w:r>
      <w:r>
        <w:t xml:space="preserve">/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SegmentDropdown</w:t>
      </w:r>
      <w:r>
        <w:t xml:space="preserve">) wired in.</w:t>
      </w:r>
    </w:p>
    <w:p>
      <w:pPr>
        <w:pStyle w:val="Heading3"/>
        <w:spacing w:after="100" w:before="200"/>
      </w:pPr>
      <w:r>
        <w:t xml:space="preserve">7.2 Claim Detail (new: app/claims/[id]/page.tsx)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Header: claim number, claimant, policy link, claim type, status badge.</w:t>
      </w:r>
    </w:p>
    <w:p>
      <w:pPr>
        <w:spacing w:after="160" w:line="276"/>
      </w:pPr>
      <w:r>
        <w:t xml:space="preserve">Status tracker: reuse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components/policy/LifecycleStepper.tsx</w:t>
      </w:r>
      <w:r>
        <w:t xml:space="preserve">'s pattern — a pure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stageStates(status)</w:t>
      </w:r>
      <w:r>
        <w:t xml:space="preserve"> function mapping a status enum to done/current/upcoming, plus a terminal-state banner for Rejected/Fraud-Flagged/Closed, exactly like it's used for policy lifecycle today.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Coverage/limit panel: claimed amount vs. policy coverage limit vs. approved amount (already present in the mock's table columns — promote to the detail header).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panel: reuse the inline drag/drop + FormData upload pattern from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app/case/[id]/page.tsx</w:t>
      </w:r>
      <w:r>
        <w:t xml:space="preserve"> (there's no reusable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&lt;FileUpload&gt;</w:t>
      </w:r>
      <w:r>
        <w:t xml:space="preserve"> component yet in this repo — worth finally extracting one here since Claims is the second consumer).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Fraud/severity score panel: reuse RiskScoreBar for the fraud_probability field, consistent with how risk scores are shown elsewhere.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Activity/audit log: chronological feed from ClaimStatusHistory.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Adjudication actions: approve/partial-approve/decline/refer-to-manager buttons, gated by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ClaimsAdjuster</w:t>
      </w:r>
      <w:r>
        <w:t xml:space="preserve">/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ClaimsManager</w:t>
      </w:r>
      <w:r>
        <w:t xml:space="preserve"> role, following the modal pattern (e.g.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ACRModal.tsx</w:t>
      </w:r>
      <w:r>
        <w:t xml:space="preserve">) for structured decision entry rather than a separate route.</w:t>
      </w:r>
    </w:p>
    <w:p>
      <w:pPr>
        <w:pStyle w:val="Heading3"/>
        <w:spacing w:after="100" w:before="200"/>
      </w:pPr>
      <w:r>
        <w:t xml:space="preserve">7.3 Navigation</w:t>
      </w:r>
    </w:p>
    <w:p>
      <w:pPr>
        <w:spacing w:after="160" w:line="276"/>
      </w:pPr>
      <w:r>
        <w:t xml:space="preserve">Re-enable the commented-out Claims group in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Sidebar.tsx</w:t>
      </w:r>
      <w:r>
        <w:t xml:space="preserve"> with real sub-links (Claims Register, Fraud Review, and — if built — the Claims Adjudication Rules admin screen under the existing rule-engine admin UI), following the exact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subLinks</w:t>
      </w:r>
      <w:r>
        <w:t xml:space="preserve"> shape already used by the Commission Ops group.</w:t>
      </w:r>
    </w:p>
    <w:p>
      <w:pPr>
        <w:pStyle w:val="Heading3"/>
        <w:spacing w:after="100" w:before="200"/>
      </w:pPr>
      <w:r>
        <w:t xml:space="preserve">7.4 Phase 2 (optional): tokenized customer-facing FNOL</w:t>
      </w:r>
    </w:p>
    <w:p>
      <w:pPr>
        <w:spacing w:after="160" w:line="276"/>
      </w:pPr>
      <w:r>
        <w:t xml:space="preserve">If product decides customers should be able to report a claim directly (open question, §11), build it as a tokenized single-use link exactly like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e_application.py</w:t>
      </w:r>
      <w:r>
        <w:t xml:space="preserve">'s invite → public unauthenticated fill → staff verify flow — not a login-based customer portal, since no such account system exists anywhere else in this product today.</w:t>
      </w:r>
    </w:p>
    <w:p>
      <w:pPr>
        <w:pStyle w:val="Heading1"/>
        <w:spacing w:after="180" w:before="360"/>
      </w:pPr>
      <w:r>
        <w:t xml:space="preserve">8. Roles and Permissions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(existing role)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 a claim on behalf of a customer (FNOL); upload supporting documents; view status of claims they filed.</w:t>
            </w:r>
          </w:p>
        </w:tc>
      </w:tr>
      <w:tr>
        <w:tc>
          <w:tcPr>
            <w:tcW w:type="pct" w:w="30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ClaimsAdjuster (new)</w:t>
            </w:r>
          </w:p>
        </w:tc>
        <w:tc>
          <w:tcPr>
            <w:tcW w:type="pct" w:w="70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claims workbench access: triage, request documents, run/override rule-engine recommendation, approve/decline claims up to their authority threshold, initiate payout.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ClaimsManager (new, optional)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ClaimsAdjuster can do, plus approve claims above the adjuster's threshold, reassign claims, view the Fraud Review and audit dashboards.</w:t>
            </w:r>
          </w:p>
        </w:tc>
      </w:tr>
      <w:tr>
        <w:tc>
          <w:tcPr>
            <w:tcW w:type="pct" w:w="30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Underwriter (existing role)</w:t>
            </w:r>
          </w:p>
        </w:tc>
        <w:tc>
          <w:tcPr>
            <w:tcW w:type="pct" w:w="70%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access to a claim's linked policy underwriting history (ACR, medical exam, insurance history) when investigating non-disclosure on a Death/Hospitalization claim.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(existing role)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claims adjudication rule sets (via the existing rule-engine admin UI), manage claim status enums/thresholds.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20"/>
          <w:szCs w:val="20"/>
        </w:rPr>
        <w:t xml:space="preserve">Whether a new ClaimsManager role is worth the extra RBAC surface, versus just using a payout-amount threshold check against the existing Admin role, is an open question for product (§11).</w:t>
      </w:r>
    </w:p>
    <w:p>
      <w:pPr>
        <w:pStyle w:val="Heading1"/>
        <w:spacing w:after="180" w:before="360"/>
      </w:pPr>
      <w:r>
        <w:t xml:space="preserve">9. Functional Requirements (Phase 1)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System-generated claim number issued immediately on claim creation (product SLA, not a regulatory requirement — see §2 correction).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Claim status uses plain-language labels in the UI (not raw enum values), matching the existing pattern in the policy LifecycleStepper.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 upload supports PDF, JPG, PNG, TIFF, BMP (current artifacts.py support) plus HEIC with server-side auto-conversion to JPEG (new).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Coverage limit and claimed/approved amounts are always shown together on the claim detail view (already proven useful in the existing mock's table).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Every claim has an assigned adjuster with a visible name — no unowned claims in an active status.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Full status-change audit trail (ClaimStatusHistory), append-only.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Claims register supports search/filter by status, claim type, policy, claimant, date range, and assigned adjuster.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Rule-engine – driven auto-recommendation surfaced on the adjudication panel, with the adjuster always able to override (mirrors how AI recommendations work elsewhere in this system — advisory, not autonomous, for anything above a small-claim auto-approve threshold).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Claims above the reinsurance retention threshold can be linked to a ReinsuranceReferral for recovery tracking.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Email notification on key status changes (received, decision made, payout issued) via the existing SES-backed email_utils.py — best-effort, does not block the underlying action if email fails.</w:t>
      </w:r>
    </w:p>
    <w:p>
      <w:pPr>
        <w:pStyle w:val="Heading1"/>
        <w:spacing w:after="180" w:before="360"/>
      </w:pPr>
      <w:r>
        <w:t xml:space="preserve">10. Non-Functional &amp; Compliance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Accessibility: </w:t>
      </w:r>
      <w:r>
        <w:t xml:space="preserve">WCAG 2.2 Level AA as the floor, including SC 2.5.8 Target Size (Minimum) — 24×24 CSS px minimum for interactive targets, not 44×44 (corrected from the Perplexity draft, see §2).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Regulatory timing: </w:t>
      </w:r>
      <w:r>
        <w:t xml:space="preserve">if this insurer is expected to align with NAIC-style claims-handling timelines (jurisdiction to be confirmed — this codebase's PKR currency suggests Pakistan, where the relevant regulator is the SECP Insurance Division, not NAIC; NAIC is cited here only as the internationally-referenced model for the shape of acknowledgement/decision SLAs, not as this insurer's actual regulator). This needs product/compliance confirmation before hard SLA numbers are engineered in — flagged in §11.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Security: </w:t>
      </w:r>
      <w:r>
        <w:t xml:space="preserve">tenant-scoped RBAC via the existing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require_roles(...)</w:t>
      </w:r>
      <w:r>
        <w:t xml:space="preserve"> dependency; every new endpoint must manually verify </w:t>
      </w:r>
      <w:r>
        <w:rPr>
          <w:rFonts w:ascii="Consolas" w:cs="Consolas" w:eastAsia="Consolas" w:hAnsi="Consolas"/>
          <w:color w:val="AA1155"/>
          <w:sz w:val="20"/>
          <w:szCs w:val="20"/>
        </w:rPr>
        <w:t xml:space="preserve">resource.tenant_id == tenant_id</w:t>
      </w:r>
      <w:r>
        <w:t xml:space="preserve"> (no auto-injecting middleware exists in this codebase — this is a load-bearing, error-prone convention every router repeats, and claims.py must follow it precisely).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Audit trail: </w:t>
      </w:r>
      <w:r>
        <w:t xml:space="preserve">ClaimStatusHistory (append-only) plus reuse of RuleEvaluationLog for any auto-adjudication decision, consistent with how rule evaluations are already audited for commission and underwriting.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Reliability: </w:t>
      </w:r>
      <w:r>
        <w:t xml:space="preserve">document upload and OCR already tolerate S3 outages via local-filesystem fallback; email notifications are already best-effort/non-blocking — claims workflows should not introduce a new hard dependency on either.</w:t>
      </w:r>
    </w:p>
    <w:p>
      <w:pPr>
        <w:pStyle w:val="Heading1"/>
        <w:spacing w:after="180" w:before="360"/>
      </w:pPr>
      <w:r>
        <w:t xml:space="preserve">11. Open Questions for Product/Stakeholder Decision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Customer self-service scope: </w:t>
      </w:r>
      <w:r>
        <w:t xml:space="preserve">is a tokenized customer-facing FNOL link (Phase 2, §7.4) in scope for this release, or is Claims staff-only (agent/adjuster-filed) for the foreseeable future?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Status model: </w:t>
      </w:r>
      <w:r>
        <w:t xml:space="preserve">reuse the generic Case/CaseWorkflow machinery for assignment/SLA (§6.2 Option 1) or build claims-specific workflow tables? This affects several weeks of build sequencing.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Regulatory jurisdiction: </w:t>
      </w:r>
      <w:r>
        <w:t xml:space="preserve">confirm the actual regulator and claims-handling timelines that apply (this codebase suggests Pakistan/SECP given PKR currency — NAIC figures in this document are for cross-reference only, not a stated compliance target).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ClaimsManager role: </w:t>
      </w:r>
      <w:r>
        <w:t xml:space="preserve">worth a distinct RBAC role, or is a payout-amount threshold check against the existing Admin role sufficient?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SMS notifications: </w:t>
      </w:r>
      <w:r>
        <w:t xml:space="preserve">no SMS provider is integrated anywhere in this codebase today — is SMS in scope for Phase 1, and if so which provider (e.g. Twilio)?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Reinsurance auto-trigger: </w:t>
      </w:r>
      <w:r>
        <w:t xml:space="preserve">should claims exceeding the treaty retention threshold auto-create a ReinsuranceReferral, or remain a manual adjuster action?</w:t>
      </w:r>
    </w:p>
    <w:p>
      <w:pPr>
        <w:pStyle w:val="Heading1"/>
        <w:spacing w:after="180" w:before="360"/>
      </w:pPr>
      <w:r>
        <w:t xml:space="preserve">12. References</w:t>
      </w:r>
    </w:p>
    <w:p>
      <w:pPr>
        <w:spacing w:after="160" w:line="276"/>
      </w:pPr>
      <w:r>
        <w:t xml:space="preserve">Sources checked to verify the lifecycle model, UX guidance, accessibility figures, and compliance claims in this document.</w:t>
      </w:r>
    </w:p>
    <w:p>
      <w:pPr>
        <w:pStyle w:val="ListParagraph"/>
        <w:numPr>
          <w:ilvl w:val="0"/>
          <w:numId w:val="4"/>
        </w:numPr>
        <w:spacing w:after="100"/>
      </w:pPr>
      <w:hyperlink w:history="1" r:id="rIdw7w-hracnqrkpr35a6r2f">
        <w:r>
          <w:rPr>
            <w:rStyle w:val="Hyperlink"/>
          </w:rPr>
          <w:t xml:space="preserve">Guidewire ClaimCenter — claims management software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entuodhq99yvjg5hv4yyf">
        <w:r>
          <w:rPr>
            <w:rStyle w:val="Hyperlink"/>
          </w:rPr>
          <w:t xml:space="preserve">Duck Creek Claims — product page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nx1vdyhwsrdyj8aioxhtr">
        <w:r>
          <w:rPr>
            <w:rStyle w:val="Hyperlink"/>
          </w:rPr>
          <w:t xml:space="preserve">VCA Software — Insurance Claim Process: 8 Steps from FNOL to Settlement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7e1mzab9bm2hcdidho0ie">
        <w:r>
          <w:rPr>
            <w:rStyle w:val="Hyperlink"/>
          </w:rPr>
          <w:t xml:space="preserve">Decerto — Claims Lifecycle Management: A 2026 Operating Model Playbook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oe7p1eswej1dujfnr6uzv">
        <w:r>
          <w:rPr>
            <w:rStyle w:val="Hyperlink"/>
          </w:rPr>
          <w:t xml:space="preserve">NAIC Model Law #900 — Unfair Claims Settlement Practices Act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raqn1ssh8kr8kggnexxkh">
        <w:r>
          <w:rPr>
            <w:rStyle w:val="Hyperlink"/>
          </w:rPr>
          <w:t xml:space="preserve">NAIC Model Law #902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9tmqyriiuomifxnbxdjg2">
        <w:r>
          <w:rPr>
            <w:rStyle w:val="Hyperlink"/>
          </w:rPr>
          <w:t xml:space="preserve">LegalClarity — Unfair Insurance Trade Practices Act: Rules and Penalties (acknowledgement-timeline summary)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igrkc5vibyjdrb3wimauk">
        <w:r>
          <w:rPr>
            <w:rStyle w:val="Hyperlink"/>
          </w:rPr>
          <w:t xml:space="preserve">W3C WCAG 2.2 — Success Criterion 2.5.8 Target Size (Minimum)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tk7tob1c3v5rqjllrxusi">
        <w:r>
          <w:rPr>
            <w:rStyle w:val="Hyperlink"/>
          </w:rPr>
          <w:t xml:space="preserve">TheWCAG — 2.5.8 Target Size (Minimum) implementation guide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eawemnf2vi_lpaqhpotu2">
        <w:r>
          <w:rPr>
            <w:rStyle w:val="Hyperlink"/>
          </w:rPr>
          <w:t xml:space="preserve">GetFileHop — Insurance Portal Rejecting Your Photos? (HEIC rejection behavior)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zboggm5bbpe1ejbihgomb">
        <w:r>
          <w:rPr>
            <w:rStyle w:val="Hyperlink"/>
          </w:rPr>
          <w:t xml:space="preserve">Xemplar Engage — Designing Insurance Portals That Actually Reduce Claim Status Calls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oglpcsweriqxssnkjpsw9">
        <w:r>
          <w:rPr>
            <w:rStyle w:val="Hyperlink"/>
          </w:rPr>
          <w:t xml:space="preserve">OpsDog — Claim Settlement Cycle Time (Life) KPI benchmark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k7uwfvh3xqosd_u4xud5z">
        <w:r>
          <w:rPr>
            <w:rStyle w:val="Hyperlink"/>
          </w:rPr>
          <w:t xml:space="preserve">OpsDog — Loss Ratio (P&amp;C) definition &amp; benchmark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3laasao82ydvjks-pliif">
        <w:r>
          <w:rPr>
            <w:rStyle w:val="Hyperlink"/>
          </w:rPr>
          <w:t xml:space="preserve">OpsDog — Combined Ratio definition &amp; benchmark</w:t>
        </w:r>
      </w:hyperlink>
    </w:p>
    <w:p>
      <w:pPr>
        <w:pStyle w:val="ListParagraph"/>
        <w:numPr>
          <w:ilvl w:val="0"/>
          <w:numId w:val="4"/>
        </w:numPr>
        <w:spacing w:after="100"/>
      </w:pPr>
      <w:hyperlink w:history="1" r:id="rId9ae6t2hqziz34ky_ljdfb">
        <w:r>
          <w:rPr>
            <w:rStyle w:val="Hyperlink"/>
          </w:rPr>
          <w:t xml:space="preserve">VCA Software — Claims Handling Best Practices: A Comprehensive Guide for 2026 (claims leakage figures)</w:t>
        </w:r>
      </w:hyperlink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Claims Management Module Spec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8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7w-hracnqrkpr35a6r2f" Type="http://schemas.openxmlformats.org/officeDocument/2006/relationships/hyperlink" Target="https://www.guidewire.com/products/core-products/insurancesuite/claimcenter-claims-management-software" TargetMode="External"/><Relationship Id="rIdentuodhq99yvjg5hv4yyf" Type="http://schemas.openxmlformats.org/officeDocument/2006/relationships/hyperlink" Target="https://www.duckcreek.com/product/claims-management-software/" TargetMode="External"/><Relationship Id="rIdnx1vdyhwsrdyj8aioxhtr" Type="http://schemas.openxmlformats.org/officeDocument/2006/relationships/hyperlink" Target="https://vcasoftware.com/life-cycle-of-an-insurance-claim/" TargetMode="External"/><Relationship Id="rId7e1mzab9bm2hcdidho0ie" Type="http://schemas.openxmlformats.org/officeDocument/2006/relationships/hyperlink" Target="https://www.decerto.com/us/post/claims-lifecycle-management-best-practices-for-insurers" TargetMode="External"/><Relationship Id="rIdoe7p1eswej1dujfnr6uzv" Type="http://schemas.openxmlformats.org/officeDocument/2006/relationships/hyperlink" Target="https://content.naic.org/sites/default/files/model-law-900.pdf" TargetMode="External"/><Relationship Id="rIdraqn1ssh8kr8kggnexxkh" Type="http://schemas.openxmlformats.org/officeDocument/2006/relationships/hyperlink" Target="https://content.naic.org/sites/default/files/model-law-902.pdf" TargetMode="External"/><Relationship Id="rId9tmqyriiuomifxnbxdjg2" Type="http://schemas.openxmlformats.org/officeDocument/2006/relationships/hyperlink" Target="https://legalclarity.org/unfair-insurance-trade-practices-act-rules-and-penalties/" TargetMode="External"/><Relationship Id="rIdigrkc5vibyjdrb3wimauk" Type="http://schemas.openxmlformats.org/officeDocument/2006/relationships/hyperlink" Target="https://github.com/w3c/wcag/issues/1894" TargetMode="External"/><Relationship Id="rIdtk7tob1c3v5rqjllrxusi" Type="http://schemas.openxmlformats.org/officeDocument/2006/relationships/hyperlink" Target="https://www.thewcag.com/criteria/2.5.8" TargetMode="External"/><Relationship Id="rIdeawemnf2vi_lpaqhpotu2" Type="http://schemas.openxmlformats.org/officeDocument/2006/relationships/hyperlink" Target="https://www.getfilehop.com/en/solutions/property-damage-photos-for-insurance/" TargetMode="External"/><Relationship Id="rIdzboggm5bbpe1ejbihgomb" Type="http://schemas.openxmlformats.org/officeDocument/2006/relationships/hyperlink" Target="https://www.xemplarengage.com/resources/insurance-portals-reduce-claim-status-calls/" TargetMode="External"/><Relationship Id="rIdoglpcsweriqxssnkjpsw9" Type="http://schemas.openxmlformats.org/officeDocument/2006/relationships/hyperlink" Target="https://opsdog.com/products/claim-settlement-cycle-time-life" TargetMode="External"/><Relationship Id="rIdk7uwfvh3xqosd_u4xud5z" Type="http://schemas.openxmlformats.org/officeDocument/2006/relationships/hyperlink" Target="https://opsdog.com/products/loss-ratio" TargetMode="External"/><Relationship Id="rId3laasao82ydvjks-pliif" Type="http://schemas.openxmlformats.org/officeDocument/2006/relationships/hyperlink" Target="https://opsdog.com/products/combined-ratio" TargetMode="External"/><Relationship Id="rId9ae6t2hqziz34ky_ljdfb" Type="http://schemas.openxmlformats.org/officeDocument/2006/relationships/hyperlink" Target="https://vcasoftware.com/claims-handling-best-practices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2026-08-20T20:43:12.454Z</dcterms:created>
  <dcterms:modified xsi:type="dcterms:W3CDTF">2026-08-20T20:43:12.455Z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