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395"/>
          <w:spacing w:val="16"/>
          <w:sz w:val="18"/>
          <w:szCs w:val="18"/>
        </w:rPr>
        <w:t xml:space="preserve">RESEARCH &amp; DESIGN REPORT</w:t>
      </w:r>
    </w:p>
    <w:p>
      <w:pPr>
        <w:spacing w:after="20"/>
        <w:jc w:val="center"/>
      </w:pPr>
      <w:r>
        <w:rPr>
          <w:b/>
          <w:bCs/>
          <w:color w:val="1F3864"/>
          <w:sz w:val="32"/>
          <w:szCs w:val="32"/>
        </w:rPr>
        <w:t xml:space="preserve">A Centralized Business Rule Engine for the Insurance-AI Platform</w:t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Current-State Rule Inventory · Regulatory &amp; Market Benchmark · Proposed Architecture &amp; Migration Plan</w:t>
      </w:r>
    </w:p>
    <w:p>
      <w:pPr>
        <w:pBdr>
          <w:bottom w:val="single" w:color="B7C6DE" w:sz="4" w:space="6"/>
        </w:pBdr>
        <w:spacing w:after="200"/>
        <w:jc w:val="center"/>
      </w:pPr>
      <w:r>
        <w:rPr>
          <w:color w:val="808080"/>
          <w:sz w:val="15"/>
          <w:szCs w:val="15"/>
        </w:rPr>
        <w:t xml:space="preserve">Scope: tenant-service · api-gateway · risk-engine · chat-agent · web portal · agent mobile app  —  Internal, Confidential</w:t>
      </w:r>
    </w:p>
    <w:p>
      <w:pPr>
        <w:pStyle w:val="Heading1"/>
        <w:keepNext/>
        <w:pBdr>
          <w:bottom w:val="single" w:color="1F3864" w:sz="6" w:space="3"/>
        </w:pBdr>
        <w:spacing w:after="100" w:before="260"/>
      </w:pPr>
      <w:r>
        <w:rPr>
          <w:b/>
          <w:bCs/>
          <w:color w:val="1F3864"/>
          <w:sz w:val="27"/>
          <w:szCs w:val="27"/>
        </w:rPr>
        <w:t xml:space="preserve">1. Executive Summary</w:t>
      </w:r>
    </w:p>
    <w:p>
      <w:pPr>
        <w:spacing w:after="90" w:line="244"/>
      </w:pPr>
      <w:r>
        <w:rPr>
          <w:sz w:val="19"/>
          <w:szCs w:val="19"/>
        </w:rPr>
        <w:t xml:space="preserve">This report audits every business rule governing underwriting, compliance, pricing, and commission decisions on the platform, benchmarks that rule set against SECP Insurance Rules 2017, the SECP AML/CFT Regulations 2018, and Adamjee Life Assurance's publicly documented practice, and proposes a centralized rule engine to replace today's scattered implementation. Every figure cited below is quoted from the running code at an exact file:line, not paraphrased.</w:t>
      </w:r>
    </w:p>
    <w:tbl>
      <w:tblPr>
        <w:tblW w:type="pct" w:w="100%"/>
        <w:tblBorders>
          <w:top w:val="single" w:color="9B1C1C" w:sz="4"/>
          <w:left w:val="single" w:color="9B1C1C" w:sz="20"/>
          <w:bottom w:val="single" w:color="9B1C1C" w:sz="4"/>
          <w:right w:val="single" w:color="9B1C1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Headline finding</w:t>
            </w:r>
          </w:p>
          <w:p>
            <w:pPr>
              <w:spacing w:after="0" w:line="232"/>
            </w:pPr>
            <w:r>
              <w:rPr>
                <w:color w:val="333333"/>
                <w:sz w:val="18"/>
                <w:szCs w:val="18"/>
              </w:rPr>
              <w:t xml:space="preserve">The same business rule is independently reimplemented — with the numbers drifting apart, not just the code — in 2 to 5 separate places for nearly every category audited: pre-underwriting gate criteria (5 copies), plan eligibility bands (4 copies), the AI-decision-to-policy-status mapping (3 copies, disagreeing outcomes), medical-requirement triggers (3 copies), the SECP commission table (2 identical copies plus 2 places that silently bypass it), and role/permission checks (6+ files). No single place shows what the platform's rules currently are.</w:t>
            </w:r>
          </w:p>
        </w:tc>
      </w:tr>
    </w:tbl>
    <w:p>
      <w:pPr>
        <w:spacing w:after="90" w:line="244"/>
      </w:pPr>
      <w:r>
        <w:rPr>
          <w:sz w:val="19"/>
          <w:szCs w:val="19"/>
        </w:rPr>
        <w:t xml:space="preserve">Two findings are significant enough to flag independently of the centralization case: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rFonts w:ascii="Consolas" w:cs="Consolas" w:eastAsia="Consolas" w:hAnsi="Consolas"/>
          <w:sz w:val="18"/>
          <w:szCs w:val="18"/>
        </w:rPr>
        <w:t xml:space="preserve">verify_admin</w:t>
      </w:r>
      <w:r>
        <w:rPr>
          <w:sz w:val="19"/>
          <w:szCs w:val="19"/>
        </w:rPr>
        <w:t xml:space="preserve">, guarding ~50 mutating routes, is fail-open: a missing token, malformed token, expired token, unknown user, or non-admin role all allow the request. It raises only for an Admin acting outside their own tenant.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rFonts w:ascii="Consolas" w:cs="Consolas" w:eastAsia="Consolas" w:hAnsi="Consolas"/>
          <w:sz w:val="18"/>
          <w:szCs w:val="18"/>
        </w:rPr>
        <w:t xml:space="preserve">DEMO_MODE</w:t>
      </w:r>
      <w:r>
        <w:rPr>
          <w:sz w:val="19"/>
          <w:szCs w:val="19"/>
        </w:rPr>
        <w:t xml:space="preserve"> defaults to true on the pre-issuance readiness gate, silently downgrading 4 of 5 mandatory Stage-A gates (requirements, compliance, beneficiaries, reinsurance) to advisory-only.</w:t>
      </w:r>
    </w:p>
    <w:p>
      <w:pPr>
        <w:spacing w:after="90" w:line="244"/>
      </w:pPr>
      <w:r>
        <w:rPr>
          <w:sz w:val="19"/>
          <w:szCs w:val="19"/>
        </w:rPr>
        <w:t xml:space="preserve">The remedy is not a rewrite of the underwriting logic — the scoring, sequencing, and statutory references are largely sound — but migrating it from hardcoded conditionals scattered across nine codebases into one versioned, auditable rule-evaluation service every service and client calls instead of re-deriving locally. §7 sets out a five-phase, lowest-risk-first plan.</w:t>
      </w:r>
    </w:p>
    <w:p>
      <w:pPr>
        <w:pStyle w:val="Heading1"/>
        <w:keepNext/>
        <w:pBdr>
          <w:bottom w:val="single" w:color="1F3864" w:sz="6" w:space="3"/>
        </w:pBdr>
        <w:spacing w:after="100" w:before="260"/>
      </w:pPr>
      <w:r>
        <w:rPr>
          <w:b/>
          <w:bCs/>
          <w:color w:val="1F3864"/>
          <w:sz w:val="27"/>
          <w:szCs w:val="27"/>
        </w:rPr>
        <w:t xml:space="preserve">2. Scope &amp; Method</w:t>
      </w:r>
    </w:p>
    <w:p>
      <w:pPr>
        <w:spacing w:after="90" w:line="244"/>
      </w:pPr>
      <w:r>
        <w:rPr>
          <w:sz w:val="19"/>
          <w:szCs w:val="19"/>
        </w:rPr>
        <w:t xml:space="preserve">In scope: every service and client that encodes a decision, threshold, or state-transition rule — tenant-service (compliance/AML, medical NML, insurance history, IPP, premium/rating, policy &amp; case state machines, pre-issuance readiness, document requirements, reinsurance, group underwriting), api-gateway (quote eligibility, SLA, decision-status gates), risk-engine (AI scoring, plan bands, fraud graph), chat-agent (RBAC), shared/ (the policy state machine, the premium calculator), and both clients (frontend/ and agent-app/) wherever they re-derive a rule instead of reading it from the API.</w:t>
      </w:r>
    </w:p>
    <w:p>
      <w:pPr>
        <w:spacing w:after="90" w:line="244"/>
      </w:pPr>
      <w:r>
        <w:rPr>
          <w:sz w:val="19"/>
          <w:szCs w:val="19"/>
        </w:rPr>
        <w:t xml:space="preserve">Two independent code-reading passes covered this scope; regulatory and industry claims are drawn from public sources cited inline — no non-public Adamjee data was accessed or is claimed.</w:t>
      </w:r>
    </w:p>
    <w:p>
      <w:pPr>
        <w:pStyle w:val="Heading1"/>
        <w:keepNext/>
        <w:pBdr>
          <w:bottom w:val="single" w:color="1F3864" w:sz="6" w:space="3"/>
        </w:pBdr>
        <w:spacing w:after="100" w:before="260"/>
      </w:pPr>
      <w:r>
        <w:rPr>
          <w:b/>
          <w:bCs/>
          <w:color w:val="1F3864"/>
          <w:sz w:val="27"/>
          <w:szCs w:val="27"/>
        </w:rPr>
        <w:t xml:space="preserve">3. Regulatory &amp; Market Benchmark</w:t>
      </w:r>
    </w:p>
    <w:p>
      <w:pPr>
        <w:spacing w:after="90" w:line="244"/>
      </w:pPr>
      <w:r>
        <w:rPr>
          <w:sz w:val="19"/>
          <w:szCs w:val="19"/>
        </w:rPr>
        <w:t xml:space="preserve">SECP Insurance Rules, 2017 (SRO 89(I)/2017, under s.167 of the Insurance Ordinance 2000) is the rulebook the codebase already cites — the commission table (§4.6) carries "Rule 24" and "Form LG" annotations. The SECP AML/CFT Regulations, 2018 (strengthened by SRO 245(I)/2019, FATF-aligned) require every insurer to run a written, risk-assessment-based AML/CFT programme — CDD, suspicious-transaction reporting, vetted/trained staff. compliance_engine.py (§4.1) is a direct code analogue of this obligation, though a simplified one: a 5-name hardcoded fallback watchlist and a CNIC-digit-count "SECP check" fall well short of a licensed programme.</w:t>
      </w:r>
    </w:p>
    <w:p>
      <w:pPr>
        <w:spacing w:after="90" w:line="244"/>
      </w:pPr>
      <w:r>
        <w:rPr>
          <w:sz w:val="19"/>
          <w:szCs w:val="19"/>
        </w:rPr>
        <w:t xml:space="preserve">Adamjee Life Assurance (PSX: ALIFE) is the reference carrier the platform's own commission table cites. Public materials describe underwriting across four categories — Medical, Occupational, Residential Risk, Self-retention — with any risk-affecting policy change (e.g. a premium reduction) triggering full re-underwriting via a fresh Health Questionnaire. That re-underwriting principle is one the platform's compliance/insurance-history re-screen logic gets backwards (§4.1, §4.3): re-running a check today wipes a prior clearance instead of refreshing it. Per Adamjee's 2024 Annual Report / PACRA rating, the company posted underwriting surpluses of ~PKR 2.9–3.1bn (11.9–12.5% margin) and net profit of PKR 908m in CY23 (vs. PKR 498m prior), on a bancassurance-led, digitally-investing distribution model — a scale at which a mispriced quote or a misapplied decision-status mapping is a material P&amp;L exposure, not a cosmetic bug.</w:t>
      </w:r>
    </w:p>
    <w:p>
      <w:pPr>
        <w:spacing w:after="90" w:line="244"/>
      </w:pPr>
      <w:r>
        <w:rPr>
          <w:i/>
          <w:iCs/>
          <w:color w:val="595959"/>
          <w:sz w:val="19"/>
          <w:szCs w:val="19"/>
        </w:rPr>
        <w:t xml:space="preserve">Adamjee's actual NML table, retention treaty, and rate card are commercially proprietary and were not found in any public source; where §6 references the platform's own NML bands or retention limit, they are the platform's configured assumptions, not verified matches to Adamjee's figures.</w:t>
      </w:r>
    </w:p>
    <w:p>
      <w:pPr>
        <w:pStyle w:val="Heading1"/>
        <w:keepNext/>
        <w:pBdr>
          <w:bottom w:val="single" w:color="1F3864" w:sz="6" w:space="3"/>
        </w:pBdr>
        <w:spacing w:after="100" w:before="260"/>
      </w:pPr>
      <w:r>
        <w:rPr>
          <w:b/>
          <w:bCs/>
          <w:color w:val="1F3864"/>
          <w:sz w:val="27"/>
          <w:szCs w:val="27"/>
        </w:rPr>
        <w:t xml:space="preserve">4. Current-State Rule Inventory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4.1 Compliance / PEP / Sanctions / AML / SECP</w:t>
      </w:r>
    </w:p>
    <w:p>
      <w:pPr>
        <w:spacing w:after="90" w:line="244"/>
      </w:pPr>
      <w:r>
        <w:rPr>
          <w:sz w:val="19"/>
          <w:szCs w:val="19"/>
        </w:rPr>
        <w:t xml:space="preserve">compliance_engine.py runs 3 checks per applicant. Sanctions/PEP: live OpenSanctions query (score ≥0.5 match threshold), degrading open to a 5-name hardcoded fallback list on any timeout/error. AML: additive score — +45 high-risk occupation token, +40 coverage/income≥10 (+20 if ≥6), +25 unknown income, +15 coverage≥PKR 20M; ≥90 Failed, ≥60 Flagged, else Passed. SECP: CNIC 13-digit format only, no registry call.</w:t>
      </w:r>
    </w:p>
    <w:tbl>
      <w:tblPr>
        <w:tblW w:type="pct" w:w="100%"/>
        <w:tblBorders>
          <w:top w:val="single" w:color="B45309" w:sz="4"/>
          <w:left w:val="single" w:color="B45309" w:sz="20"/>
          <w:bottom w:val="single" w:color="B45309" w:sz="4"/>
          <w:right w:val="single" w:color="B45309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REQUIRE_MANUAL_CLEARANCE defaults true</w:t>
            </w:r>
          </w:p>
          <w:p>
            <w:pPr>
              <w:spacing w:after="0" w:line="232"/>
            </w:pPr>
            <w:r>
              <w:rPr>
                <w:color w:val="333333"/>
                <w:sz w:val="18"/>
                <w:szCs w:val="18"/>
              </w:rPr>
              <w:t xml:space="preserve">A clean engine Pass still presents as Flagged until an officer sets cleared_by (compliance_engine.py:198-216) — documented only in code comments. Re-running the screen (screen_and_store, shared by 2 entry points) deletes and recreates all rows, wiping any prior clearance.</w:t>
            </w:r>
          </w:p>
        </w:tc>
      </w:tr>
    </w:tbl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4.2 Medical / Non-Medical Limit (NML)</w:t>
      </w:r>
    </w:p>
    <w:tbl>
      <w:tblPr>
        <w:tblW w:type="pct" w:w="100%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Age band</w:t>
            </w:r>
          </w:p>
        </w:tc>
        <w:tc>
          <w:tcPr>
            <w:tcW w:type="pct" w:w="70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NML (PKR)</w:t>
            </w:r>
          </w:p>
        </w:tc>
      </w:tr>
      <w:tr>
        <w:tc>
          <w:tcPr>
            <w:tcW w:type="pct" w:w="3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0–17</w:t>
            </w:r>
          </w:p>
        </w:tc>
        <w:tc>
          <w:tcPr>
            <w:tcW w:type="pct" w:w="7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1,000,000</w:t>
            </w:r>
          </w:p>
        </w:tc>
      </w:tr>
      <w:tr>
        <w:tc>
          <w:tcPr>
            <w:tcW w:type="pct" w:w="3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18–35</w:t>
            </w:r>
          </w:p>
        </w:tc>
        <w:tc>
          <w:tcPr>
            <w:tcW w:type="pct" w:w="7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3,000,000</w:t>
            </w:r>
          </w:p>
        </w:tc>
      </w:tr>
      <w:tr>
        <w:tc>
          <w:tcPr>
            <w:tcW w:type="pct" w:w="3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36–40</w:t>
            </w:r>
          </w:p>
        </w:tc>
        <w:tc>
          <w:tcPr>
            <w:tcW w:type="pct" w:w="7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2,000,000</w:t>
            </w:r>
          </w:p>
        </w:tc>
      </w:tr>
      <w:tr>
        <w:tc>
          <w:tcPr>
            <w:tcW w:type="pct" w:w="3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41–45</w:t>
            </w:r>
          </w:p>
        </w:tc>
        <w:tc>
          <w:tcPr>
            <w:tcW w:type="pct" w:w="7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1,500,000</w:t>
            </w:r>
          </w:p>
        </w:tc>
      </w:tr>
      <w:tr>
        <w:tc>
          <w:tcPr>
            <w:tcW w:type="pct" w:w="3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46–50</w:t>
            </w:r>
          </w:p>
        </w:tc>
        <w:tc>
          <w:tcPr>
            <w:tcW w:type="pct" w:w="7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1,000,000</w:t>
            </w:r>
          </w:p>
        </w:tc>
      </w:tr>
      <w:tr>
        <w:tc>
          <w:tcPr>
            <w:tcW w:type="pct" w:w="3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51–55</w:t>
            </w:r>
          </w:p>
        </w:tc>
        <w:tc>
          <w:tcPr>
            <w:tcW w:type="pct" w:w="7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500,000</w:t>
            </w:r>
          </w:p>
        </w:tc>
      </w:tr>
      <w:tr>
        <w:tc>
          <w:tcPr>
            <w:tcW w:type="pct" w:w="3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56–60</w:t>
            </w:r>
          </w:p>
        </w:tc>
        <w:tc>
          <w:tcPr>
            <w:tcW w:type="pct" w:w="7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250,000</w:t>
            </w:r>
          </w:p>
        </w:tc>
      </w:tr>
      <w:tr>
        <w:tc>
          <w:tcPr>
            <w:tcW w:type="pct" w:w="3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61–120</w:t>
            </w:r>
          </w:p>
        </w:tc>
        <w:tc>
          <w:tcPr>
            <w:tcW w:type="pct" w:w="7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(always medical)</w:t>
            </w:r>
          </w:p>
        </w:tc>
      </w:tr>
    </w:tbl>
    <w:p>
      <w:pPr>
        <w:spacing w:after="90" w:line="244"/>
      </w:pPr>
      <w:r>
        <w:rPr>
          <w:sz w:val="19"/>
          <w:szCs w:val="19"/>
        </w:rPr>
        <w:t xml:space="preserve">Medical triggers on sum-at-risk &gt; NML, age ≥ 61, or any adverse disclosure (underwriting_limits.py:279-321). A 12-tier test-panel grid unions by coverage/age thresholds; post-exam lab loadings (medical_findings.py) are independently scaled (e.g. HbA1c≥9.0 → +125%) and compete with the AI engine's own loading via max().</w:t>
      </w:r>
    </w:p>
    <w:tbl>
      <w:tblPr>
        <w:tblW w:type="pct" w:w="100%"/>
        <w:tblBorders>
          <w:top w:val="single" w:color="9B1C1C" w:sz="4"/>
          <w:left w:val="single" w:color="9B1C1C" w:sz="20"/>
          <w:bottom w:val="single" w:color="9B1C1C" w:sz="4"/>
          <w:right w:val="single" w:color="9B1C1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Three disagreeing "is a medical needed" answers</w:t>
            </w:r>
          </w:p>
          <w:p>
            <w:pPr>
              <w:spacing w:after="0" w:line="232"/>
            </w:pPr>
            <w:r>
              <w:rPr>
                <w:color w:val="333333"/>
                <w:sz w:val="18"/>
                <w:szCs w:val="18"/>
              </w:rPr>
              <w:t xml:space="preserve">The age-banded NML grid (aggregate exposure), pre_issuance.py's own re-derivation against only this proposal's coverage, and a wholly separate age-blind coverage-only tier table on InsurancePlan.medical_exam_tiers can give opposite answers for the same applicant.</w:t>
            </w:r>
          </w:p>
        </w:tc>
      </w:tr>
    </w:tbl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4.3 Insurance History / Replacement</w:t>
      </w:r>
    </w:p>
    <w:p>
      <w:pPr>
        <w:spacing w:after="90" w:line="244"/>
      </w:pPr>
      <w:r>
        <w:rPr>
          <w:sz w:val="19"/>
          <w:szCs w:val="19"/>
        </w:rPr>
        <w:t xml:space="preserve">HLV ceiling = annual income × age-banded multiple (25× at 18-30 down to 5× at 61+). Ten weighted findings drive a score — Prior Decline +60, Over-Insured (ratio&gt;1.5) +55, Non-Disclosure +45 … down to Prior Lapse +10; ≥85 Failed, ≥40 Flagged, else Clear. Clear/Fail override is Underwriter/Admin/SuperAdmin-only. Despite a header comment claiming this "mirrors compliance_engine's flag/fail convention," the bands differ (40/85 here vs. 60/90 there) and, unlike compliance, a re-screen here wipes prior clearance.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4.4 Initial Premium Payment (IPP)</w:t>
      </w:r>
    </w:p>
    <w:p>
      <w:pPr>
        <w:spacing w:after="90" w:line="244"/>
      </w:pPr>
      <w:r>
        <w:rPr>
          <w:sz w:val="19"/>
          <w:szCs w:val="19"/>
        </w:rPr>
        <w:t xml:space="preserve">Amount = latest quote's total premium, else 1.035% of coverage as fallback. Idempotent (already-Realized can't be re-collected, 409); confirm without a prior initiate = 404; non-realized settlement = 402/Failed. 4 mock channels (JazzCash/Easypaisa/Card/BankTransfer), synchronous settlement. Framed against Section 30, Insurance Ordinance 2000 ("no premium, no risk").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4.5 Premium Calculation &amp; Rating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color w:val="444444"/>
          <w:sz w:val="16"/>
          <w:szCs w:val="16"/>
        </w:rPr>
        <w:t xml:space="preserve">premium = (coverage/1000)×base_rate×age_index×age_factor + smoker/BMI/UW-loading + PKR 500 fee + 1% stamp duty</w:t>
      </w:r>
    </w:p>
    <w:p>
      <w:pPr>
        <w:spacing w:after="90" w:line="244"/>
      </w:pPr>
      <w:r>
        <w:rPr>
          <w:sz w:val="19"/>
          <w:szCs w:val="19"/>
        </w:rPr>
        <w:t xml:space="preserve">Genuinely centralized in one function (shared/pricing/calculator.py), called from 3 services — the model the rest of the platform should follow. Age factor 0.8× (18-25) to 3.5× (66+); BMI a binary 1.15× outside 18.5-24.9.</w:t>
      </w:r>
    </w:p>
    <w:tbl>
      <w:tblPr>
        <w:tblW w:type="pct" w:w="100%"/>
        <w:tblBorders>
          <w:top w:val="single" w:color="9B1C1C" w:sz="4"/>
          <w:left w:val="single" w:color="9B1C1C" w:sz="20"/>
          <w:bottom w:val="single" w:color="9B1C1C" w:sz="4"/>
          <w:right w:val="single" w:color="9B1C1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Eligibility bands exist in 4 places and disagree</w:t>
            </w:r>
          </w:p>
          <w:p>
            <w:pPr>
              <w:spacing w:after="0" w:line="232"/>
            </w:pPr>
            <w:r>
              <w:rPr>
                <w:color w:val="333333"/>
                <w:sz w:val="18"/>
                <w:szCs w:val="18"/>
              </w:rPr>
              <w:t xml:space="preserve">InsurancePlan DB rows, the seed script, the risk-engine's own UNDERWRITING_RULES table, and the auto-quote worker's clamping logic. GROUP_LIFE's max-income-multiple is 3× in one, 36× in another — the risk-engine's own comment concedes the same field name "means something different" between them. WHOLE_LIFE and ENDOWMENT exist in the risk-engine table with no seeded plan counterpart at all.</w:t>
            </w:r>
          </w:p>
        </w:tc>
      </w:tr>
    </w:tbl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4.6 SECP Statutory Commission</w:t>
      </w:r>
    </w:p>
    <w:tbl>
      <w:tblPr>
        <w:tblW w:type="pct" w:w="100%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pct" w:w="20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Premium type</w:t>
            </w:r>
          </w:p>
        </w:tc>
        <w:tc>
          <w:tcPr>
            <w:tcW w:type="pct" w:w="8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Yr</w:t>
            </w:r>
          </w:p>
        </w:tc>
        <w:tc>
          <w:tcPr>
            <w:tcW w:type="pct" w:w="12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Rate</w:t>
            </w:r>
          </w:p>
        </w:tc>
        <w:tc>
          <w:tcPr>
            <w:tcW w:type="pct" w:w="40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SECP ref</w:t>
            </w:r>
          </w:p>
        </w:tc>
      </w:tr>
      <w:tr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Individual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First year</w:t>
            </w:r>
          </w:p>
        </w:tc>
        <w:tc>
          <w:tcPr>
            <w:tcW w:type="pct" w:w="8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12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35.0%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Rule 24</w:t>
            </w:r>
          </w:p>
        </w:tc>
      </w:tr>
      <w:tr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Individual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Renewal</w:t>
            </w:r>
          </w:p>
        </w:tc>
        <w:tc>
          <w:tcPr>
            <w:tcW w:type="pct" w:w="8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12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7.5%</w:t>
            </w:r>
          </w:p>
        </w:tc>
        <w:tc>
          <w:tcPr>
            <w:tcW w:type="pct" w:w="4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 LG</w:t>
            </w:r>
          </w:p>
        </w:tc>
      </w:tr>
      <w:tr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Individual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Renewal</w:t>
            </w:r>
          </w:p>
        </w:tc>
        <w:tc>
          <w:tcPr>
            <w:tcW w:type="pct" w:w="8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3+</w:t>
            </w:r>
          </w:p>
        </w:tc>
        <w:tc>
          <w:tcPr>
            <w:tcW w:type="pct" w:w="12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 LG</w:t>
            </w:r>
          </w:p>
        </w:tc>
      </w:tr>
      <w:tr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Individual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Single premium</w:t>
            </w:r>
          </w:p>
        </w:tc>
        <w:tc>
          <w:tcPr>
            <w:tcW w:type="pct" w:w="8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12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pct" w:w="4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Adamjee Life 2024 Report*</w:t>
            </w:r>
          </w:p>
        </w:tc>
      </w:tr>
      <w:tr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Group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First year</w:t>
            </w:r>
          </w:p>
        </w:tc>
        <w:tc>
          <w:tcPr>
            <w:tcW w:type="pct" w:w="8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12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15.0%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 LG</w:t>
            </w:r>
          </w:p>
        </w:tc>
      </w:tr>
      <w:tr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Group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Renewal</w:t>
            </w:r>
          </w:p>
        </w:tc>
        <w:tc>
          <w:tcPr>
            <w:tcW w:type="pct" w:w="8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12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pct" w:w="4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 LG</w:t>
            </w:r>
          </w:p>
        </w:tc>
      </w:tr>
      <w:tr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Family (Takaful)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First year</w:t>
            </w:r>
          </w:p>
        </w:tc>
        <w:tc>
          <w:tcPr>
            <w:tcW w:type="pct" w:w="8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pct" w:w="12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30.0%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Takaful Rules 2012</w:t>
            </w:r>
          </w:p>
        </w:tc>
      </w:tr>
    </w:tbl>
    <w:p>
      <w:pPr>
        <w:spacing w:after="90" w:line="244"/>
      </w:pPr>
      <w:r>
        <w:rPr>
          <w:sz w:val="19"/>
          <w:szCs w:val="19"/>
        </w:rPr>
        <w:t xml:space="preserve">* Could not be independently verified against a public Adamjee rate card — recommend actuarial confirmation. Identical table exists twice (web + mobile); both apps' actual ledger builders bypass it, hardcoding "group→15%, else→35%" regardless of premium type/year. No backend commission table exists at all — only an unrelated flat 5% AGENT_COMMISSION_PCT used for billing.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4.7 Case / Policy State Machine</w:t>
      </w:r>
    </w:p>
    <w:p>
      <w:pPr>
        <w:spacing w:after="90" w:line="244"/>
      </w:pPr>
      <w:r>
        <w:rPr>
          <w:sz w:val="19"/>
          <w:szCs w:val="19"/>
        </w:rPr>
        <w:t xml:space="preserve">The Policy state machine (shared/services/policy_state_machine.py) is the platform's best-built rule: one transition map, ~40 legal moves across 17 statuses, a typed IllegalStateTransition guard, an immutable PolicyEvent audit row per transition, and 30+ call sites routed through one apply_transition() function. The Case state machine has no equivalent — caseStatus is assigned directly at 4+ sites, legality enforced only by ad-hoc, independently-duplicated role checks.</w:t>
      </w:r>
    </w:p>
    <w:tbl>
      <w:tblPr>
        <w:tblW w:type="pct" w:w="100%"/>
        <w:tblBorders>
          <w:top w:val="single" w:color="9B1C1C" w:sz="4"/>
          <w:left w:val="single" w:color="9B1C1C" w:sz="20"/>
          <w:bottom w:val="single" w:color="9B1C1C" w:sz="4"/>
          <w:right w:val="single" w:color="9B1C1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The AI-decision → status mapping exists 3× and disagrees</w:t>
            </w:r>
          </w:p>
          <w:p>
            <w:pPr>
              <w:spacing w:after="0" w:line="232"/>
            </w:pPr>
            <w:r>
              <w:rPr>
                <w:color w:val="333333"/>
                <w:sz w:val="18"/>
                <w:szCs w:val="18"/>
              </w:rPr>
              <w:t xml:space="preserve">api-gateway maps every one of the 4 AI decisions to Under-Review (a human always decides); tenant-service maps them directly (Auto Approve → Approved, Decline → Declined); the chat-agent copilot implements a third if/elif chain that additionally collapses Approve-with-Loading into Under-Review, unlike either of the other two. The tenant-service copy's own comment concedes "a second copy was tolerable, a third wasn't" — a third now exists.</w:t>
            </w:r>
          </w:p>
        </w:tc>
      </w:tr>
    </w:tbl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4.8 The Six Pre-Underwriting Gates</w:t>
      </w:r>
    </w:p>
    <w:tbl>
      <w:tblPr>
        <w:tblW w:type="pct" w:w="100%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pct" w:w="20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Backend</w:t>
            </w:r>
          </w:p>
        </w:tc>
        <w:tc>
          <w:tcPr>
            <w:tcW w:type="pct" w:w="22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Agent app</w:t>
            </w:r>
          </w:p>
        </w:tc>
        <w:tc>
          <w:tcPr>
            <w:tcW w:type="pct" w:w="24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Portal isFullyReady()</w:t>
            </w:r>
          </w:p>
        </w:tc>
        <w:tc>
          <w:tcPr>
            <w:tcW w:type="pct" w:w="20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Copilot</w:t>
            </w:r>
          </w:p>
        </w:tc>
      </w:tr>
      <w:tr>
        <w:tc>
          <w:tcPr>
            <w:tcW w:type="pct" w:w="1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E-App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Verified</w:t>
            </w:r>
          </w:p>
        </w:tc>
        <w:tc>
          <w:tcPr>
            <w:tcW w:type="pct" w:w="22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Verified</w:t>
            </w:r>
          </w:p>
        </w:tc>
        <w:tc>
          <w:tcPr>
            <w:tcW w:type="pct" w:w="2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Verified OR Submitted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Verified</w:t>
            </w:r>
          </w:p>
        </w:tc>
      </w:tr>
      <w:tr>
        <w:tc>
          <w:tcPr>
            <w:tcW w:type="pct" w:w="14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ACR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Submitted</w:t>
            </w:r>
          </w:p>
        </w:tc>
        <w:tc>
          <w:tcPr>
            <w:tcW w:type="pct" w:w="22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Submitted</w:t>
            </w:r>
          </w:p>
        </w:tc>
        <w:tc>
          <w:tcPr>
            <w:tcW w:type="pct" w:w="24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Submitted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Submitted</w:t>
            </w:r>
          </w:p>
        </w:tc>
      </w:tr>
      <w:tr>
        <w:tc>
          <w:tcPr>
            <w:tcW w:type="pct" w:w="1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 Compliance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Passed</w:t>
            </w:r>
          </w:p>
        </w:tc>
        <w:tc>
          <w:tcPr>
            <w:tcW w:type="pct" w:w="22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Passed, "Cleared"*</w:t>
            </w:r>
          </w:p>
        </w:tc>
        <w:tc>
          <w:tcPr>
            <w:tcW w:type="pct" w:w="2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Passed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Passed, "Cleared"*</w:t>
            </w:r>
          </w:p>
        </w:tc>
      </w:tr>
      <w:tr>
        <w:tc>
          <w:tcPr>
            <w:tcW w:type="pct" w:w="14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 IPP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Realized</w:t>
            </w:r>
          </w:p>
        </w:tc>
        <w:tc>
          <w:tcPr>
            <w:tcW w:type="pct" w:w="22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Realized</w:t>
            </w:r>
          </w:p>
        </w:tc>
        <w:tc>
          <w:tcPr>
            <w:tcW w:type="pct" w:w="24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Realized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Realized</w:t>
            </w:r>
          </w:p>
        </w:tc>
      </w:tr>
      <w:tr>
        <w:tc>
          <w:tcPr>
            <w:tcW w:type="pct" w:w="1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 History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Clear</w:t>
            </w:r>
          </w:p>
        </w:tc>
        <w:tc>
          <w:tcPr>
            <w:tcW w:type="pct" w:w="22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Clear, "Cleared"*</w:t>
            </w:r>
          </w:p>
        </w:tc>
        <w:tc>
          <w:tcPr>
            <w:tcW w:type="pct" w:w="2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Clear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Clear, "Cleared"*</w:t>
            </w:r>
          </w:p>
        </w:tc>
      </w:tr>
      <w:tr>
        <w:tc>
          <w:tcPr>
            <w:tcW w:type="pct" w:w="14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 Medical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NotRequired/Completed/Waived</w:t>
            </w:r>
          </w:p>
        </w:tc>
        <w:tc>
          <w:tcPr>
            <w:tcW w:type="pct" w:w="22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same</w:t>
            </w:r>
          </w:p>
        </w:tc>
        <w:tc>
          <w:tcPr>
            <w:tcW w:type="pct" w:w="24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same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same</w:t>
            </w:r>
          </w:p>
        </w:tc>
      </w:tr>
    </w:tbl>
    <w:p>
      <w:pPr>
        <w:spacing w:after="90" w:line="244"/>
      </w:pPr>
      <w:r>
        <w:rPr>
          <w:sz w:val="19"/>
          <w:szCs w:val="19"/>
        </w:rPr>
        <w:t xml:space="preserve">* "Cleared" is not a value either enum can produce — dead branches from an earlier enum version. The one live disagreement: the portal's isFullyReady() accepts a merely-Submitted E-App as Gate-1-done; every other copy (including the portal's own separately-coded inline g1Done) requires Verified — a case can show "Fully Cleared" on the portal while the backend's own is_ready flag is false.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4.9 AI Risk Assessment &amp; Decisioning</w:t>
      </w:r>
    </w:p>
    <w:p>
      <w:pPr>
        <w:spacing w:after="90" w:line="244"/>
      </w:pPr>
      <w:r>
        <w:rPr>
          <w:sz w:val="19"/>
          <w:szCs w:val="19"/>
        </w:rPr>
        <w:t xml:space="preserve">Medical/financial/fraud scores are Gemini 2.5 Flash outputs (prose-scored, schema-constrained 0-100/0-100/0.0-1.0) — not an ML model or formula. The one deterministic step: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color w:val="444444"/>
          <w:sz w:val="16"/>
          <w:szCs w:val="16"/>
        </w:rPr>
        <w:t xml:space="preserve">composite = clamp(0,100, 0.40×medical + 0.40×financial + 0.20×(fraud×100))
Auto Approve: composite&lt;30 &amp; fraud&lt;0.10  |  Decline: composite&gt;75 OR fraud&gt;0.60
Approve w/ Loading: composite&lt;50 &amp; fraud&lt;0.10  |  else: Human Review
Loading bands: ≥30→+25% · ≥40→+50% · ≥50→+75% · ≥60→+100%</w:t>
      </w:r>
    </w:p>
    <w:p>
      <w:pPr>
        <w:spacing w:after="90" w:line="244"/>
      </w:pPr>
      <w:r>
        <w:rPr>
          <w:sz w:val="19"/>
          <w:szCs w:val="19"/>
        </w:rPr>
        <w:t xml:space="preserve">Fraud graph signals (Memgraph): income &gt;3× area/occupation-cluster average; coverage within PKR 50,000 of an occupation peer's — both fed to the LLM as "Tier 1 hard evidence" alongside compliance outcomes. See §4.7 for the resulting decision→status mapping conflict, the sharpest inconsistency in this audit.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4.10 Role-Based Authorization (RBAC)</w:t>
      </w:r>
    </w:p>
    <w:p>
      <w:pPr>
        <w:spacing w:after="90" w:line="244"/>
      </w:pPr>
      <w:r>
        <w:rPr>
          <w:sz w:val="19"/>
          <w:szCs w:val="19"/>
        </w:rPr>
        <w:t xml:space="preserve">5 roles (SuperAdmin, Admin, Underwriter, Agent, Viewer). chat-agent/permission.py is the richest matrix: Agent gets a 26-tool (web) / 31-tool (mobile, covering Gates 3-6) allowlist; Viewer a 21-tool safe list; Underwriter is denylisted against only 4 tools, everything else default-allowed.</w:t>
      </w:r>
    </w:p>
    <w:tbl>
      <w:tblPr>
        <w:tblW w:type="pct" w:w="100%"/>
        <w:tblBorders>
          <w:top w:val="single" w:color="9B1C1C" w:sz="4"/>
          <w:left w:val="single" w:color="9B1C1C" w:sz="20"/>
          <w:bottom w:val="single" w:color="9B1C1C" w:sz="4"/>
          <w:right w:val="single" w:color="9B1C1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verify_admin is fail-open on ~50 routes</w:t>
            </w:r>
          </w:p>
          <w:p>
            <w:pPr>
              <w:spacing w:after="0" w:line="232"/>
            </w:pPr>
            <w:r>
              <w:rPr>
                <w:color w:val="333333"/>
                <w:sz w:val="18"/>
                <w:szCs w:val="18"/>
              </w:rPr>
              <w:t xml:space="preserve">Missing token, invalid token, unknown user, and non-admin role (Agent/Viewer/Underwriter) all return — i.e. allow — rather than reject. It raises only for an Admin acting outside their own tenant. A structurally identical verify_superadmin is correctly fail-closed elsewhere, so the pattern is known — just not applied here.</w:t>
            </w:r>
          </w:p>
        </w:tc>
      </w:tr>
    </w:tbl>
    <w:p>
      <w:pPr>
        <w:spacing w:after="90" w:line="244"/>
      </w:pPr>
      <w:r>
        <w:rPr>
          <w:sz w:val="19"/>
          <w:szCs w:val="19"/>
        </w:rPr>
        <w:t xml:space="preserve">{Underwriter, Admin, SuperAdmin} is independently redeclared under 5 different constant names across 5 files; two identical require_roles() dependency factories exist (api-gateway, tenant-service) and neither is ever called. The web portal implements a 4th independent RBAC layer via localStorage role checks, plus its own 3-tier approval-authority matrix (Junior/Senior/Chief Underwriter) whose role names don't exist anywhere in the seeded role table.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4.11 Pre-Issuance (Stage A) Readiness</w:t>
      </w:r>
    </w:p>
    <w:p>
      <w:pPr>
        <w:spacing w:after="90" w:line="244"/>
      </w:pPr>
      <w:r>
        <w:rPr>
          <w:sz w:val="19"/>
          <w:szCs w:val="19"/>
        </w:rPr>
        <w:t xml:space="preserve">7 steps (revised terms, requirements, premium, compliance, beneficiaries, documents, reinsurance); only "revised terms" (no pending counter-offer) is unconditionally blocking.</w:t>
      </w:r>
    </w:p>
    <w:tbl>
      <w:tblPr>
        <w:tblW w:type="pct" w:w="100%"/>
        <w:tblBorders>
          <w:top w:val="single" w:color="9B1C1C" w:sz="4"/>
          <w:left w:val="single" w:color="9B1C1C" w:sz="20"/>
          <w:bottom w:val="single" w:color="9B1C1C" w:sz="4"/>
          <w:right w:val="single" w:color="9B1C1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DEMO_MODE defaults to true</w:t>
            </w:r>
          </w:p>
          <w:p>
            <w:pPr>
              <w:spacing w:after="0" w:line="232"/>
            </w:pPr>
            <w:r>
              <w:rPr>
                <w:color w:val="333333"/>
                <w:sz w:val="18"/>
                <w:szCs w:val="18"/>
              </w:rPr>
              <w:t xml:space="preserve">os.environ.get("DEMO_MODE","true") downgrades 4 of the 5 mandatory gates — requirements, compliance, beneficiaries, reinsurance — to non-blocking warnings. A policy can issue today with an unresolved compliance flag, no beneficiaries, and an unplaced reinsurance cession; the only record is a comma-joined demo_bypass_flags string on the policy row.</w:t>
            </w:r>
          </w:p>
        </w:tc>
      </w:tr>
    </w:tbl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4.12 Documents, Policy Issuance &amp; Post-Issuance</w:t>
      </w:r>
    </w:p>
    <w:p>
      <w:pPr>
        <w:spacing w:after="90" w:line="244"/>
      </w:pPr>
      <w:r>
        <w:rPr>
          <w:sz w:val="19"/>
          <w:szCs w:val="19"/>
        </w:rPr>
        <w:t xml:space="preserve">Document requirements are a static (insurance_type, case_type) table, overridable per-tenant; GROUP_LIFE/FAMILY_FLOATER have no static entry and resolve to zero requirements absent a tenant override. Issuance requires Approved/AcceptedWithLoadings status (or auto-approves from UnderReview as "demo-bypass"); effective loading = accepted Loading counter-offer, else max(medical loading, AI loading); the whole issuance is one transaction, rolled back on any failure. Post-issuance supports exactly 4 endorsement types (Nominee, Address, SumAssured, Rider) — no top-up, surrender, or reinstatement endpoint exists in the API despite the state machine permitting Lapsed→Active.</w:t>
      </w:r>
    </w:p>
    <w:p>
      <w:pPr>
        <w:spacing w:after="90" w:line="244"/>
      </w:pPr>
      <w:r>
        <w:rPr>
          <w:sz w:val="19"/>
          <w:szCs w:val="19"/>
        </w:rPr>
        <w:t xml:space="preserve">The renewal scheduler that would drive Active→GracePeriod→Lapsed transitions is not started by the application at all; and the Claims module has a DB table but zero backend routers — the entire Claims page is hardcoded frontend mock data.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4.13 Reinsurance, Group/Family &amp; Tenant Admin (summary)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sz w:val="19"/>
          <w:szCs w:val="19"/>
        </w:rPr>
        <w:t xml:space="preserve">Reinsurance: PKR 5,000,000 age-scaled retention, 4 treaty lines, 1.85/mille facultative rate; blended loading = max(EMR−100,0) × ceded-share of sum assured (only the ceded portion is loaded).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sz w:val="19"/>
          <w:szCs w:val="19"/>
        </w:rPr>
        <w:t xml:space="preserve">Group underwriting: Free Cover Limit = PKR 1,000,000 × size factor × age factor; no minimum group size is actually enforced despite seeded plans declaring one (documented gap).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sz w:val="19"/>
          <w:szCs w:val="19"/>
        </w:rPr>
        <w:t xml:space="preserve">Family: 2-8 members, one "Self" required, floater priced off the eldest life.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sz w:val="19"/>
          <w:szCs w:val="19"/>
        </w:rPr>
        <w:t xml:space="preserve">Tenant admin: GET/PATCH /tenants and branch GET have no auth dependency at all — any caller can enumerate or rename any tenant; tenant/branch create-delete are correctly fail-closed (verify_superadmin).</w:t>
      </w:r>
    </w:p>
    <w:p>
      <w:r>
        <w:br w:type="page"/>
      </w:r>
    </w:p>
    <w:p>
      <w:pPr>
        <w:pStyle w:val="Heading1"/>
        <w:keepNext/>
        <w:pBdr>
          <w:bottom w:val="single" w:color="1F3864" w:sz="6" w:space="3"/>
        </w:pBdr>
        <w:spacing w:after="100" w:before="260"/>
      </w:pPr>
      <w:r>
        <w:rPr>
          <w:b/>
          <w:bCs/>
          <w:color w:val="1F3864"/>
          <w:sz w:val="27"/>
          <w:szCs w:val="27"/>
        </w:rPr>
        <w:t xml:space="preserve">5. Cross-Cutting Findings — Duplication, Drift &amp; Risk</w:t>
      </w:r>
    </w:p>
    <w:p>
      <w:pPr>
        <w:spacing w:after="90" w:line="244"/>
      </w:pPr>
      <w:r>
        <w:rPr>
          <w:sz w:val="19"/>
          <w:szCs w:val="19"/>
        </w:rPr>
        <w:t xml:space="preserve">One pattern accounts for nearly every inconsistency in §4: a rule is defined once, then re-derived — not imported — everywhere else it's needed, because the consuming service or client can't or doesn't import the source module. Each re-derivation is a fresh chance for the numbers to drift, and they already have:</w:t>
      </w:r>
    </w:p>
    <w:tbl>
      <w:tblPr>
        <w:tblW w:type="pct" w:w="100%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pct" w:w="20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Copies</w:t>
            </w:r>
          </w:p>
        </w:tc>
        <w:tc>
          <w:tcPr>
            <w:tcW w:type="pct" w:w="46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Agree?</w:t>
            </w:r>
          </w:p>
        </w:tc>
      </w:tr>
      <w:tr>
        <w:tc>
          <w:tcPr>
            <w:tcW w:type="pct" w:w="3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6-gate "is this gate done" criteria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pct" w:w="46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— Gate 1 differs; "Cleared" is a phantom value</w:t>
            </w:r>
          </w:p>
        </w:tc>
      </w:tr>
      <w:tr>
        <w:tc>
          <w:tcPr>
            <w:tcW w:type="pct" w:w="34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AI decision → policy/case status mapping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46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— 3 different outcome sets</w:t>
            </w:r>
          </w:p>
        </w:tc>
      </w:tr>
      <w:tr>
        <w:tc>
          <w:tcPr>
            <w:tcW w:type="pct" w:w="3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 eligibility bands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pct" w:w="46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— GROUP_LIFE income multiple 3× vs 36×</w:t>
            </w:r>
          </w:p>
        </w:tc>
      </w:tr>
      <w:tr>
        <w:tc>
          <w:tcPr>
            <w:tcW w:type="pct" w:w="34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Medical-requirement trigger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pct" w:w="46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— age-aware vs. age-blind</w:t>
            </w:r>
          </w:p>
        </w:tc>
      </w:tr>
      <w:tr>
        <w:tc>
          <w:tcPr>
            <w:tcW w:type="pct" w:w="3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SECP commission table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+ 2 bypasses</w:t>
            </w:r>
          </w:p>
        </w:tc>
        <w:tc>
          <w:tcPr>
            <w:tcW w:type="pct" w:w="46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— ledger builders ignore their own table</w:t>
            </w:r>
          </w:p>
        </w:tc>
      </w:tr>
      <w:tr>
        <w:tc>
          <w:tcPr>
            <w:tcW w:type="pct" w:w="34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Underwriter/decision role sets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7 names, 2 services</w:t>
            </w:r>
          </w:p>
        </w:tc>
        <w:tc>
          <w:tcPr>
            <w:tcW w:type="pct" w:w="46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Yes — still worth consolidating</w:t>
            </w:r>
          </w:p>
        </w:tc>
      </w:tr>
      <w:tr>
        <w:tc>
          <w:tcPr>
            <w:tcW w:type="pct" w:w="3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require_roles dependency factory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pct" w:w="46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Identical — neither is ever called</w:t>
            </w:r>
          </w:p>
        </w:tc>
      </w:tr>
      <w:tr>
        <w:tc>
          <w:tcPr>
            <w:tcW w:type="pct" w:w="34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age_from_dob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pct" w:w="46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— day-division vs. calendar-correct</w:t>
            </w:r>
          </w:p>
        </w:tc>
      </w:tr>
      <w:tr>
        <w:tc>
          <w:tcPr>
            <w:tcW w:type="pct" w:w="3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Premium loading source of truth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 engines</w:t>
            </w:r>
          </w:p>
        </w:tc>
        <w:tc>
          <w:tcPr>
            <w:tcW w:type="pct" w:w="46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Reconciled only by max()</w:t>
            </w:r>
          </w:p>
        </w:tc>
      </w:tr>
      <w:tr>
        <w:tc>
          <w:tcPr>
            <w:tcW w:type="pct" w:w="34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Premium arithmetic / Policy transitions</w:t>
            </w:r>
          </w:p>
        </w:tc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 each</w:t>
            </w:r>
          </w:p>
        </w:tc>
        <w:tc>
          <w:tcPr>
            <w:tcW w:type="pct" w:w="46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Centralized — the model to replicate</w:t>
            </w:r>
          </w:p>
        </w:tc>
      </w:tr>
      <w:tr>
        <w:tc>
          <w:tcPr>
            <w:tcW w:type="pct" w:w="34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Case state transitions</w:t>
            </w:r>
          </w:p>
        </w:tc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0 (no map exists)</w:t>
            </w:r>
          </w:p>
        </w:tc>
        <w:tc>
          <w:tcPr>
            <w:tcW w:type="pct" w:w="46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Enforced ad hoc by role checks only</w:t>
            </w:r>
          </w:p>
        </w:tc>
      </w:tr>
    </w:tbl>
    <w:tbl>
      <w:tblPr>
        <w:tblW w:type="pct" w:w="100%"/>
        <w:tblBorders>
          <w:top w:val="single" w:color="9B1C1C" w:sz="4"/>
          <w:left w:val="single" w:color="9B1C1C" w:sz="20"/>
          <w:bottom w:val="single" w:color="9B1C1C" w:sz="4"/>
          <w:right w:val="single" w:color="9B1C1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Fail-open admin guard</w:t>
            </w:r>
          </w:p>
          <w:p>
            <w:pPr>
              <w:spacing w:after="0" w:line="232"/>
            </w:pPr>
            <w:r>
              <w:rPr>
                <w:color w:val="333333"/>
                <w:sz w:val="18"/>
                <w:szCs w:val="18"/>
              </w:rPr>
              <w:t xml:space="preserve">verify_admin (~50 routes) allows on every failure path but one — cross-tenant Admin access.</w:t>
            </w:r>
          </w:p>
        </w:tc>
      </w:tr>
    </w:tbl>
    <w:tbl>
      <w:tblPr>
        <w:tblW w:type="pct" w:w="100%"/>
        <w:tblBorders>
          <w:top w:val="single" w:color="9B1C1C" w:sz="4"/>
          <w:left w:val="single" w:color="9B1C1C" w:sz="20"/>
          <w:bottom w:val="single" w:color="9B1C1C" w:sz="4"/>
          <w:right w:val="single" w:color="9B1C1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7F9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B1C1C"/>
                <w:sz w:val="18"/>
                <w:szCs w:val="18"/>
              </w:rPr>
              <w:t xml:space="preserve">Issuance gates silently bypassed by default</w:t>
            </w:r>
          </w:p>
          <w:p>
            <w:pPr>
              <w:spacing w:after="0" w:line="232"/>
            </w:pPr>
            <w:r>
              <w:rPr>
                <w:color w:val="333333"/>
                <w:sz w:val="18"/>
                <w:szCs w:val="18"/>
              </w:rPr>
              <w:t xml:space="preserve">DEMO_MODE defaults true, downgrading 4 of 5 mandatory Stage-A gates to warnings.</w:t>
            </w:r>
          </w:p>
        </w:tc>
      </w:tr>
    </w:tbl>
    <w:p>
      <w:pPr>
        <w:pStyle w:val="Heading1"/>
        <w:keepNext/>
        <w:pBdr>
          <w:bottom w:val="single" w:color="1F3864" w:sz="6" w:space="3"/>
        </w:pBdr>
        <w:spacing w:after="100" w:before="260"/>
      </w:pPr>
      <w:r>
        <w:rPr>
          <w:b/>
          <w:bCs/>
          <w:color w:val="1F3864"/>
          <w:sz w:val="27"/>
          <w:szCs w:val="27"/>
        </w:rPr>
        <w:t xml:space="preserve">6. Benchmark Comparison — Platform vs. Regulatory &amp; Market Practice</w:t>
      </w:r>
    </w:p>
    <w:tbl>
      <w:tblPr>
        <w:tblW w:type="pct" w:w="100%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pct" w:w="40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Platform today</w:t>
            </w:r>
          </w:p>
        </w:tc>
        <w:tc>
          <w:tcPr>
            <w:tcW w:type="pct" w:w="40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</w:tr>
      <w:tr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AML/CFT programme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Additive AML score + OpenSanctions/5-name fallback + CNIC-format SECP check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2018 Regs require a full documented programme — platform automates the screening step, isn't a complete programme on its own</w:t>
            </w:r>
          </w:p>
        </w:tc>
      </w:tr>
      <w:tr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Manual sign-off on flags</w:t>
            </w:r>
          </w:p>
        </w:tc>
        <w:tc>
          <w:tcPr>
            <w:tcW w:type="pct" w:w="4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REQUIRE_MANUAL_CLEARANCE defaults true</w:t>
            </w:r>
          </w:p>
        </w:tc>
        <w:tc>
          <w:tcPr>
            <w:tcW w:type="pct" w:w="4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Consistent with enhanced due diligence for higher-risk customers</w:t>
            </w:r>
          </w:p>
        </w:tc>
      </w:tr>
      <w:tr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Re-underwriting on change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Compliance/history re-run wipes clearance instead of refreshing it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Adamjee: risk-affecting changes trigger fresh underwriting, not a reset — behavioural gap</w:t>
            </w:r>
          </w:p>
        </w:tc>
      </w:tr>
      <w:tr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Non-medical limits</w:t>
            </w:r>
          </w:p>
        </w:tc>
        <w:tc>
          <w:tcPr>
            <w:tcW w:type="pct" w:w="4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PKR 250k (56-60) to 3M (18-35), age-banded</w:t>
            </w:r>
          </w:p>
        </w:tc>
        <w:tc>
          <w:tcPr>
            <w:tcW w:type="pct" w:w="4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 publicly disclosed by any carrier — platform's bands are a plausible, unverified assumption</w:t>
            </w:r>
          </w:p>
        </w:tc>
      </w:tr>
      <w:tr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Commission structure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SECP Rule 24 / Form LG rates, 1 Adamjee-sourced rate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Traceable to cited rules; single-premium rate needs actuarial confirmation</w:t>
            </w:r>
          </w:p>
        </w:tc>
      </w:tr>
      <w:tr>
        <w:tc>
          <w:tcPr>
            <w:tcW w:type="pct" w:w="2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Digital decisioning</w:t>
            </w:r>
          </w:p>
        </w:tc>
        <w:tc>
          <w:tcPr>
            <w:tcW w:type="pct" w:w="4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LLM scoring + deterministic guardrail bands</w:t>
            </w:r>
          </w:p>
        </w:tc>
        <w:tc>
          <w:tcPr>
            <w:tcW w:type="pct" w:w="40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Consistent with Adamjee's own digital/automation investment — but only protects the business if the decision's downstream status mapping is consistent, which today it isn't</w:t>
            </w:r>
          </w:p>
        </w:tc>
      </w:tr>
      <w:tr>
        <w:tc>
          <w:tcPr>
            <w:tcW w:type="pct" w:w="2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Financial materiality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Pre-production platform</w:t>
            </w:r>
          </w:p>
        </w:tc>
        <w:tc>
          <w:tcPr>
            <w:tcW w:type="pct" w:w="40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Adamjee's ~PKR 3bn underwriting surplus / 12% margin shows the scale at which these gaps become P&amp;L-material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864" w:sz="6" w:space="3"/>
        </w:pBdr>
        <w:spacing w:after="100" w:before="260"/>
      </w:pPr>
      <w:r>
        <w:rPr>
          <w:b/>
          <w:bCs/>
          <w:color w:val="1F3864"/>
          <w:sz w:val="27"/>
          <w:szCs w:val="27"/>
        </w:rPr>
        <w:t xml:space="preserve">7. Proposed Rule Engine — Design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7.1 Principles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Single source of truth — </w:t>
      </w:r>
      <w:r>
        <w:rPr>
          <w:sz w:val="19"/>
          <w:szCs w:val="19"/>
        </w:rPr>
        <w:t xml:space="preserve">every rule in §4 evaluated in exactly one place; every service/client calls it instead of re-deriving.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Rules are data, not deploys — </w:t>
      </w:r>
      <w:r>
        <w:rPr>
          <w:sz w:val="19"/>
          <w:szCs w:val="19"/>
        </w:rPr>
        <w:t xml:space="preserve">a threshold/band/table is a versioned DB row an authorized non-engineer can change.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Explainable &amp; reproducible — </w:t>
      </w:r>
      <w:r>
        <w:rPr>
          <w:sz w:val="19"/>
          <w:szCs w:val="19"/>
        </w:rPr>
        <w:t xml:space="preserve">given a case + timestamp, reconstruct exactly which rule version fired and why.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Fail loud, not open — </w:t>
      </w:r>
      <w:r>
        <w:rPr>
          <w:sz w:val="19"/>
          <w:szCs w:val="19"/>
        </w:rPr>
        <w:t xml:space="preserve">an incomplete evaluation defaults to the most conservative outcome and says so — directly answering §4.10/§5's fail-open finding.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Additive, not a rewrite — </w:t>
      </w:r>
      <w:r>
        <w:rPr>
          <w:sz w:val="19"/>
          <w:szCs w:val="19"/>
        </w:rPr>
        <w:t xml:space="preserve">generalizes the pattern the policy state machine and premium calculator already use.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7.2 Taxonomy — 9 domains</w:t>
      </w:r>
    </w:p>
    <w:p>
      <w:pPr>
        <w:spacing w:after="90" w:line="244"/>
      </w:pPr>
      <w:r>
        <w:rPr>
          <w:sz w:val="19"/>
          <w:szCs w:val="19"/>
        </w:rPr>
        <w:t xml:space="preserve">Eligibility · Pricing &amp; Rating · Underwriting Gates · Compliance/AML · Medical/NML · Insurance History · Commission &amp; Statutory Payout · Authorization/RBAC · AI Decision Bands — each maps directly onto a §4 subsection.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7.3 Architecture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color w:val="444444"/>
          <w:sz w:val="16"/>
          <w:szCs w:val="16"/>
        </w:rPr>
        <w:t xml:space="preserve">POST /rules/evaluate {"rule_set":"pre_underwriting.gate_status","context":{...}}
-&gt; {"outcome":{...}, "reasons":[...], "rule_version":"...@v3", "evaluated_at":"..."}</w:t>
      </w:r>
    </w:p>
    <w:p>
      <w:pPr>
        <w:spacing w:after="90" w:line="244"/>
      </w:pPr>
      <w:r>
        <w:rPr>
          <w:sz w:val="19"/>
          <w:szCs w:val="19"/>
        </w:rPr>
        <w:t xml:space="preserve">Tier 1 — decision tables (the majority of §4: NML grid, commission rates, gate criteria, eligibility bands, RBAC lists) — versioned rows evaluated by a fixed, safe operator set (equals/in-set/range/boolean), deliberately not a general scripting language. Tier 2 — model-backed decisions: the AI scoring calls stay untouched; only the downstream composite weights, decision bands, and the (today triple-implemented) decision→status mapping move into the engine.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7.4 Data Model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color w:val="444444"/>
          <w:sz w:val="16"/>
          <w:szCs w:val="16"/>
        </w:rPr>
        <w:t xml:space="preserve">RuleSet(id, name, domain) -&gt; RuleVersion(id, version_no, status: draft|active|retired,
  effective_from/to, authored_by, approved_by) -&gt; Rule(condition, outcome, priority)
RuleEvaluationLog(rule_version_id, tenant_id, case_id, input, output, evaluated_at, actor)</w:t>
      </w:r>
    </w:p>
    <w:p>
      <w:pPr>
        <w:spacing w:after="90" w:line="244"/>
      </w:pPr>
      <w:r>
        <w:rPr>
          <w:sz w:val="19"/>
          <w:szCs w:val="19"/>
        </w:rPr>
        <w:t xml:space="preserve">Effective-dating means a past decision stays explainable after the rule that produced it has since changed — the log records the exact rule_version_id that fired.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7.5 Governance</w:t>
      </w:r>
    </w:p>
    <w:p>
      <w:pPr>
        <w:spacing w:after="90" w:line="244"/>
      </w:pPr>
      <w:r>
        <w:rPr>
          <w:sz w:val="19"/>
          <w:szCs w:val="19"/>
        </w:rPr>
        <w:t xml:space="preserve">Author + separate approver before draft → active (mandatory for Compliance/AML and Commission domains); the evaluation log is the SECP-facing audit trail; a Phase-5 rule-authoring UI lets compliance/actuarial/product change a table without a deploy, under the same workflow.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7.6 Migration Plan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Phase 0 — Freeze &amp; baseline: </w:t>
      </w:r>
      <w:r>
        <w:rPr>
          <w:sz w:val="19"/>
          <w:szCs w:val="19"/>
        </w:rPr>
        <w:t xml:space="preserve">this report is the frozen baseline.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Phase 1 — Pure-data rules (lowest risk): </w:t>
      </w:r>
      <w:r>
        <w:rPr>
          <w:sz w:val="19"/>
          <w:szCs w:val="19"/>
        </w:rPr>
        <w:t xml:space="preserve">commission table, NML grid, HLV, eligibility bands, gate criteria — mechanical extraction, collapses the largest duplication clusters immediately.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Phase 2 — Compliance/AML (highest sensitivity): </w:t>
      </w:r>
      <w:r>
        <w:rPr>
          <w:sz w:val="19"/>
          <w:szCs w:val="19"/>
        </w:rPr>
        <w:t xml:space="preserve">AML weights, REQUIRE_MANUAL_CLEARANCE policy, and the decision-status mapping move under mandatory governance from day one; legal/compliance sign-off gates the start.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Phase 3 — RBAC consolidation: </w:t>
      </w:r>
      <w:r>
        <w:rPr>
          <w:sz w:val="19"/>
          <w:szCs w:val="19"/>
        </w:rPr>
        <w:t xml:space="preserve">replace the 7 duplicated role-set names and 2 dead require_roles copies; fix the fail-open verify_admin gap as part of the same class of work.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Phase 4 — AI decision bands: </w:t>
      </w:r>
      <w:r>
        <w:rPr>
          <w:sz w:val="19"/>
          <w:szCs w:val="19"/>
        </w:rPr>
        <w:t xml:space="preserve">composite thresholds and the triple-implemented decision→status mapping become one Tier-2 rule set; scoring LLM calls untouched.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Phase 5 — Rule-authoring UI: </w:t>
      </w:r>
      <w:r>
        <w:rPr>
          <w:sz w:val="19"/>
          <w:szCs w:val="19"/>
        </w:rPr>
        <w:t xml:space="preserve">self-service table edits for compliance/actuarial/product, same governance workflow.</w:t>
      </w:r>
    </w:p>
    <w:p>
      <w:pPr>
        <w:pStyle w:val="Heading2"/>
        <w:keepNext/>
        <w:spacing w:after="70" w:before="160"/>
      </w:pPr>
      <w:r>
        <w:rPr>
          <w:b/>
          <w:bCs/>
          <w:color w:val="2E5395"/>
          <w:sz w:val="22"/>
          <w:szCs w:val="22"/>
        </w:rPr>
        <w:t xml:space="preserve">7.7 Cost of Inaction</w:t>
      </w:r>
    </w:p>
    <w:p>
      <w:pPr>
        <w:spacing w:after="90" w:line="244"/>
      </w:pPr>
      <w:r>
        <w:rPr>
          <w:sz w:val="19"/>
          <w:szCs w:val="19"/>
        </w:rPr>
        <w:t xml:space="preserve">The current architecture's failure mode isn't a crash — it's silent, plausible-looking disagreement between two parts of the same system: a case "Fully Cleared" on the portal that isn't ready per the backend; a commission paid at the wrong renewal-year rate; a policy issued under DEMO_MODE with 4 of 5 mandatory gates silently downgraded. None trip a monitor. They surface later, if at all, via a complaint, an audit, or a reconciliation.</w:t>
      </w:r>
    </w:p>
    <w:p>
      <w:pPr>
        <w:pStyle w:val="Heading1"/>
        <w:keepNext/>
        <w:pBdr>
          <w:bottom w:val="single" w:color="1F3864" w:sz="6" w:space="3"/>
        </w:pBdr>
        <w:spacing w:after="100" w:before="260"/>
      </w:pPr>
      <w:r>
        <w:rPr>
          <w:b/>
          <w:bCs/>
          <w:color w:val="1F3864"/>
          <w:sz w:val="27"/>
          <w:szCs w:val="27"/>
        </w:rPr>
        <w:t xml:space="preserve">8. Risks &amp; Mitigations of the Migration</w:t>
      </w:r>
    </w:p>
    <w:tbl>
      <w:tblPr>
        <w:tblW w:type="pct" w:w="100%"/>
        <w:tblBorders>
          <w:top w:val="single" w:color="B7C6DE" w:sz="4"/>
          <w:left w:val="single" w:color="B7C6DE" w:sz="4"/>
          <w:bottom w:val="single" w:color="B7C6DE" w:sz="4"/>
          <w:right w:val="single" w:color="B7C6DE" w:sz="4"/>
          <w:insideH w:val="single" w:color="B7C6DE" w:sz="4"/>
          <w:insideV w:val="single" w:color="B7C6DE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8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pct" w:w="62%"/>
            <w:shd w:fill="1F386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pct" w:w="38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Externalizing hot-path rules adds latency</w:t>
            </w:r>
          </w:p>
        </w:tc>
        <w:tc>
          <w:tcPr>
            <w:tcW w:type="pct" w:w="62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In-process caching of active rule versions, invalidated on publish — evaluate() can be a local call, not a network hop</w:t>
            </w:r>
          </w:p>
        </w:tc>
      </w:tr>
      <w:tr>
        <w:tc>
          <w:tcPr>
            <w:tcW w:type="pct" w:w="38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bad rule edit reaches production</w:t>
            </w:r>
          </w:p>
        </w:tc>
        <w:tc>
          <w:tcPr>
            <w:tcW w:type="pct" w:w="62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Mandatory draft/staging; dry-run re-evaluates recent real cases against a draft before it can be approved</w:t>
            </w:r>
          </w:p>
        </w:tc>
      </w:tr>
      <w:tr>
        <w:tc>
          <w:tcPr>
            <w:tcW w:type="pct" w:w="38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Team unfamiliarity with a new tool</w:t>
            </w:r>
          </w:p>
        </w:tc>
        <w:tc>
          <w:tcPr>
            <w:tcW w:type="pct" w:w="62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Phase 1 uses plain decision tables — the same shape the code already uses, no new DSL until the team has lived with the simple form</w:t>
            </w:r>
          </w:p>
        </w:tc>
      </w:tr>
      <w:tr>
        <w:tc>
          <w:tcPr>
            <w:tcW w:type="pct" w:w="38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Phase 2 touches regulator-sensitive logic</w:t>
            </w:r>
          </w:p>
        </w:tc>
        <w:tc>
          <w:tcPr>
            <w:tcW w:type="pct" w:w="62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Governance mandatory from the first rule moved; legal/compliance sign-off gates the phase's start</w:t>
            </w:r>
          </w:p>
        </w:tc>
      </w:tr>
      <w:tr>
        <w:tc>
          <w:tcPr>
            <w:tcW w:type="pct" w:w="38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Migration competes with the roadmap</w:t>
            </w:r>
          </w:p>
        </w:tc>
        <w:tc>
          <w:tcPr>
            <w:tcW w:type="pct" w:w="62%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Phases are independently shippable; Phase 1 alone can be scheduled as ordinary tech debt</w:t>
            </w:r>
          </w:p>
        </w:tc>
      </w:tr>
      <w:tr>
        <w:tc>
          <w:tcPr>
            <w:tcW w:type="pct" w:w="38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§5's fail-open/DEMO_MODE findings are pre-existing</w:t>
            </w:r>
          </w:p>
        </w:tc>
        <w:tc>
          <w:tcPr>
            <w:tcW w:type="pct" w:w="62%"/>
            <w:shd w:fill="F2F6FB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 w:line="224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Triage both immediately, independent of the migration timeline — they're logic/config fixes, not architecture</w:t>
            </w:r>
          </w:p>
        </w:tc>
      </w:tr>
    </w:tbl>
    <w:p>
      <w:pPr>
        <w:pStyle w:val="Heading1"/>
        <w:keepNext/>
        <w:pBdr>
          <w:bottom w:val="single" w:color="1F3864" w:sz="6" w:space="3"/>
        </w:pBdr>
        <w:spacing w:after="100" w:before="260"/>
      </w:pPr>
      <w:r>
        <w:rPr>
          <w:b/>
          <w:bCs/>
          <w:color w:val="1F3864"/>
          <w:sz w:val="27"/>
          <w:szCs w:val="27"/>
        </w:rPr>
        <w:t xml:space="preserve">9. Conclusion &amp; Recommendations</w:t>
      </w:r>
    </w:p>
    <w:p>
      <w:pPr>
        <w:spacing w:after="90" w:line="244"/>
      </w:pPr>
      <w:r>
        <w:rPr>
          <w:sz w:val="19"/>
          <w:szCs w:val="19"/>
        </w:rPr>
        <w:t xml:space="preserve">The platform's rules are, individually, largely sound and traceable to real regulation. The problem is that the same rule is written down independently 2-5 times, and the copies have already begun to disagree — silently, in ways nothing would flag as an error.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Triage the fail-open verify_admin guard and the DEMO_MODE default this sprint, independent of the rule-engine timeline.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Approve Phase 1 (pure-data extraction) as the immediate next step — lowest risk, highest duplication payoff, no new regulatory sign-off required.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Route Phase 2 (compliance/AML) through legal/compliance review before implementation begins.</w:t>
      </w:r>
    </w:p>
    <w:p>
      <w:pPr>
        <w:pStyle w:val="ListParagraph"/>
        <w:numPr>
          <w:ilvl w:val="0"/>
          <w:numId w:val="1"/>
        </w:numPr>
        <w:spacing w:after="50" w:line="232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Have the product/actuarial team verify the one commission rate cited to "Adamjee Life 2024 Report" that couldn't be confirmed against a public source.</w:t>
      </w:r>
    </w:p>
    <w:p>
      <w:pPr>
        <w:spacing w:after="90" w:line="244"/>
      </w:pPr>
      <w:r>
        <w:rPr>
          <w:i/>
          <w:iCs/>
          <w:color w:val="595959"/>
          <w:sz w:val="19"/>
          <w:szCs w:val="19"/>
        </w:rPr>
        <w:t xml:space="preserve">This report's codebase claims are reproducible against the file:line citations throughout §4-§5; its SECP/Adamjee claims are sourced inline in §3 and should be independently verified by the compliance team, not taken as a substitute for that review.</w:t>
      </w:r>
    </w:p>
    <w:sectPr>
      <w:pgSz w:w="11906" w:h="16838" w:orient="portrait"/>
      <w:pgMar w:top="936" w:right="1080" w:bottom="93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Centralized Business Rule Engine for the Insurance-AI Platform</dc:title>
  <dc:creator>Insurance-AI Platform — Internal R&amp;D</dc:creator>
  <dc:description>Current-state rule inventory, regulatory/market benchmark, and proposed rule-engine design.</dc:description>
  <cp:lastModifiedBy>Un-named</cp:lastModifiedBy>
  <cp:revision>1</cp:revision>
  <dcterms:created xsi:type="dcterms:W3CDTF">2026-08-12T20:47:17.732Z</dcterms:created>
  <dcterms:modified xsi:type="dcterms:W3CDTF">2026-08-12T20:47:17.732Z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