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a2f0a08a185542fb"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ee399893526f446f"/>
                    <a:stretch>
                      <a:fillRect/>
                    </a:stretch>
                  </pic:blipFill>
                  <pic:spPr>
                    <a:xfrm>
                      <a:off x="0" y="0"/>
                      <a:ext cx="7560000" cy="10692000"/>
                    </a:xfrm>
                    <a:prstGeom prst="rect"/>
                  </pic:spPr>
                </pic:pic>
              </a:graphicData>
            </a:graphic>
          </wp:anchor>
        </w:drawing>
      </w:r>
    </w:p>
    <w:p>
      <w:pPr>
        <w:spacing w:before="1200"/>
      </w:pPr>
      <w:r/>
    </w:p>
    <w:p>
      <w:pPr>
        <w:spacing w:after="600"/>
        <w:ind w:left="1200"/>
        <w:jc w:val="left"/>
      </w:pPr>
      <w:r>
        <w:rPr>
          <w:color w:val="d69e2e"/>
          <w:spacing w:val="60"/>
          <w:sz w:val="20"/>
        </w:rPr>
        <w:t>MIABE HACKATHON 2026  •  PROJET B-02</w:t>
      </w:r>
    </w:p>
    <w:p>
      <w:pPr>
        <w:spacing w:after="200"/>
        <w:ind w:left="1200" w:right="1200"/>
        <w:jc w:val="left"/>
      </w:pPr>
      <w:r>
        <w:rPr>
          <w:b/>
          <w:color w:val="FFFFFF"/>
          <w:sz w:val="72"/>
        </w:rPr>
        <w:t>ANALYSE DES COÛTS</w:t>
      </w:r>
    </w:p>
    <w:p>
      <w:pPr>
        <w:spacing w:after="400"/>
        <w:ind w:left="1200" w:right="1200"/>
        <w:jc w:val="left"/>
      </w:pPr>
      <w:r>
        <w:rPr>
          <w:b/>
          <w:color w:val="FFFFFF"/>
          <w:sz w:val="72"/>
        </w:rPr>
        <w:t>RÉELS</w:t>
      </w:r>
    </w:p>
    <w:p>
      <w:pPr>
        <w:spacing w:after="600"/>
        <w:ind w:left="1200" w:right="1200"/>
        <w:jc w:val="left"/>
      </w:pPr>
      <w:r>
        <w:rPr>
          <w:color w:val="d69e2e"/>
          <w:sz w:val="28"/>
        </w:rPr>
        <w:t>DES TRANSFERTS D'ARGENT</w:t>
      </w:r>
    </w:p>
    <w:p>
      <w:pPr>
        <w:spacing w:after="3000"/>
        <w:ind w:left="1200" w:right="1800"/>
        <w:jc w:val="left"/>
      </w:pPr>
      <w:r>
        <w:rPr>
          <w:color w:val="E2E8F0"/>
          <w:sz w:val="22"/>
        </w:rPr>
        <w:t>Diaspora béninoise → Bénin : comparaison de services, cas concrets et impact financier</w:t>
      </w:r>
    </w:p>
    <w:p>
      <w:pPr>
        <w:spacing w:after="120"/>
        <w:ind w:left="1200"/>
        <w:jc w:val="left"/>
      </w:pPr>
      <w:r>
        <w:rPr>
          <w:color w:val="A0AEC0"/>
          <w:sz w:val="18"/>
        </w:rPr>
        <w:t>Livrable Phase 1 — Document N°1</w:t>
      </w:r>
    </w:p>
    <w:p>
      <w:pPr>
        <w:ind w:left="1200"/>
        <w:jc w:val="left"/>
      </w:pPr>
      <w:r>
        <w:rPr>
          <w:color w:val="A0AEC0"/>
          <w:sz w:val="18"/>
        </w:rPr>
        <w:t>ODD 1 • ODD 8 • ODD 10</w:t>
      </w:r>
    </w:p>
    <w:p>
      <w:pPr>
        <w:sectPr>
          <w:type w:val="nextPage"/>
          <w:pgSz w:w="11906" w:h="16838"/>
          <w:pgMar w:top="0" w:right="0" w:bottom="0" w:left="0" w:header="0" w:footer="0"/>
        </w:sectPr>
      </w:pPr>
    </w:p>
    <w:p>
      <w:pPr>
        <w:pStyle w:val="Heading1"/>
        <w:spacing w:before="400"/>
      </w:pPr>
      <w:r>
        <w:t>Table des matières</w:t>
      </w:r>
    </w:p>
    <w:p>
      <w:pPr>
        <w:spacing w:after="300"/>
      </w:pPr>
      <w:r>
        <w:rPr>
          <w:color w:val="718096"/>
          <w:sz w:val="18"/>
        </w:rPr>
        <w:t>Clic droit sur la table → Mettre à jour le champ pour actualiser les numéros de page</w:t>
      </w:r>
    </w:p>
    <w:p>
      <w:r>
        <w:fldChar w:fldCharType="begin"/>
      </w:r>
      <w:r>
        <w:instrText xml:space="preserve"> TOC \o "1-3" \h \z \u </w:instrText>
      </w:r>
      <w:r>
        <w:fldChar w:fldCharType="separate"/>
      </w:r>
    </w:p>
    <w:p>
      <w:pPr>
        <w:pStyle w:val="TOC1"/>
      </w:pPr>
      <w:r>
        <w:t>Contexte : pourquoi les frais sont un problème de développement</w:t>
      </w:r>
      <w:r>
        <w:tab/>
      </w:r>
      <w:r>
        <w:t>3</w:t>
      </w:r>
    </w:p>
    <w:p>
      <w:pPr>
        <w:pStyle w:val="TOC1"/>
      </w:pPr>
      <w:r>
        <w:t>Analyse des services de transfert traditionnels</w:t>
      </w:r>
      <w:r>
        <w:tab/>
      </w:r>
      <w:r>
        <w:t>4</w:t>
      </w:r>
    </w:p>
    <w:p>
      <w:pPr>
        <w:pStyle w:val="TOC2"/>
      </w:pPr>
      <w:r>
        <w:t>Tableau comparatif</w:t>
      </w:r>
      <w:r>
        <w:tab/>
      </w:r>
      <w:r>
        <w:t>4</w:t>
      </w:r>
    </w:p>
    <w:p>
      <w:pPr>
        <w:pStyle w:val="TOC2"/>
      </w:pPr>
      <w:r>
        <w:t>Comparaison sur cinq niveaux de montants</w:t>
      </w:r>
      <w:r>
        <w:tab/>
      </w:r>
      <w:r>
        <w:t>5</w:t>
      </w:r>
    </w:p>
    <w:p>
      <w:pPr>
        <w:pStyle w:val="TOC1"/>
      </w:pPr>
      <w:r>
        <w:t>Zoom sur les principaux services</w:t>
      </w:r>
      <w:r>
        <w:tab/>
      </w:r>
      <w:r>
        <w:t>6</w:t>
      </w:r>
    </w:p>
    <w:p>
      <w:pPr>
        <w:pStyle w:val="TOC1"/>
      </w:pPr>
      <w:r>
        <w:t>Cas concrets : impact sur les familles</w:t>
      </w:r>
      <w:r>
        <w:tab/>
      </w:r>
      <w:r>
        <w:t>8</w:t>
      </w:r>
    </w:p>
    <w:p>
      <w:pPr>
        <w:pStyle w:val="TOC1"/>
      </w:pPr>
      <w:r>
        <w:t>Analyse structurelle des frais</w:t>
      </w:r>
      <w:r>
        <w:tab/>
      </w:r>
      <w:r>
        <w:t>10</w:t>
      </w:r>
    </w:p>
    <w:p>
      <w:pPr>
        <w:pStyle w:val="TOC1"/>
      </w:pPr>
      <w:r>
        <w:t>Synthèse et conclusion</w:t>
      </w:r>
      <w:r>
        <w:tab/>
      </w:r>
      <w:r>
        <w:t>11</w:t>
      </w:r>
    </w:p>
    <w:p>
      <w:r>
        <w:fldChar w:fldCharType="end"/>
      </w:r>
    </w:p>
    <w:p>
      <w:pPr>
        <w:sectPr>
          <w:type w:val="nextPage"/>
          <w:pgSz w:w="11906" w:h="16838"/>
          <w:pgMar w:top="1800" w:right="1440" w:bottom="1440" w:left="1440" w:header="720" w:footer="720"/>
        </w:sectPr>
      </w:pPr>
    </w:p>
    <w:p>
      <w:pPr>
        <w:pStyle w:val="Heading1"/>
      </w:pPr>
      <w:r>
        <w:t>1. Contexte : pourquoi les frais de transfert sont-ils un problème de développement ?</w:t>
      </w:r>
    </w:p>
    <w:p>
      <w:r>
        <w:t>Chaque année, la diaspora béninoise expédie entre 450 et 550 millions USD vers le Bénin (Banque Mondiale, 2022). Ces fonds représentent une bouée de survie pour des centaines de milliers de ménages : ils financent les soins de santé, la scolarisation des enfants, l'alimentation et parfois le démarrage de petites activités économiques.</w:t>
      </w:r>
    </w:p>
    <w:p>
      <w:r>
        <w:t>Pourtant, une fraction significative de ces transferts n'arrive jamais à destination. Elle est absorbée par des intermédiaires sous forme de frais qui s'accumulent à chaque maillon de la chaîne.</w:t>
      </w:r>
    </w:p>
    <w:p>
      <w:pPr>
        <w:pBdr>
          <w:left w:val="single" w:color="d69e2e" w:sz="24" w:space="10"/>
        </w:pBdr>
        <w:shd w:val="clear" w:fill="FFFBEB"/>
        <w:spacing w:before="240" w:after="240"/>
        <w:ind w:left="400" w:right="400"/>
      </w:pPr>
      <w:r>
        <w:rPr>
          <w:b/>
          <w:color w:val="1a365d"/>
          <w:sz w:val="22"/>
        </w:rPr>
        <w:t>DONNÉE CLÉ</w:t>
      </w:r>
      <w:r>
        <w:br/>
      </w:r>
      <w:r>
        <w:rPr>
          <w:color w:val="4a5568"/>
          <w:sz w:val="20"/>
        </w:rPr>
        <w:t>Banque Mondiale, Remittance Prices Worldwide Q4 2023 :
• Le coût moyen mondial d'un transfert de 200 USD est de 6,2 %.
• Le corridor Europe → Afrique subsaharienne coûte en moyenne 8,1 %.
• Le corridor France → Bénin coûte entre 6 % et 14 % selon le service.
• Une réduction à 3 % représenterait 70 à 100 millions USD supplémentaires restitués chaque année aux familles béninoises.</w:t>
      </w:r>
    </w:p>
    <w:p>
      <w:r>
        <w:br w:type="page"/>
      </w:r>
    </w:p>
    <w:p>
      <w:pPr>
        <w:pStyle w:val="Heading1"/>
      </w:pPr>
      <w:r>
        <w:t>2. Analyse des services de transfert traditionnels</w:t>
      </w:r>
    </w:p>
    <w:p>
      <w:r>
        <w:t>Cette section documente les frais réels prélevés par chaque service sur le corridor France/Europe → Bénin, mesurés sur un envoi de référence de 200 USD.</w:t>
      </w:r>
    </w:p>
    <w:p>
      <w:pPr>
        <w:pStyle w:val="Heading2"/>
      </w:pPr>
      <w:r>
        <w:t>2.1 Tableau comparatif — transfert de 200 USD vers le Bénin</w:t>
      </w:r>
    </w:p>
    <w:p>
      <w:pPr>
        <w:keepNext/>
      </w:pPr>
      <w:r>
        <w:rPr>
          <w:color w:val="718096"/>
          <w:sz w:val="20"/>
        </w:rPr>
        <w:t>Données collectées en avril 2025 auprès des simulateurs officiels de chaque opérateur.</w:t>
      </w:r>
    </w:p>
    <w:tbl>
      <w:tblPr>
        <w:tblW w:w="5000" w:type="pct"/>
        <w:tblBorders>
          <w:top w:val="single" w:color="1a365d" w:sz="12"/>
          <w:left w:val="nil"/>
          <w:bottom w:val="single" w:color="1a365d" w:sz="12"/>
          <w:right w:val="nil"/>
          <w:insideH w:val="single" w:color="E2E8F0" w:sz="4"/>
          <w:insideV w:val="nil"/>
        </w:tblBorders>
        <w:tblCellMar>
          <w:top w:w="100" w:type="dxa"/>
          <w:left w:w="150" w:type="dxa"/>
          <w:bottom w:w="100" w:type="dxa"/>
          <w:right w:w="150" w:type="dxa"/>
        </w:tblCellMar>
      </w:tblPr>
      <w:tblGrid>
        <w:gridCol w:w="2800"/>
        <w:gridCol w:w="1600"/>
        <w:gridCol w:w="1400"/>
        <w:gridCol w:w="1600"/>
        <w:gridCol w:w="1600"/>
      </w:tblGrid>
      <w:tr>
        <w:trPr>
          <w:tblHeader/>
          <w:trHeight w:val="400" w:hRule="atLeast"/>
        </w:trPr>
        <w:tc>
          <w:tcPr>
            <w:tcW w:w="0" w:type="auto"/>
            <w:shd w:val="clear" w:fill="1a365d"/>
            <w:vAlign w:val="center"/>
          </w:tcPr>
          <w:p>
            <w:pPr>
              <w:spacing w:before="0" w:after="0"/>
              <w:jc w:val="center"/>
            </w:pPr>
            <w:r>
              <w:rPr>
                <w:b/>
                <w:color w:val="FFFFFF"/>
                <w:sz w:val="20"/>
              </w:rPr>
              <w:t>Service</w:t>
            </w:r>
          </w:p>
        </w:tc>
        <w:tc>
          <w:tcPr>
            <w:tcW w:w="0" w:type="auto"/>
            <w:shd w:val="clear" w:fill="1a365d"/>
            <w:vAlign w:val="center"/>
          </w:tcPr>
          <w:p>
            <w:pPr>
              <w:spacing w:before="0" w:after="0"/>
              <w:jc w:val="center"/>
            </w:pPr>
            <w:r>
              <w:rPr>
                <w:b/>
                <w:color w:val="FFFFFF"/>
                <w:sz w:val="20"/>
              </w:rPr>
              <w:t>Frais (200 USD)</w:t>
            </w:r>
          </w:p>
        </w:tc>
        <w:tc>
          <w:tcPr>
            <w:tcW w:w="0" w:type="auto"/>
            <w:shd w:val="clear" w:fill="1a365d"/>
            <w:vAlign w:val="center"/>
          </w:tcPr>
          <w:p>
            <w:pPr>
              <w:spacing w:before="0" w:after="0"/>
              <w:jc w:val="center"/>
            </w:pPr>
            <w:r>
              <w:rPr>
                <w:b/>
                <w:color w:val="FFFFFF"/>
                <w:sz w:val="20"/>
              </w:rPr>
              <w:t>Frais %</w:t>
            </w:r>
          </w:p>
        </w:tc>
        <w:tc>
          <w:tcPr>
            <w:tcW w:w="0" w:type="auto"/>
            <w:shd w:val="clear" w:fill="1a365d"/>
            <w:vAlign w:val="center"/>
          </w:tcPr>
          <w:p>
            <w:pPr>
              <w:spacing w:before="0" w:after="0"/>
              <w:jc w:val="center"/>
            </w:pPr>
            <w:r>
              <w:rPr>
                <w:b/>
                <w:color w:val="FFFFFF"/>
                <w:sz w:val="20"/>
              </w:rPr>
              <w:t>Délai</w:t>
            </w:r>
          </w:p>
        </w:tc>
        <w:tc>
          <w:tcPr>
            <w:tcW w:w="0" w:type="auto"/>
            <w:shd w:val="clear" w:fill="1a365d"/>
            <w:vAlign w:val="center"/>
          </w:tcPr>
          <w:p>
            <w:pPr>
              <w:spacing w:before="0" w:after="0"/>
              <w:jc w:val="center"/>
            </w:pPr>
            <w:r>
              <w:rPr>
                <w:b/>
                <w:color w:val="FFFFFF"/>
                <w:sz w:val="20"/>
              </w:rPr>
              <w:t>Montant reçu</w:t>
            </w:r>
          </w:p>
        </w:tc>
      </w:tr>
      <w:tr>
        <w:trPr>
          <w:trHeight w:val="360" w:hRule="atLeast"/>
        </w:trPr>
        <w:tc>
          <w:tcPr>
            <w:tcW w:w="0" w:type="auto"/>
            <w:shd w:val="clear" w:fill="FFFFFF"/>
            <w:vAlign w:val="center"/>
          </w:tcPr>
          <w:p>
            <w:pPr>
              <w:spacing w:before="0" w:after="0"/>
              <w:jc w:val="left"/>
            </w:pPr>
            <w:r>
              <w:rPr>
                <w:b w:val="false"/>
                <w:color w:val="1a202c"/>
                <w:sz w:val="20"/>
              </w:rPr>
              <w:t>Western Union (en ligne)</w:t>
            </w:r>
          </w:p>
        </w:tc>
        <w:tc>
          <w:tcPr>
            <w:tcW w:w="0" w:type="auto"/>
            <w:shd w:val="clear" w:fill="FFFFFF"/>
            <w:vAlign w:val="center"/>
          </w:tcPr>
          <w:p>
            <w:pPr>
              <w:spacing w:before="0" w:after="0"/>
              <w:jc w:val="center"/>
            </w:pPr>
            <w:r>
              <w:rPr>
                <w:b w:val="false"/>
                <w:color w:val="1a202c"/>
                <w:sz w:val="20"/>
              </w:rPr>
              <w:t>28,00 USD</w:t>
            </w:r>
          </w:p>
        </w:tc>
        <w:tc>
          <w:tcPr>
            <w:tcW w:w="0" w:type="auto"/>
            <w:shd w:val="clear" w:fill="FFFFFF"/>
            <w:vAlign w:val="center"/>
          </w:tcPr>
          <w:p>
            <w:pPr>
              <w:spacing w:before="0" w:after="0"/>
              <w:jc w:val="center"/>
            </w:pPr>
            <w:r>
              <w:rPr>
                <w:b w:val="false"/>
                <w:color w:val="1a202c"/>
                <w:sz w:val="20"/>
              </w:rPr>
              <w:t>14,0 %</w:t>
            </w:r>
          </w:p>
        </w:tc>
        <w:tc>
          <w:tcPr>
            <w:tcW w:w="0" w:type="auto"/>
            <w:shd w:val="clear" w:fill="FFFFFF"/>
            <w:vAlign w:val="center"/>
          </w:tcPr>
          <w:p>
            <w:pPr>
              <w:spacing w:before="0" w:after="0"/>
              <w:jc w:val="center"/>
            </w:pPr>
            <w:r>
              <w:rPr>
                <w:b w:val="false"/>
                <w:color w:val="1a202c"/>
                <w:sz w:val="20"/>
              </w:rPr>
              <w:t>&lt; 1 heure</w:t>
            </w:r>
          </w:p>
        </w:tc>
        <w:tc>
          <w:tcPr>
            <w:tcW w:w="0" w:type="auto"/>
            <w:shd w:val="clear" w:fill="FFFFFF"/>
            <w:vAlign w:val="center"/>
          </w:tcPr>
          <w:p>
            <w:pPr>
              <w:spacing w:before="0" w:after="0"/>
              <w:jc w:val="center"/>
            </w:pPr>
            <w:r>
              <w:rPr>
                <w:b w:val="false"/>
                <w:color w:val="1a202c"/>
                <w:sz w:val="20"/>
              </w:rPr>
              <w:t>172,00 USD</w:t>
            </w:r>
          </w:p>
        </w:tc>
      </w:tr>
      <w:tr>
        <w:trPr>
          <w:trHeight w:val="360" w:hRule="atLeast"/>
        </w:trPr>
        <w:tc>
          <w:tcPr>
            <w:tcW w:w="0" w:type="auto"/>
            <w:shd w:val="clear" w:fill="FFFFFF"/>
            <w:vAlign w:val="center"/>
          </w:tcPr>
          <w:p>
            <w:pPr>
              <w:spacing w:before="0" w:after="0"/>
              <w:jc w:val="left"/>
            </w:pPr>
            <w:r>
              <w:rPr>
                <w:b w:val="false"/>
                <w:color w:val="1a202c"/>
                <w:sz w:val="20"/>
              </w:rPr>
              <w:t>MoneyGram (agence)</w:t>
            </w:r>
          </w:p>
        </w:tc>
        <w:tc>
          <w:tcPr>
            <w:tcW w:w="0" w:type="auto"/>
            <w:shd w:val="clear" w:fill="FFFFFF"/>
            <w:vAlign w:val="center"/>
          </w:tcPr>
          <w:p>
            <w:pPr>
              <w:spacing w:before="0" w:after="0"/>
              <w:jc w:val="center"/>
            </w:pPr>
            <w:r>
              <w:rPr>
                <w:b w:val="false"/>
                <w:color w:val="1a202c"/>
                <w:sz w:val="20"/>
              </w:rPr>
              <w:t>22,00 USD</w:t>
            </w:r>
          </w:p>
        </w:tc>
        <w:tc>
          <w:tcPr>
            <w:tcW w:w="0" w:type="auto"/>
            <w:shd w:val="clear" w:fill="FFFFFF"/>
            <w:vAlign w:val="center"/>
          </w:tcPr>
          <w:p>
            <w:pPr>
              <w:spacing w:before="0" w:after="0"/>
              <w:jc w:val="center"/>
            </w:pPr>
            <w:r>
              <w:rPr>
                <w:b w:val="false"/>
                <w:color w:val="1a202c"/>
                <w:sz w:val="20"/>
              </w:rPr>
              <w:t>11,0 %</w:t>
            </w:r>
          </w:p>
        </w:tc>
        <w:tc>
          <w:tcPr>
            <w:tcW w:w="0" w:type="auto"/>
            <w:shd w:val="clear" w:fill="FFFFFF"/>
            <w:vAlign w:val="center"/>
          </w:tcPr>
          <w:p>
            <w:pPr>
              <w:spacing w:before="0" w:after="0"/>
              <w:jc w:val="center"/>
            </w:pPr>
            <w:r>
              <w:rPr>
                <w:b w:val="false"/>
                <w:color w:val="1a202c"/>
                <w:sz w:val="20"/>
              </w:rPr>
              <w:t>&lt; 1 heure</w:t>
            </w:r>
          </w:p>
        </w:tc>
        <w:tc>
          <w:tcPr>
            <w:tcW w:w="0" w:type="auto"/>
            <w:shd w:val="clear" w:fill="FFFFFF"/>
            <w:vAlign w:val="center"/>
          </w:tcPr>
          <w:p>
            <w:pPr>
              <w:spacing w:before="0" w:after="0"/>
              <w:jc w:val="center"/>
            </w:pPr>
            <w:r>
              <w:rPr>
                <w:b w:val="false"/>
                <w:color w:val="1a202c"/>
                <w:sz w:val="20"/>
              </w:rPr>
              <w:t>178,00 USD</w:t>
            </w:r>
          </w:p>
        </w:tc>
      </w:tr>
      <w:tr>
        <w:trPr>
          <w:trHeight w:val="360" w:hRule="atLeast"/>
        </w:trPr>
        <w:tc>
          <w:tcPr>
            <w:tcW w:w="0" w:type="auto"/>
            <w:shd w:val="clear" w:fill="FFFFFF"/>
            <w:vAlign w:val="center"/>
          </w:tcPr>
          <w:p>
            <w:pPr>
              <w:spacing w:before="0" w:after="0"/>
              <w:jc w:val="left"/>
            </w:pPr>
            <w:r>
              <w:rPr>
                <w:b w:val="false"/>
                <w:color w:val="1a202c"/>
                <w:sz w:val="20"/>
              </w:rPr>
              <w:t>Banque (virement SWIFT)</w:t>
            </w:r>
          </w:p>
        </w:tc>
        <w:tc>
          <w:tcPr>
            <w:tcW w:w="0" w:type="auto"/>
            <w:shd w:val="clear" w:fill="FFFFFF"/>
            <w:vAlign w:val="center"/>
          </w:tcPr>
          <w:p>
            <w:pPr>
              <w:spacing w:before="0" w:after="0"/>
              <w:jc w:val="center"/>
            </w:pPr>
            <w:r>
              <w:rPr>
                <w:b w:val="false"/>
                <w:color w:val="1a202c"/>
                <w:sz w:val="20"/>
              </w:rPr>
              <w:t>30–45 USD</w:t>
            </w:r>
          </w:p>
        </w:tc>
        <w:tc>
          <w:tcPr>
            <w:tcW w:w="0" w:type="auto"/>
            <w:shd w:val="clear" w:fill="FFFFFF"/>
            <w:vAlign w:val="center"/>
          </w:tcPr>
          <w:p>
            <w:pPr>
              <w:spacing w:before="0" w:after="0"/>
              <w:jc w:val="center"/>
            </w:pPr>
            <w:r>
              <w:rPr>
                <w:b w:val="false"/>
                <w:color w:val="1a202c"/>
                <w:sz w:val="20"/>
              </w:rPr>
              <w:t>15–22 %</w:t>
            </w:r>
          </w:p>
        </w:tc>
        <w:tc>
          <w:tcPr>
            <w:tcW w:w="0" w:type="auto"/>
            <w:shd w:val="clear" w:fill="FFFFFF"/>
            <w:vAlign w:val="center"/>
          </w:tcPr>
          <w:p>
            <w:pPr>
              <w:spacing w:before="0" w:after="0"/>
              <w:jc w:val="center"/>
            </w:pPr>
            <w:r>
              <w:rPr>
                <w:b w:val="false"/>
                <w:color w:val="1a202c"/>
                <w:sz w:val="20"/>
              </w:rPr>
              <w:t>3–5 jours</w:t>
            </w:r>
          </w:p>
        </w:tc>
        <w:tc>
          <w:tcPr>
            <w:tcW w:w="0" w:type="auto"/>
            <w:shd w:val="clear" w:fill="FFFFFF"/>
            <w:vAlign w:val="center"/>
          </w:tcPr>
          <w:p>
            <w:pPr>
              <w:spacing w:before="0" w:after="0"/>
              <w:jc w:val="center"/>
            </w:pPr>
            <w:r>
              <w:rPr>
                <w:b w:val="false"/>
                <w:color w:val="1a202c"/>
                <w:sz w:val="20"/>
              </w:rPr>
              <w:t>155–170 USD</w:t>
            </w:r>
          </w:p>
        </w:tc>
      </w:tr>
      <w:tr>
        <w:trPr>
          <w:trHeight w:val="360" w:hRule="atLeast"/>
        </w:trPr>
        <w:tc>
          <w:tcPr>
            <w:tcW w:w="0" w:type="auto"/>
            <w:shd w:val="clear" w:fill="FFFFFF"/>
            <w:vAlign w:val="center"/>
          </w:tcPr>
          <w:p>
            <w:pPr>
              <w:spacing w:before="0" w:after="0"/>
              <w:jc w:val="left"/>
            </w:pPr>
            <w:r>
              <w:rPr>
                <w:b w:val="false"/>
                <w:color w:val="1a202c"/>
                <w:sz w:val="20"/>
              </w:rPr>
              <w:t>Wave / CinetPay</w:t>
            </w:r>
          </w:p>
        </w:tc>
        <w:tc>
          <w:tcPr>
            <w:tcW w:w="0" w:type="auto"/>
            <w:shd w:val="clear" w:fill="FFFFFF"/>
            <w:vAlign w:val="center"/>
          </w:tcPr>
          <w:p>
            <w:pPr>
              <w:spacing w:before="0" w:after="0"/>
              <w:jc w:val="center"/>
            </w:pPr>
            <w:r>
              <w:rPr>
                <w:b w:val="false"/>
                <w:color w:val="1a202c"/>
                <w:sz w:val="20"/>
              </w:rPr>
              <w:t>10,00 USD</w:t>
            </w:r>
          </w:p>
        </w:tc>
        <w:tc>
          <w:tcPr>
            <w:tcW w:w="0" w:type="auto"/>
            <w:shd w:val="clear" w:fill="FFFFFF"/>
            <w:vAlign w:val="center"/>
          </w:tcPr>
          <w:p>
            <w:pPr>
              <w:spacing w:before="0" w:after="0"/>
              <w:jc w:val="center"/>
            </w:pPr>
            <w:r>
              <w:rPr>
                <w:b w:val="false"/>
                <w:color w:val="1a202c"/>
                <w:sz w:val="20"/>
              </w:rPr>
              <w:t>5,0 %</w:t>
            </w:r>
          </w:p>
        </w:tc>
        <w:tc>
          <w:tcPr>
            <w:tcW w:w="0" w:type="auto"/>
            <w:shd w:val="clear" w:fill="FFFFFF"/>
            <w:vAlign w:val="center"/>
          </w:tcPr>
          <w:p>
            <w:pPr>
              <w:spacing w:before="0" w:after="0"/>
              <w:jc w:val="center"/>
            </w:pPr>
            <w:r>
              <w:rPr>
                <w:b w:val="false"/>
                <w:color w:val="1a202c"/>
                <w:sz w:val="20"/>
              </w:rPr>
              <w:t>&lt; 30 min</w:t>
            </w:r>
          </w:p>
        </w:tc>
        <w:tc>
          <w:tcPr>
            <w:tcW w:w="0" w:type="auto"/>
            <w:shd w:val="clear" w:fill="FFFFFF"/>
            <w:vAlign w:val="center"/>
          </w:tcPr>
          <w:p>
            <w:pPr>
              <w:spacing w:before="0" w:after="0"/>
              <w:jc w:val="center"/>
            </w:pPr>
            <w:r>
              <w:rPr>
                <w:b w:val="false"/>
                <w:color w:val="1a202c"/>
                <w:sz w:val="20"/>
              </w:rPr>
              <w:t>190,00 USD</w:t>
            </w:r>
          </w:p>
        </w:tc>
      </w:tr>
      <w:tr>
        <w:trPr>
          <w:trHeight w:val="360" w:hRule="atLeast"/>
        </w:trPr>
        <w:tc>
          <w:tcPr>
            <w:tcW w:w="0" w:type="auto"/>
            <w:shd w:val="clear" w:fill="FFFFFF"/>
            <w:vAlign w:val="center"/>
          </w:tcPr>
          <w:p>
            <w:pPr>
              <w:spacing w:before="0" w:after="0"/>
              <w:jc w:val="left"/>
            </w:pPr>
            <w:r>
              <w:rPr>
                <w:b w:val="false"/>
                <w:color w:val="1a202c"/>
                <w:sz w:val="20"/>
              </w:rPr>
              <w:t>WorldRemit</w:t>
            </w:r>
          </w:p>
        </w:tc>
        <w:tc>
          <w:tcPr>
            <w:tcW w:w="0" w:type="auto"/>
            <w:shd w:val="clear" w:fill="FFFFFF"/>
            <w:vAlign w:val="center"/>
          </w:tcPr>
          <w:p>
            <w:pPr>
              <w:spacing w:before="0" w:after="0"/>
              <w:jc w:val="center"/>
            </w:pPr>
            <w:r>
              <w:rPr>
                <w:b w:val="false"/>
                <w:color w:val="1a202c"/>
                <w:sz w:val="20"/>
              </w:rPr>
              <w:t>14,00 USD</w:t>
            </w:r>
          </w:p>
        </w:tc>
        <w:tc>
          <w:tcPr>
            <w:tcW w:w="0" w:type="auto"/>
            <w:shd w:val="clear" w:fill="FFFFFF"/>
            <w:vAlign w:val="center"/>
          </w:tcPr>
          <w:p>
            <w:pPr>
              <w:spacing w:before="0" w:after="0"/>
              <w:jc w:val="center"/>
            </w:pPr>
            <w:r>
              <w:rPr>
                <w:b w:val="false"/>
                <w:color w:val="1a202c"/>
                <w:sz w:val="20"/>
              </w:rPr>
              <w:t>7,0 %</w:t>
            </w:r>
          </w:p>
        </w:tc>
        <w:tc>
          <w:tcPr>
            <w:tcW w:w="0" w:type="auto"/>
            <w:shd w:val="clear" w:fill="FFFFFF"/>
            <w:vAlign w:val="center"/>
          </w:tcPr>
          <w:p>
            <w:pPr>
              <w:spacing w:before="0" w:after="0"/>
              <w:jc w:val="center"/>
            </w:pPr>
            <w:r>
              <w:rPr>
                <w:b w:val="false"/>
                <w:color w:val="1a202c"/>
                <w:sz w:val="20"/>
              </w:rPr>
              <w:t>&lt; 1 heure</w:t>
            </w:r>
          </w:p>
        </w:tc>
        <w:tc>
          <w:tcPr>
            <w:tcW w:w="0" w:type="auto"/>
            <w:shd w:val="clear" w:fill="FFFFFF"/>
            <w:vAlign w:val="center"/>
          </w:tcPr>
          <w:p>
            <w:pPr>
              <w:spacing w:before="0" w:after="0"/>
              <w:jc w:val="center"/>
            </w:pPr>
            <w:r>
              <w:rPr>
                <w:b w:val="false"/>
                <w:color w:val="1a202c"/>
                <w:sz w:val="20"/>
              </w:rPr>
              <w:t>186,00 USD</w:t>
            </w:r>
          </w:p>
        </w:tc>
      </w:tr>
      <w:tr>
        <w:trPr>
          <w:trHeight w:val="360" w:hRule="atLeast"/>
        </w:trPr>
        <w:tc>
          <w:tcPr>
            <w:tcW w:w="0" w:type="auto"/>
            <w:shd w:val="clear" w:fill="FFF5E6"/>
            <w:vAlign w:val="center"/>
          </w:tcPr>
          <w:p>
            <w:pPr>
              <w:spacing w:before="0" w:after="0"/>
              <w:jc w:val="left"/>
            </w:pPr>
            <w:r>
              <w:rPr>
                <w:b w:val="true"/>
                <w:color w:val="ed8936"/>
                <w:sz w:val="20"/>
              </w:rPr>
              <w:t>DiasporaConnect</w:t>
            </w:r>
          </w:p>
        </w:tc>
        <w:tc>
          <w:tcPr>
            <w:tcW w:w="0" w:type="auto"/>
            <w:shd w:val="clear" w:fill="FFF5E6"/>
            <w:vAlign w:val="center"/>
          </w:tcPr>
          <w:p>
            <w:pPr>
              <w:spacing w:before="0" w:after="0"/>
              <w:jc w:val="center"/>
            </w:pPr>
            <w:r>
              <w:rPr>
                <w:b w:val="false"/>
                <w:color w:val="ed8936"/>
                <w:sz w:val="20"/>
              </w:rPr>
              <w:t>&lt; 2,00 USD</w:t>
            </w:r>
          </w:p>
        </w:tc>
        <w:tc>
          <w:tcPr>
            <w:tcW w:w="0" w:type="auto"/>
            <w:shd w:val="clear" w:fill="FFF5E6"/>
            <w:vAlign w:val="center"/>
          </w:tcPr>
          <w:p>
            <w:pPr>
              <w:spacing w:before="0" w:after="0"/>
              <w:jc w:val="center"/>
            </w:pPr>
            <w:r>
              <w:rPr>
                <w:b w:val="false"/>
                <w:color w:val="ed8936"/>
                <w:sz w:val="20"/>
              </w:rPr>
              <w:t>&lt; 1,0 %</w:t>
            </w:r>
          </w:p>
        </w:tc>
        <w:tc>
          <w:tcPr>
            <w:tcW w:w="0" w:type="auto"/>
            <w:shd w:val="clear" w:fill="FFF5E6"/>
            <w:vAlign w:val="center"/>
          </w:tcPr>
          <w:p>
            <w:pPr>
              <w:spacing w:before="0" w:after="0"/>
              <w:jc w:val="center"/>
            </w:pPr>
            <w:r>
              <w:rPr>
                <w:b w:val="false"/>
                <w:color w:val="ed8936"/>
                <w:sz w:val="20"/>
              </w:rPr>
              <w:t>&lt; 1 min</w:t>
            </w:r>
          </w:p>
        </w:tc>
        <w:tc>
          <w:tcPr>
            <w:tcW w:w="0" w:type="auto"/>
            <w:shd w:val="clear" w:fill="FFF5E6"/>
            <w:vAlign w:val="center"/>
          </w:tcPr>
          <w:p>
            <w:pPr>
              <w:spacing w:before="0" w:after="0"/>
              <w:jc w:val="center"/>
            </w:pPr>
            <w:r>
              <w:rPr>
                <w:b w:val="false"/>
                <w:color w:val="ed8936"/>
                <w:sz w:val="20"/>
              </w:rPr>
              <w:t>&gt; 198,00 USD</w:t>
            </w:r>
          </w:p>
        </w:tc>
      </w:tr>
    </w:tbl>
    <w:p>
      <w:pPr>
        <w:pStyle w:val="Caption"/>
      </w:pPr>
      <w:r>
        <w:t>Tableau 1 : Comparaison des frais pour un transfert de 200 USD</w:t>
      </w:r>
    </w:p>
    <w:p>
      <w:pPr>
        <w:pStyle w:val="Heading2"/>
      </w:pPr>
      <w:r>
        <w:t>2.2 Comparaison sur cinq niveaux de montants</w:t>
      </w:r>
    </w:p>
    <w:p>
      <w:r>
        <w:t>Le tableau ci-dessous illustre la structure des frais par montant. Les frais des banques SWIFT sont particulièrement pénalisants pour les petits montants.</w:t>
      </w:r>
    </w:p>
    <w:tbl>
      <w:tblPr>
        <w:tblW w:w="5000" w:type="pct"/>
        <w:tblBorders>
          <w:top w:val="single" w:color="1a365d" w:sz="12"/>
          <w:left w:val="nil"/>
          <w:bottom w:val="single" w:color="1a365d" w:sz="12"/>
          <w:right w:val="nil"/>
          <w:insideH w:val="single" w:color="E2E8F0" w:sz="4"/>
          <w:insideV w:val="nil"/>
        </w:tblBorders>
        <w:tblCellMar>
          <w:top w:w="80" w:type="dxa"/>
          <w:left w:w="120" w:type="dxa"/>
          <w:bottom w:w="80" w:type="dxa"/>
          <w:right w:w="120" w:type="dxa"/>
        </w:tblCellMar>
      </w:tblPr>
      <w:tblGrid>
        <w:gridCol w:w="2200"/>
        <w:gridCol w:w="1400"/>
        <w:gridCol w:w="1400"/>
        <w:gridCol w:w="1400"/>
        <w:gridCol w:w="1400"/>
        <w:gridCol w:w="1400"/>
      </w:tblGrid>
      <w:tr>
        <w:trPr>
          <w:tblHeader/>
          <w:trHeight w:val="400" w:hRule="atLeast"/>
        </w:trPr>
        <w:tc>
          <w:tcPr>
            <w:tcW w:w="0" w:type="auto"/>
            <w:shd w:val="clear" w:fill="1a365d"/>
            <w:vAlign w:val="center"/>
          </w:tcPr>
          <w:p>
            <w:pPr>
              <w:spacing w:before="0" w:after="0"/>
              <w:jc w:val="center"/>
            </w:pPr>
            <w:r>
              <w:rPr>
                <w:b/>
                <w:color w:val="FFFFFF"/>
                <w:sz w:val="20"/>
              </w:rPr>
              <w:t>Service / Montant</w:t>
            </w:r>
          </w:p>
        </w:tc>
        <w:tc>
          <w:tcPr>
            <w:tcW w:w="0" w:type="auto"/>
            <w:shd w:val="clear" w:fill="1a365d"/>
            <w:vAlign w:val="center"/>
          </w:tcPr>
          <w:p>
            <w:pPr>
              <w:spacing w:before="0" w:after="0"/>
              <w:jc w:val="center"/>
            </w:pPr>
            <w:r>
              <w:rPr>
                <w:b/>
                <w:color w:val="FFFFFF"/>
                <w:sz w:val="20"/>
              </w:rPr>
              <w:t>50 USD</w:t>
            </w:r>
          </w:p>
        </w:tc>
        <w:tc>
          <w:tcPr>
            <w:tcW w:w="0" w:type="auto"/>
            <w:shd w:val="clear" w:fill="1a365d"/>
            <w:vAlign w:val="center"/>
          </w:tcPr>
          <w:p>
            <w:pPr>
              <w:spacing w:before="0" w:after="0"/>
              <w:jc w:val="center"/>
            </w:pPr>
            <w:r>
              <w:rPr>
                <w:b/>
                <w:color w:val="FFFFFF"/>
                <w:sz w:val="20"/>
              </w:rPr>
              <w:t>100 USD</w:t>
            </w:r>
          </w:p>
        </w:tc>
        <w:tc>
          <w:tcPr>
            <w:tcW w:w="0" w:type="auto"/>
            <w:shd w:val="clear" w:fill="1a365d"/>
            <w:vAlign w:val="center"/>
          </w:tcPr>
          <w:p>
            <w:pPr>
              <w:spacing w:before="0" w:after="0"/>
              <w:jc w:val="center"/>
            </w:pPr>
            <w:r>
              <w:rPr>
                <w:b/>
                <w:color w:val="FFFFFF"/>
                <w:sz w:val="20"/>
              </w:rPr>
              <w:t>200 USD</w:t>
            </w:r>
          </w:p>
        </w:tc>
        <w:tc>
          <w:tcPr>
            <w:tcW w:w="0" w:type="auto"/>
            <w:shd w:val="clear" w:fill="1a365d"/>
            <w:vAlign w:val="center"/>
          </w:tcPr>
          <w:p>
            <w:pPr>
              <w:spacing w:before="0" w:after="0"/>
              <w:jc w:val="center"/>
            </w:pPr>
            <w:r>
              <w:rPr>
                <w:b/>
                <w:color w:val="FFFFFF"/>
                <w:sz w:val="20"/>
              </w:rPr>
              <w:t>300 USD</w:t>
            </w:r>
          </w:p>
        </w:tc>
        <w:tc>
          <w:tcPr>
            <w:tcW w:w="0" w:type="auto"/>
            <w:shd w:val="clear" w:fill="1a365d"/>
            <w:vAlign w:val="center"/>
          </w:tcPr>
          <w:p>
            <w:pPr>
              <w:spacing w:before="0" w:after="0"/>
              <w:jc w:val="center"/>
            </w:pPr>
            <w:r>
              <w:rPr>
                <w:b/>
                <w:color w:val="FFFFFF"/>
                <w:sz w:val="20"/>
              </w:rPr>
              <w:t>500 USD</w:t>
            </w:r>
          </w:p>
        </w:tc>
      </w:tr>
      <w:tr>
        <w:trPr>
          <w:trHeight w:val="360" w:hRule="atLeast"/>
        </w:trPr>
        <w:tc>
          <w:tcPr>
            <w:tcW w:w="0" w:type="auto"/>
            <w:shd w:val="clear" w:fill="FFFFFF"/>
            <w:vAlign w:val="center"/>
          </w:tcPr>
          <w:p>
            <w:pPr>
              <w:spacing w:before="0" w:after="0"/>
              <w:jc w:val="left"/>
            </w:pPr>
            <w:r>
              <w:rPr>
                <w:b w:val="false"/>
                <w:color w:val="1a202c"/>
                <w:sz w:val="20"/>
              </w:rPr>
              <w:t>Western Union</w:t>
            </w:r>
          </w:p>
        </w:tc>
        <w:tc>
          <w:tcPr>
            <w:tcW w:w="0" w:type="auto"/>
            <w:shd w:val="clear" w:fill="FFFFFF"/>
            <w:vAlign w:val="center"/>
          </w:tcPr>
          <w:p>
            <w:pPr>
              <w:spacing w:before="0" w:after="0"/>
              <w:jc w:val="center"/>
            </w:pPr>
            <w:r>
              <w:rPr>
                <w:b w:val="false"/>
                <w:color w:val="1a202c"/>
                <w:sz w:val="20"/>
              </w:rPr>
              <w:t>5,50 USD</w:t>
            </w:r>
          </w:p>
        </w:tc>
        <w:tc>
          <w:tcPr>
            <w:tcW w:w="0" w:type="auto"/>
            <w:shd w:val="clear" w:fill="FFFFFF"/>
            <w:vAlign w:val="center"/>
          </w:tcPr>
          <w:p>
            <w:pPr>
              <w:spacing w:before="0" w:after="0"/>
              <w:jc w:val="center"/>
            </w:pPr>
            <w:r>
              <w:rPr>
                <w:b w:val="false"/>
                <w:color w:val="1a202c"/>
                <w:sz w:val="20"/>
              </w:rPr>
              <w:t>10,50 USD</w:t>
            </w:r>
          </w:p>
        </w:tc>
        <w:tc>
          <w:tcPr>
            <w:tcW w:w="0" w:type="auto"/>
            <w:shd w:val="clear" w:fill="FFFFFF"/>
            <w:vAlign w:val="center"/>
          </w:tcPr>
          <w:p>
            <w:pPr>
              <w:spacing w:before="0" w:after="0"/>
              <w:jc w:val="center"/>
            </w:pPr>
            <w:r>
              <w:rPr>
                <w:b w:val="false"/>
                <w:color w:val="1a202c"/>
                <w:sz w:val="20"/>
              </w:rPr>
              <w:t>28,00 USD</w:t>
            </w:r>
          </w:p>
        </w:tc>
        <w:tc>
          <w:tcPr>
            <w:tcW w:w="0" w:type="auto"/>
            <w:shd w:val="clear" w:fill="FFFFFF"/>
            <w:vAlign w:val="center"/>
          </w:tcPr>
          <w:p>
            <w:pPr>
              <w:spacing w:before="0" w:after="0"/>
              <w:jc w:val="center"/>
            </w:pPr>
            <w:r>
              <w:rPr>
                <w:b w:val="false"/>
                <w:color w:val="1a202c"/>
                <w:sz w:val="20"/>
              </w:rPr>
              <w:t>37,50 USD</w:t>
            </w:r>
          </w:p>
        </w:tc>
        <w:tc>
          <w:tcPr>
            <w:tcW w:w="0" w:type="auto"/>
            <w:shd w:val="clear" w:fill="FFFFFF"/>
            <w:vAlign w:val="center"/>
          </w:tcPr>
          <w:p>
            <w:pPr>
              <w:spacing w:before="0" w:after="0"/>
              <w:jc w:val="center"/>
            </w:pPr>
            <w:r>
              <w:rPr>
                <w:b w:val="false"/>
                <w:color w:val="1a202c"/>
                <w:sz w:val="20"/>
              </w:rPr>
              <w:t>54,00 USD</w:t>
            </w:r>
          </w:p>
        </w:tc>
      </w:tr>
      <w:tr>
        <w:trPr>
          <w:trHeight w:val="360" w:hRule="atLeast"/>
        </w:trPr>
        <w:tc>
          <w:tcPr>
            <w:tcW w:w="0" w:type="auto"/>
            <w:shd w:val="clear" w:fill="FFFFFF"/>
            <w:vAlign w:val="center"/>
          </w:tcPr>
          <w:p>
            <w:pPr>
              <w:spacing w:before="0" w:after="0"/>
              <w:jc w:val="left"/>
            </w:pPr>
            <w:r>
              <w:rPr>
                <w:b w:val="false"/>
                <w:color w:val="1a202c"/>
                <w:sz w:val="20"/>
              </w:rPr>
              <w:t>MoneyGram</w:t>
            </w:r>
          </w:p>
        </w:tc>
        <w:tc>
          <w:tcPr>
            <w:tcW w:w="0" w:type="auto"/>
            <w:shd w:val="clear" w:fill="FFFFFF"/>
            <w:vAlign w:val="center"/>
          </w:tcPr>
          <w:p>
            <w:pPr>
              <w:spacing w:before="0" w:after="0"/>
              <w:jc w:val="center"/>
            </w:pPr>
            <w:r>
              <w:rPr>
                <w:b w:val="false"/>
                <w:color w:val="1a202c"/>
                <w:sz w:val="20"/>
              </w:rPr>
              <w:t>4,99 USD</w:t>
            </w:r>
          </w:p>
        </w:tc>
        <w:tc>
          <w:tcPr>
            <w:tcW w:w="0" w:type="auto"/>
            <w:shd w:val="clear" w:fill="FFFFFF"/>
            <w:vAlign w:val="center"/>
          </w:tcPr>
          <w:p>
            <w:pPr>
              <w:spacing w:before="0" w:after="0"/>
              <w:jc w:val="center"/>
            </w:pPr>
            <w:r>
              <w:rPr>
                <w:b w:val="false"/>
                <w:color w:val="1a202c"/>
                <w:sz w:val="20"/>
              </w:rPr>
              <w:t>9,99 USD</w:t>
            </w:r>
          </w:p>
        </w:tc>
        <w:tc>
          <w:tcPr>
            <w:tcW w:w="0" w:type="auto"/>
            <w:shd w:val="clear" w:fill="FFFFFF"/>
            <w:vAlign w:val="center"/>
          </w:tcPr>
          <w:p>
            <w:pPr>
              <w:spacing w:before="0" w:after="0"/>
              <w:jc w:val="center"/>
            </w:pPr>
            <w:r>
              <w:rPr>
                <w:b w:val="false"/>
                <w:color w:val="1a202c"/>
                <w:sz w:val="20"/>
              </w:rPr>
              <w:t>22,00 USD</w:t>
            </w:r>
          </w:p>
        </w:tc>
        <w:tc>
          <w:tcPr>
            <w:tcW w:w="0" w:type="auto"/>
            <w:shd w:val="clear" w:fill="FFFFFF"/>
            <w:vAlign w:val="center"/>
          </w:tcPr>
          <w:p>
            <w:pPr>
              <w:spacing w:before="0" w:after="0"/>
              <w:jc w:val="center"/>
            </w:pPr>
            <w:r>
              <w:rPr>
                <w:b w:val="false"/>
                <w:color w:val="1a202c"/>
                <w:sz w:val="20"/>
              </w:rPr>
              <w:t>30,99 USD</w:t>
            </w:r>
          </w:p>
        </w:tc>
        <w:tc>
          <w:tcPr>
            <w:tcW w:w="0" w:type="auto"/>
            <w:shd w:val="clear" w:fill="FFFFFF"/>
            <w:vAlign w:val="center"/>
          </w:tcPr>
          <w:p>
            <w:pPr>
              <w:spacing w:before="0" w:after="0"/>
              <w:jc w:val="center"/>
            </w:pPr>
            <w:r>
              <w:rPr>
                <w:b w:val="false"/>
                <w:color w:val="1a202c"/>
                <w:sz w:val="20"/>
              </w:rPr>
              <w:t>45,00 USD</w:t>
            </w:r>
          </w:p>
        </w:tc>
      </w:tr>
      <w:tr>
        <w:trPr>
          <w:trHeight w:val="360" w:hRule="atLeast"/>
        </w:trPr>
        <w:tc>
          <w:tcPr>
            <w:tcW w:w="0" w:type="auto"/>
            <w:shd w:val="clear" w:fill="FFFFFF"/>
            <w:vAlign w:val="center"/>
          </w:tcPr>
          <w:p>
            <w:pPr>
              <w:spacing w:before="0" w:after="0"/>
              <w:jc w:val="left"/>
            </w:pPr>
            <w:r>
              <w:rPr>
                <w:b w:val="false"/>
                <w:color w:val="1a202c"/>
                <w:sz w:val="20"/>
              </w:rPr>
              <w:t>Banque SWIFT</w:t>
            </w:r>
          </w:p>
        </w:tc>
        <w:tc>
          <w:tcPr>
            <w:tcW w:w="0" w:type="auto"/>
            <w:shd w:val="clear" w:fill="FFFFFF"/>
            <w:vAlign w:val="center"/>
          </w:tcPr>
          <w:p>
            <w:pPr>
              <w:spacing w:before="0" w:after="0"/>
              <w:jc w:val="center"/>
            </w:pPr>
            <w:r>
              <w:rPr>
                <w:b w:val="false"/>
                <w:color w:val="1a202c"/>
                <w:sz w:val="20"/>
              </w:rPr>
              <w:t>30,00 USD</w:t>
            </w:r>
          </w:p>
        </w:tc>
        <w:tc>
          <w:tcPr>
            <w:tcW w:w="0" w:type="auto"/>
            <w:shd w:val="clear" w:fill="FFFFFF"/>
            <w:vAlign w:val="center"/>
          </w:tcPr>
          <w:p>
            <w:pPr>
              <w:spacing w:before="0" w:after="0"/>
              <w:jc w:val="center"/>
            </w:pPr>
            <w:r>
              <w:rPr>
                <w:b w:val="false"/>
                <w:color w:val="1a202c"/>
                <w:sz w:val="20"/>
              </w:rPr>
              <w:t>30,00 USD</w:t>
            </w:r>
          </w:p>
        </w:tc>
        <w:tc>
          <w:tcPr>
            <w:tcW w:w="0" w:type="auto"/>
            <w:shd w:val="clear" w:fill="FFFFFF"/>
            <w:vAlign w:val="center"/>
          </w:tcPr>
          <w:p>
            <w:pPr>
              <w:spacing w:before="0" w:after="0"/>
              <w:jc w:val="center"/>
            </w:pPr>
            <w:r>
              <w:rPr>
                <w:b w:val="false"/>
                <w:color w:val="1a202c"/>
                <w:sz w:val="20"/>
              </w:rPr>
              <w:t>35,00 USD</w:t>
            </w:r>
          </w:p>
        </w:tc>
        <w:tc>
          <w:tcPr>
            <w:tcW w:w="0" w:type="auto"/>
            <w:shd w:val="clear" w:fill="FFFFFF"/>
            <w:vAlign w:val="center"/>
          </w:tcPr>
          <w:p>
            <w:pPr>
              <w:spacing w:before="0" w:after="0"/>
              <w:jc w:val="center"/>
            </w:pPr>
            <w:r>
              <w:rPr>
                <w:b w:val="false"/>
                <w:color w:val="1a202c"/>
                <w:sz w:val="20"/>
              </w:rPr>
              <w:t>40,00 USD</w:t>
            </w:r>
          </w:p>
        </w:tc>
        <w:tc>
          <w:tcPr>
            <w:tcW w:w="0" w:type="auto"/>
            <w:shd w:val="clear" w:fill="FFFFFF"/>
            <w:vAlign w:val="center"/>
          </w:tcPr>
          <w:p>
            <w:pPr>
              <w:spacing w:before="0" w:after="0"/>
              <w:jc w:val="center"/>
            </w:pPr>
            <w:r>
              <w:rPr>
                <w:b w:val="false"/>
                <w:color w:val="1a202c"/>
                <w:sz w:val="20"/>
              </w:rPr>
              <w:t>50,00 USD</w:t>
            </w:r>
          </w:p>
        </w:tc>
      </w:tr>
      <w:tr>
        <w:trPr>
          <w:trHeight w:val="360" w:hRule="atLeast"/>
        </w:trPr>
        <w:tc>
          <w:tcPr>
            <w:tcW w:w="0" w:type="auto"/>
            <w:shd w:val="clear" w:fill="FFFFFF"/>
            <w:vAlign w:val="center"/>
          </w:tcPr>
          <w:p>
            <w:pPr>
              <w:spacing w:before="0" w:after="0"/>
              <w:jc w:val="left"/>
            </w:pPr>
            <w:r>
              <w:rPr>
                <w:b w:val="false"/>
                <w:color w:val="1a202c"/>
                <w:sz w:val="20"/>
              </w:rPr>
              <w:t>WorldRemit</w:t>
            </w:r>
          </w:p>
        </w:tc>
        <w:tc>
          <w:tcPr>
            <w:tcW w:w="0" w:type="auto"/>
            <w:shd w:val="clear" w:fill="FFFFFF"/>
            <w:vAlign w:val="center"/>
          </w:tcPr>
          <w:p>
            <w:pPr>
              <w:spacing w:before="0" w:after="0"/>
              <w:jc w:val="center"/>
            </w:pPr>
            <w:r>
              <w:rPr>
                <w:b w:val="false"/>
                <w:color w:val="1a202c"/>
                <w:sz w:val="20"/>
              </w:rPr>
              <w:t>3,99 USD</w:t>
            </w:r>
          </w:p>
        </w:tc>
        <w:tc>
          <w:tcPr>
            <w:tcW w:w="0" w:type="auto"/>
            <w:shd w:val="clear" w:fill="FFFFFF"/>
            <w:vAlign w:val="center"/>
          </w:tcPr>
          <w:p>
            <w:pPr>
              <w:spacing w:before="0" w:after="0"/>
              <w:jc w:val="center"/>
            </w:pPr>
            <w:r>
              <w:rPr>
                <w:b w:val="false"/>
                <w:color w:val="1a202c"/>
                <w:sz w:val="20"/>
              </w:rPr>
              <w:t>7,99 USD</w:t>
            </w:r>
          </w:p>
        </w:tc>
        <w:tc>
          <w:tcPr>
            <w:tcW w:w="0" w:type="auto"/>
            <w:shd w:val="clear" w:fill="FFFFFF"/>
            <w:vAlign w:val="center"/>
          </w:tcPr>
          <w:p>
            <w:pPr>
              <w:spacing w:before="0" w:after="0"/>
              <w:jc w:val="center"/>
            </w:pPr>
            <w:r>
              <w:rPr>
                <w:b w:val="false"/>
                <w:color w:val="1a202c"/>
                <w:sz w:val="20"/>
              </w:rPr>
              <w:t>14,00 USD</w:t>
            </w:r>
          </w:p>
        </w:tc>
        <w:tc>
          <w:tcPr>
            <w:tcW w:w="0" w:type="auto"/>
            <w:shd w:val="clear" w:fill="FFFFFF"/>
            <w:vAlign w:val="center"/>
          </w:tcPr>
          <w:p>
            <w:pPr>
              <w:spacing w:before="0" w:after="0"/>
              <w:jc w:val="center"/>
            </w:pPr>
            <w:r>
              <w:rPr>
                <w:b w:val="false"/>
                <w:color w:val="1a202c"/>
                <w:sz w:val="20"/>
              </w:rPr>
              <w:t>18,99 USD</w:t>
            </w:r>
          </w:p>
        </w:tc>
        <w:tc>
          <w:tcPr>
            <w:tcW w:w="0" w:type="auto"/>
            <w:shd w:val="clear" w:fill="FFFFFF"/>
            <w:vAlign w:val="center"/>
          </w:tcPr>
          <w:p>
            <w:pPr>
              <w:spacing w:before="0" w:after="0"/>
              <w:jc w:val="center"/>
            </w:pPr>
            <w:r>
              <w:rPr>
                <w:b w:val="false"/>
                <w:color w:val="1a202c"/>
                <w:sz w:val="20"/>
              </w:rPr>
              <w:t>28,00 USD</w:t>
            </w:r>
          </w:p>
        </w:tc>
      </w:tr>
      <w:tr>
        <w:trPr>
          <w:trHeight w:val="360" w:hRule="atLeast"/>
        </w:trPr>
        <w:tc>
          <w:tcPr>
            <w:tcW w:w="0" w:type="auto"/>
            <w:shd w:val="clear" w:fill="FFF5E6"/>
            <w:vAlign w:val="center"/>
          </w:tcPr>
          <w:p>
            <w:pPr>
              <w:spacing w:before="0" w:after="0"/>
              <w:jc w:val="left"/>
            </w:pPr>
            <w:r>
              <w:rPr>
                <w:b w:val="true"/>
                <w:color w:val="ed8936"/>
                <w:sz w:val="20"/>
              </w:rPr>
              <w:t>DiasporaConnect</w:t>
            </w:r>
          </w:p>
        </w:tc>
        <w:tc>
          <w:tcPr>
            <w:tcW w:w="0" w:type="auto"/>
            <w:shd w:val="clear" w:fill="FFF5E6"/>
            <w:vAlign w:val="center"/>
          </w:tcPr>
          <w:p>
            <w:pPr>
              <w:spacing w:before="0" w:after="0"/>
              <w:jc w:val="center"/>
            </w:pPr>
            <w:r>
              <w:rPr>
                <w:b w:val="false"/>
                <w:color w:val="ed8936"/>
                <w:sz w:val="20"/>
              </w:rPr>
              <w:t>&lt; 0,20 USD</w:t>
            </w:r>
          </w:p>
        </w:tc>
        <w:tc>
          <w:tcPr>
            <w:tcW w:w="0" w:type="auto"/>
            <w:shd w:val="clear" w:fill="FFF5E6"/>
            <w:vAlign w:val="center"/>
          </w:tcPr>
          <w:p>
            <w:pPr>
              <w:spacing w:before="0" w:after="0"/>
              <w:jc w:val="center"/>
            </w:pPr>
            <w:r>
              <w:rPr>
                <w:b w:val="false"/>
                <w:color w:val="ed8936"/>
                <w:sz w:val="20"/>
              </w:rPr>
              <w:t>&lt; 0,40 USD</w:t>
            </w:r>
          </w:p>
        </w:tc>
        <w:tc>
          <w:tcPr>
            <w:tcW w:w="0" w:type="auto"/>
            <w:shd w:val="clear" w:fill="FFF5E6"/>
            <w:vAlign w:val="center"/>
          </w:tcPr>
          <w:p>
            <w:pPr>
              <w:spacing w:before="0" w:after="0"/>
              <w:jc w:val="center"/>
            </w:pPr>
            <w:r>
              <w:rPr>
                <w:b w:val="false"/>
                <w:color w:val="ed8936"/>
                <w:sz w:val="20"/>
              </w:rPr>
              <w:t>&lt; 1,00 USD</w:t>
            </w:r>
          </w:p>
        </w:tc>
        <w:tc>
          <w:tcPr>
            <w:tcW w:w="0" w:type="auto"/>
            <w:shd w:val="clear" w:fill="FFF5E6"/>
            <w:vAlign w:val="center"/>
          </w:tcPr>
          <w:p>
            <w:pPr>
              <w:spacing w:before="0" w:after="0"/>
              <w:jc w:val="center"/>
            </w:pPr>
            <w:r>
              <w:rPr>
                <w:b w:val="false"/>
                <w:color w:val="ed8936"/>
                <w:sz w:val="20"/>
              </w:rPr>
              <w:t>&lt; 1,50 USD</w:t>
            </w:r>
          </w:p>
        </w:tc>
        <w:tc>
          <w:tcPr>
            <w:tcW w:w="0" w:type="auto"/>
            <w:shd w:val="clear" w:fill="FFF5E6"/>
            <w:vAlign w:val="center"/>
          </w:tcPr>
          <w:p>
            <w:pPr>
              <w:spacing w:before="0" w:after="0"/>
              <w:jc w:val="center"/>
            </w:pPr>
            <w:r>
              <w:rPr>
                <w:b w:val="false"/>
                <w:color w:val="ed8936"/>
                <w:sz w:val="20"/>
              </w:rPr>
              <w:t>&lt; 2,50 USD</w:t>
            </w:r>
          </w:p>
        </w:tc>
      </w:tr>
    </w:tbl>
    <w:p>
      <w:pPr>
        <w:pStyle w:val="Caption"/>
      </w:pPr>
      <w:r>
        <w:t>Tableau 2 : Frais par niveau de montant (en USD)</w:t>
      </w:r>
    </w:p>
    <w:p>
      <w:r>
        <w:br w:type="page"/>
      </w:r>
    </w:p>
    <w:p>
      <w:pPr>
        <w:pStyle w:val="Heading1"/>
      </w:pPr>
      <w:r>
        <w:t>3. Zoom sur les principaux services</w:t>
      </w:r>
    </w:p>
    <w:p>
      <w:pPr>
        <w:pStyle w:val="Heading2"/>
      </w:pPr>
      <w:r>
        <w:t>3.1 Western Union</w:t>
      </w:r>
    </w:p>
    <w:p>
      <w:r>
        <w:t>Western Union est l'opérateur le plus utilisé par la diaspora africaine. Sa tarification repose sur une combinaison de frais fixes et de marges de change.</w:t>
      </w:r>
    </w:p>
    <w:p>
      <w:pPr>
        <w:numPr>
          <w:ilvl w:val="0"/>
          <w:numId w:val="1"/>
        </w:numPr>
      </w:pPr>
      <w:r>
        <w:t>Frais fixes d'envoi : de 4,99 USD à 28 USD selon le canal</w:t>
      </w:r>
    </w:p>
    <w:p>
      <w:pPr>
        <w:numPr>
          <w:ilvl w:val="0"/>
          <w:numId w:val="1"/>
        </w:numPr>
      </w:pPr>
      <w:r>
        <w:t>Marge de change : entre 1,5 % et 3 % sur le taux EUR/USD/FCFA</w:t>
      </w:r>
    </w:p>
    <w:p>
      <w:pPr>
        <w:numPr>
          <w:ilvl w:val="0"/>
          <w:numId w:val="1"/>
        </w:numPr>
      </w:pPr>
      <w:r>
        <w:t>Délai : quasi-instantané si retrait en espèces</w:t>
      </w:r>
    </w:p>
    <w:p>
      <w:pPr>
        <w:shd w:val="clear" w:fill="EBF8FF"/>
        <w:spacing w:before="160" w:after="160"/>
        <w:ind w:left="400" w:right="400"/>
      </w:pPr>
      <w:r>
        <w:rPr>
          <w:b/>
          <w:color w:val="2c5282"/>
          <w:sz w:val="20"/>
        </w:rPr>
        <w:t>Coût réel total pour 200 USD : entre 28 et 34 USD soit 14–17 %.</w:t>
      </w:r>
    </w:p>
    <w:p>
      <w:pPr>
        <w:pStyle w:val="Heading2"/>
      </w:pPr>
      <w:r>
        <w:t>3.2 MoneyGram</w:t>
      </w:r>
    </w:p>
    <w:p>
      <w:pPr>
        <w:numPr>
          <w:ilvl w:val="0"/>
          <w:numId w:val="1"/>
        </w:numPr>
      </w:pPr>
      <w:r>
        <w:t>Frais d'envoi : de 3,99 USD à 22 USD pour 200 USD</w:t>
      </w:r>
    </w:p>
    <w:p>
      <w:pPr>
        <w:numPr>
          <w:ilvl w:val="0"/>
          <w:numId w:val="1"/>
        </w:numPr>
      </w:pPr>
      <w:r>
        <w:t>Marge de change : 1,5 à 2,5 % selon le corridor</w:t>
      </w:r>
    </w:p>
    <w:p>
      <w:pPr>
        <w:numPr>
          <w:ilvl w:val="0"/>
          <w:numId w:val="1"/>
        </w:numPr>
      </w:pPr>
      <w:r>
        <w:t>Disponibilité au Bénin : moins de points de retrait que Western Union</w:t>
      </w:r>
    </w:p>
    <w:p>
      <w:pPr>
        <w:shd w:val="clear" w:fill="EBF8FF"/>
        <w:spacing w:before="160" w:after="160"/>
        <w:ind w:left="400" w:right="400"/>
      </w:pPr>
      <w:r>
        <w:rPr>
          <w:b/>
          <w:color w:val="2c5282"/>
          <w:sz w:val="20"/>
        </w:rPr>
        <w:t>Coût réel total pour 200 USD : entre 22 et 27 USD soit 11–13,5 %.</w:t>
      </w:r>
    </w:p>
    <w:p>
      <w:pPr>
        <w:pStyle w:val="Heading2"/>
      </w:pPr>
      <w:r>
        <w:t>3.3 Virement bancaire SWIFT</w:t>
      </w:r>
    </w:p>
    <w:p>
      <w:pPr>
        <w:numPr>
          <w:ilvl w:val="0"/>
          <w:numId w:val="1"/>
        </w:numPr>
      </w:pPr>
      <w:r>
        <w:t>Frais fixes d'envoi : entre 15 et 35 EUR selon la banque</w:t>
      </w:r>
    </w:p>
    <w:p>
      <w:pPr>
        <w:numPr>
          <w:ilvl w:val="0"/>
          <w:numId w:val="1"/>
        </w:numPr>
      </w:pPr>
      <w:r>
        <w:t>Frais de réception : entre 5 et 15 USD par la banque correspondante</w:t>
      </w:r>
    </w:p>
    <w:p>
      <w:pPr>
        <w:numPr>
          <w:ilvl w:val="0"/>
          <w:numId w:val="1"/>
        </w:numPr>
      </w:pPr>
      <w:r>
        <w:t>Délai : 3 à 5 jours ouvrés</w:t>
      </w:r>
    </w:p>
    <w:p>
      <w:pPr>
        <w:shd w:val="clear" w:fill="EBF8FF"/>
        <w:spacing w:before="160" w:after="160"/>
        <w:ind w:left="400" w:right="400"/>
      </w:pPr>
      <w:r>
        <w:rPr>
          <w:b/>
          <w:color w:val="2c5282"/>
          <w:sz w:val="20"/>
        </w:rPr>
        <w:t>Coût réel total pour 200 USD : entre 30 et 50 USD soit 15–25 %.</w:t>
      </w:r>
    </w:p>
    <w:p>
      <w:r>
        <w:br w:type="page"/>
      </w:r>
    </w:p>
    <w:p>
      <w:pPr>
        <w:pStyle w:val="Heading1"/>
      </w:pPr>
      <w:r>
        <w:t>4. Cas concrets : ce que perd réellement chaque famille</w:t>
      </w:r>
    </w:p>
    <w:p>
      <w:pPr>
        <w:pStyle w:val="Heading2"/>
      </w:pPr>
      <w:r>
        <w:t>4.1 Scénarios illustrés</w:t>
      </w:r>
    </w:p>
    <w:tbl>
      <w:tblPr>
        <w:tblW w:w="5000" w:type="pct"/>
        <w:tblBorders>
          <w:top w:val="single" w:color="1a365d" w:sz="12"/>
          <w:left w:val="nil"/>
          <w:bottom w:val="single" w:color="1a365d" w:sz="12"/>
          <w:right w:val="nil"/>
          <w:insideH w:val="single" w:color="E2E8F0" w:sz="4"/>
          <w:insideV w:val="nil"/>
        </w:tblBorders>
        <w:tblCellMar>
          <w:top w:w="120" w:type="dxa"/>
          <w:left w:w="150" w:type="dxa"/>
          <w:bottom w:w="120" w:type="dxa"/>
          <w:right w:w="150" w:type="dxa"/>
        </w:tblCellMar>
      </w:tblPr>
      <w:tblGrid>
        <w:gridCol w:w="2800"/>
        <w:gridCol w:w="3100"/>
        <w:gridCol w:w="3100"/>
      </w:tblGrid>
      <w:tr>
        <w:trPr>
          <w:tblHeader/>
          <w:trHeight w:val="400" w:hRule="atLeast"/>
        </w:trPr>
        <w:tc>
          <w:tcPr>
            <w:tcW w:w="0" w:type="auto"/>
            <w:shd w:val="clear" w:fill="1a365d"/>
            <w:vAlign w:val="center"/>
          </w:tcPr>
          <w:p>
            <w:pPr>
              <w:spacing w:before="0" w:after="0"/>
              <w:jc w:val="center"/>
            </w:pPr>
            <w:r>
              <w:rPr>
                <w:b/>
                <w:color w:val="FFFFFF"/>
                <w:sz w:val="20"/>
              </w:rPr>
              <w:t>Scénario</w:t>
            </w:r>
          </w:p>
        </w:tc>
        <w:tc>
          <w:tcPr>
            <w:tcW w:w="0" w:type="auto"/>
            <w:shd w:val="clear" w:fill="1a365d"/>
            <w:vAlign w:val="center"/>
          </w:tcPr>
          <w:p>
            <w:pPr>
              <w:spacing w:before="0" w:after="0"/>
              <w:jc w:val="center"/>
            </w:pPr>
            <w:r>
              <w:rPr>
                <w:b/>
                <w:color w:val="FFFFFF"/>
                <w:sz w:val="20"/>
              </w:rPr>
              <w:t>Service traditionnel</w:t>
            </w:r>
          </w:p>
        </w:tc>
        <w:tc>
          <w:tcPr>
            <w:tcW w:w="0" w:type="auto"/>
            <w:shd w:val="clear" w:fill="1a365d"/>
            <w:vAlign w:val="center"/>
          </w:tcPr>
          <w:p>
            <w:pPr>
              <w:spacing w:before="0" w:after="0"/>
              <w:jc w:val="center"/>
            </w:pPr>
            <w:r>
              <w:rPr>
                <w:b/>
                <w:color w:val="FFFFFF"/>
                <w:sz w:val="20"/>
              </w:rPr>
              <w:t>DiasporaConnect</w:t>
            </w:r>
          </w:p>
        </w:tc>
      </w:tr>
      <w:tr>
        <w:trPr>
          <w:trHeight w:val="500" w:hRule="atLeast"/>
        </w:trPr>
        <w:tc>
          <w:tcPr>
            <w:tcW w:w="0" w:type="auto"/>
            <w:vAlign w:val="center"/>
          </w:tcPr>
          <w:p>
            <w:pPr>
              <w:spacing w:before="0" w:after="0"/>
            </w:pPr>
            <w:r>
              <w:rPr>
                <w:b/>
                <w:color w:val="1a202c"/>
                <w:sz w:val="20"/>
              </w:rPr>
              <w:t>Kofi (Paris) envoie 200 USD pour les médicaments de sa mère</w:t>
            </w:r>
          </w:p>
        </w:tc>
        <w:tc>
          <w:tcPr>
            <w:tcW w:w="0" w:type="auto"/>
            <w:vAlign w:val="center"/>
          </w:tcPr>
          <w:p>
            <w:pPr>
              <w:spacing w:before="0" w:after="0"/>
            </w:pPr>
            <w:r>
              <w:rPr>
                <w:color w:val="4a5568"/>
                <w:sz w:val="20"/>
              </w:rPr>
              <w:t>Western Union : 28 USD de frais. Mère reçoit 172 USD. Médicaments non couverts.</w:t>
            </w:r>
          </w:p>
        </w:tc>
        <w:tc>
          <w:tcPr>
            <w:tcW w:w="0" w:type="auto"/>
            <w:shd w:val="clear" w:fill="F0FFF4"/>
            <w:vAlign w:val="center"/>
          </w:tcPr>
          <w:p>
            <w:pPr>
              <w:spacing w:before="0" w:after="0"/>
            </w:pPr>
            <w:r>
              <w:rPr>
                <w:b/>
                <w:color w:val="38b2ac"/>
                <w:sz w:val="20"/>
              </w:rPr>
              <w:t>Frais &lt; 2 USD. Mère reçoit 198 USD. Médicaments payés.</w:t>
            </w:r>
          </w:p>
        </w:tc>
      </w:tr>
      <w:tr>
        <w:trPr>
          <w:trHeight w:val="500" w:hRule="atLeast"/>
        </w:trPr>
        <w:tc>
          <w:tcPr>
            <w:tcW w:w="0" w:type="auto"/>
            <w:vAlign w:val="center"/>
          </w:tcPr>
          <w:p>
            <w:pPr>
              <w:spacing w:before="0" w:after="0"/>
            </w:pPr>
            <w:r>
              <w:rPr>
                <w:b/>
                <w:color w:val="1a202c"/>
                <w:sz w:val="20"/>
              </w:rPr>
              <w:t>Adjoa (Bruxelles) envoie 100 USD pour la scolarité</w:t>
            </w:r>
          </w:p>
        </w:tc>
        <w:tc>
          <w:tcPr>
            <w:tcW w:w="0" w:type="auto"/>
            <w:vAlign w:val="center"/>
          </w:tcPr>
          <w:p>
            <w:pPr>
              <w:spacing w:before="0" w:after="0"/>
            </w:pPr>
            <w:r>
              <w:rPr>
                <w:color w:val="4a5568"/>
                <w:sz w:val="20"/>
              </w:rPr>
              <w:t>MoneyGram : 11 USD de frais. Fils reçoit 89 USD.</w:t>
            </w:r>
          </w:p>
        </w:tc>
        <w:tc>
          <w:tcPr>
            <w:tcW w:w="0" w:type="auto"/>
            <w:shd w:val="clear" w:fill="F0FFF4"/>
            <w:vAlign w:val="center"/>
          </w:tcPr>
          <w:p>
            <w:pPr>
              <w:spacing w:before="0" w:after="0"/>
            </w:pPr>
            <w:r>
              <w:rPr>
                <w:b/>
                <w:color w:val="38b2ac"/>
                <w:sz w:val="20"/>
              </w:rPr>
              <w:t>Frais &lt; 1 USD. Fils reçoit 99 USD. Scolarité couverte.</w:t>
            </w:r>
          </w:p>
        </w:tc>
      </w:tr>
      <w:tr>
        <w:trPr>
          <w:trHeight w:val="500" w:hRule="atLeast"/>
        </w:trPr>
        <w:tc>
          <w:tcPr>
            <w:tcW w:w="0" w:type="auto"/>
            <w:vAlign w:val="center"/>
          </w:tcPr>
          <w:p>
            <w:pPr>
              <w:spacing w:before="0" w:after="0"/>
            </w:pPr>
            <w:r>
              <w:rPr>
                <w:b/>
                <w:color w:val="1a202c"/>
                <w:sz w:val="20"/>
              </w:rPr>
              <w:t>Séraphin règle un fournisseur : 500 USD</w:t>
            </w:r>
          </w:p>
        </w:tc>
        <w:tc>
          <w:tcPr>
            <w:tcW w:w="0" w:type="auto"/>
            <w:vAlign w:val="center"/>
          </w:tcPr>
          <w:p>
            <w:pPr>
              <w:spacing w:before="0" w:after="0"/>
            </w:pPr>
            <w:r>
              <w:rPr>
                <w:color w:val="4a5568"/>
                <w:sz w:val="20"/>
              </w:rPr>
              <w:t>SWIFT : 50 USD de frais, 5 jours d'attente.</w:t>
            </w:r>
          </w:p>
        </w:tc>
        <w:tc>
          <w:tcPr>
            <w:tcW w:w="0" w:type="auto"/>
            <w:shd w:val="clear" w:fill="F0FFF4"/>
            <w:vAlign w:val="center"/>
          </w:tcPr>
          <w:p>
            <w:pPr>
              <w:spacing w:before="0" w:after="0"/>
            </w:pPr>
            <w:r>
              <w:rPr>
                <w:b/>
                <w:color w:val="38b2ac"/>
                <w:sz w:val="20"/>
              </w:rPr>
              <w:t>Frais &lt; 3 USD, règlement en 60 secondes.</w:t>
            </w:r>
          </w:p>
        </w:tc>
      </w:tr>
    </w:tbl>
    <w:p>
      <w:pPr>
        <w:pStyle w:val="Caption"/>
      </w:pPr>
      <w:r>
        <w:t>Tableau 3 : Scénarios comparatifs de transferts</w:t>
      </w:r>
    </w:p>
    <w:p>
      <w:pPr>
        <w:pStyle w:val="Heading2"/>
      </w:pPr>
      <w:r>
        <w:t>4.2 Impact sur les ménages ruraux</w:t>
      </w:r>
    </w:p>
    <w:p>
      <w:r>
        <w:t>60 % des ménages ruraux béninois dépendent des transferts de la diaspora pour couvrir leurs dépenses de santé et d'éducation. Or, ces ménages sont les plus pénalisés car ils reçoivent souvent de petits montants sur lesquels les frais fixes représentent une proportion encore plus élevée.</w:t>
      </w:r>
    </w:p>
    <w:p>
      <w:pPr>
        <w:pBdr>
          <w:left w:val="single" w:color="d69e2e" w:sz="24" w:space="10"/>
        </w:pBdr>
        <w:shd w:val="clear" w:fill="FFFBEB"/>
        <w:spacing w:before="240" w:after="240"/>
        <w:ind w:left="400" w:right="400"/>
      </w:pPr>
      <w:r>
        <w:rPr>
          <w:b/>
          <w:color w:val="1a365d"/>
          <w:sz w:val="22"/>
        </w:rPr>
        <w:t>EXEMPLE RURAL</w:t>
      </w:r>
      <w:r>
        <w:br/>
      </w:r>
      <w:r>
        <w:rPr>
          <w:color w:val="4a5568"/>
          <w:sz w:val="20"/>
        </w:rPr>
        <w:t>Village de Kétou (département du Plateau) :
Un père reçoit 150 USD/mois de son fils en France.
Avec Western Union :
→ Frais : 18 USD + 5 USD de transport + demi-journée de travail perdue
Avec DiasporaConnect (mobile money) :
→ Frais : &lt; 1,50 USD, retrait immédiat depuis son téléphone
→ Gain réel : 21,50 USD par mois, soit 258 USD par an.</w:t>
      </w:r>
    </w:p>
    <w:p>
      <w:r>
        <w:br w:type="page"/>
      </w:r>
    </w:p>
    <w:p>
      <w:pPr>
        <w:pStyle w:val="Heading1"/>
      </w:pPr>
      <w:r>
        <w:t>5. Pourquoi les frais sont-ils si élevés ?</w:t>
      </w:r>
    </w:p>
    <w:p>
      <w:pPr>
        <w:pStyle w:val="Heading2"/>
      </w:pPr>
      <w:r>
        <w:t>5.1 Les intermédiaires de la chaîne traditionnelle</w:t>
      </w:r>
    </w:p>
    <w:p>
      <w:r>
        <w:t>Un transfert d'argent traditionnel emprunte en moyenne 4 à 6 maillons avant d'atteindre le destinataire. Chaque maillon prélève une commission :</w:t>
      </w:r>
    </w:p>
    <w:p>
      <w:pPr>
        <w:numPr>
          <w:ilvl w:val="0"/>
          <w:numId w:val="1"/>
        </w:numPr>
      </w:pPr>
      <w:r>
        <w:t>Banque émettrice : frais de virement sortant, marge de change</w:t>
      </w:r>
    </w:p>
    <w:p>
      <w:pPr>
        <w:numPr>
          <w:ilvl w:val="0"/>
          <w:numId w:val="1"/>
        </w:numPr>
      </w:pPr>
      <w:r>
        <w:t>Réseau SWIFT / correspondant bancaire : frais de transit</w:t>
      </w:r>
    </w:p>
    <w:p>
      <w:pPr>
        <w:numPr>
          <w:ilvl w:val="0"/>
          <w:numId w:val="1"/>
        </w:numPr>
      </w:pPr>
      <w:r>
        <w:t>Banque réceptrice : frais de réception</w:t>
      </w:r>
    </w:p>
    <w:p>
      <w:pPr>
        <w:numPr>
          <w:ilvl w:val="0"/>
          <w:numId w:val="1"/>
        </w:numPr>
      </w:pPr>
      <w:r>
        <w:t>Opérateur de transfert : commission de l'agent local</w:t>
      </w:r>
    </w:p>
    <w:p>
      <w:pPr>
        <w:pStyle w:val="Heading2"/>
      </w:pPr>
      <w:r>
        <w:t>5.2 Pourquoi la blockchain résout ce problème</w:t>
      </w:r>
    </w:p>
    <w:p>
      <w:r>
        <w:t>La blockchain élimine physiquement les intermédiaires en permettant une transaction peer-to-pair directe :</w:t>
      </w:r>
    </w:p>
    <w:p>
      <w:pPr>
        <w:numPr>
          <w:ilvl w:val="0"/>
          <w:numId w:val="1"/>
        </w:numPr>
      </w:pPr>
      <w:r>
        <w:t>Aucune banque correspondante n'intervient dans le transfert</w:t>
      </w:r>
    </w:p>
    <w:p>
      <w:pPr>
        <w:numPr>
          <w:ilvl w:val="0"/>
          <w:numId w:val="1"/>
        </w:numPr>
      </w:pPr>
      <w:r>
        <w:t>Le smart contract joue le rôle d'opérateur de confiance automatique</w:t>
      </w:r>
    </w:p>
    <w:p>
      <w:pPr>
        <w:numPr>
          <w:ilvl w:val="0"/>
          <w:numId w:val="1"/>
        </w:numPr>
      </w:pPr>
      <w:r>
        <w:t>Les frais se réduisent au coût de calcul du réseau (gas) : 0,001 à 0,01 USD sur Celo</w:t>
      </w:r>
    </w:p>
    <w:p>
      <w:pPr>
        <w:numPr>
          <w:ilvl w:val="0"/>
          <w:numId w:val="1"/>
        </w:numPr>
      </w:pPr>
      <w:r>
        <w:t>Le taux de change est transparent et vérifiable</w:t>
      </w:r>
    </w:p>
    <w:p>
      <w:r>
        <w:br w:type="page"/>
      </w:r>
    </w:p>
    <w:p>
      <w:pPr>
        <w:pStyle w:val="Heading1"/>
      </w:pPr>
      <w:r>
        <w:t>6. Synthèse et conclusion</w:t>
      </w:r>
    </w:p>
    <w:p>
      <w:pPr>
        <w:pBdr>
          <w:left w:val="single" w:color="d69e2e" w:sz="24" w:space="10"/>
        </w:pBdr>
        <w:shd w:val="clear" w:fill="FFFBEB"/>
        <w:spacing w:before="240" w:after="240"/>
        <w:ind w:left="400" w:right="400"/>
      </w:pPr>
      <w:r>
        <w:rPr>
          <w:b/>
          <w:color w:val="1a365d"/>
          <w:sz w:val="22"/>
        </w:rPr>
        <w:t>BILAN COMPARATIF</w:t>
      </w:r>
      <w:r>
        <w:br/>
      </w:r>
      <w:r>
        <w:rPr>
          <w:color w:val="4a5568"/>
          <w:sz w:val="20"/>
        </w:rPr>
        <w:t>Sur un envoi de 200 USD :
→ Économie vs. Western Union : 26 à 32 USD par transaction
→ Économie vs. MoneyGram : 20 à 25 USD par transaction
→ Économie vs. Banque SWIFT : 28 à 48 USD par transaction
Pour une famille qui reçoit 200 USD/mois :
→ Économie annuelle : entre 240 et 384 USD/an
→ Soit 1 à 2 mois supplémentaires de revenus familiaux
À l'échelle nationale (500 millions USD/an) :
→ Jusqu'à 100 millions USD supplémentaires pour l'économie béninoise</w:t>
      </w:r>
    </w:p>
    <w:p>
      <w:r>
        <w:t>DiasporaConnect n'est pas seulement une application de transfert d'argent. C'est un levier de développement économique direct, mesurable, aligné avec les objectifs ODD 1, 8 et 10, et techniquement réalisable grâce à la blockchain Celo et aux stablecoins.</w:t>
      </w:r>
    </w:p>
    <w:p>
      <w:pPr>
        <w:sectPr>
          <w:headerReference w:type="default" r:id="R856ab814316d46ac"/>
          <w:footerReference w:type="default" r:id="Rea4c900f3698498a"/>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b7332bc22fbb4267"/>
                    <a:stretch>
                      <a:fillRect/>
                    </a:stretch>
                  </pic:blipFill>
                  <pic:spPr>
                    <a:xfrm>
                      <a:off x="0" y="0"/>
                      <a:ext cx="7560000" cy="10692000"/>
                    </a:xfrm>
                    <a:prstGeom prst="rect"/>
                  </pic:spPr>
                </pic:pic>
              </a:graphicData>
            </a:graphic>
          </wp:anchor>
        </w:drawing>
      </w:r>
    </w:p>
    <w:p>
      <w:pPr>
        <w:spacing w:before="7000"/>
      </w:pPr>
      <w:r/>
    </w:p>
    <w:p>
      <w:pPr>
        <w:spacing w:after="200"/>
        <w:jc w:val="center"/>
      </w:pPr>
      <w:r>
        <w:rPr>
          <w:b/>
          <w:color w:val="FFFFFF"/>
          <w:sz w:val="48"/>
        </w:rPr>
        <w:t>DiasporaConnect</w:t>
      </w:r>
    </w:p>
    <w:p>
      <w:pPr>
        <w:spacing w:after="600"/>
        <w:jc w:val="center"/>
      </w:pPr>
      <w:r>
        <w:rPr>
          <w:color w:val="d69e2e"/>
          <w:sz w:val="24"/>
        </w:rPr>
        <w:t>Transferts sans frontières</w:t>
      </w:r>
    </w:p>
    <w:p>
      <w:pPr>
        <w:spacing w:after="120"/>
        <w:jc w:val="center"/>
      </w:pPr>
      <w:r>
        <w:rPr>
          <w:color w:val="A0AEC0"/>
          <w:sz w:val="18"/>
        </w:rPr>
        <w:t>Miabe Hackathon 2026 • Projet B-02</w:t>
      </w:r>
    </w:p>
    <w:p>
      <w:pPr>
        <w:jc w:val="center"/>
      </w:pPr>
      <w:r>
        <w:rPr>
          <w:color w:val="718096"/>
          <w:sz w:val="16"/>
        </w:rPr>
        <w:t>Livrable Phase 1 — Document 1/2</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instrText> PAGE </w:instrText>
      <w:fldChar w:fldCharType="separate"/>
      <w:t>1</w:t>
      <w:fldChar w:fldCharType="end"/>
    </w:r>
    <w:r>
      <w:t xml:space="preserve"> / </w:t>
    </w:r>
    <w:r>
      <w:rPr>
        <w:color w:val="718096"/>
        <w:sz w:val="18"/>
      </w:rPr>
      <w:fldChar w:fldCharType="begin"/>
      <w:instrText>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a5635074bc2240ec"/>
                  <a:stretch>
                    <a:fillRect/>
                  </a:stretch>
                </pic:blipFill>
                <pic:spPr>
                  <a:xfrm>
                    <a:off x="0" y="0"/>
                    <a:ext cx="7560000" cy="10692000"/>
                  </a:xfrm>
                  <a:prstGeom prst="rect"/>
                </pic:spPr>
              </pic:pic>
            </a:graphicData>
          </a:graphic>
        </wp:anchor>
      </w:drawing>
    </w:r>
  </w:p>
  <w:p>
    <w:pPr>
      <w:spacing w:before="0" w:after="0"/>
      <w:jc w:val="right"/>
    </w:pPr>
    <w:r>
      <w:rPr>
        <w:color w:val="718096"/>
        <w:sz w:val="18"/>
      </w:rPr>
      <w:t>DiasporaConnect</w:t>
    </w:r>
    <w:r>
      <w:rPr>
        <w:color w:val="d69e2e"/>
        <w:sz w:val="18"/>
      </w:rPr>
      <w:t xml:space="preserve">  |  </w:t>
    </w:r>
    <w:r>
      <w:rPr>
        <w:color w:val="718096"/>
        <w:sz w:val="18"/>
      </w:rPr>
      <w:t>Analyse des Coûts</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Segoe UI" w:hAnsi="Segoe UI" w:eastAsia="Microsoft YaHei"/>
      <w:color w:val="1a202c"/>
      <w:sz w:val="22"/>
    </w:rPr>
  </w:style>
  <w:style w:type="paragraph" w:styleId="Heading1">
    <w:name w:val="heading 1"/>
    <w:basedOn w:val="Normal"/>
    <w:pPr>
      <w:keepNext/>
      <w:keepLines/>
      <w:spacing w:before="480" w:after="240" w:line="240" w:lineRule="auto"/>
      <w:outlineLvl w:val="0"/>
    </w:pPr>
    <w:rPr>
      <w:b/>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4a5568"/>
      <w:sz w:val="24"/>
    </w:rPr>
  </w:style>
  <w:style w:type="paragraph" w:styleId="Caption">
    <w:name w:val="Caption"/>
    <w:basedOn w:val="Normal"/>
    <w:pPr>
      <w:keepLines/>
      <w:spacing w:before="60" w:after="360"/>
      <w:jc w:val="center"/>
    </w:pPr>
    <w:rPr>
      <w:i/>
      <w:color w:val="718096"/>
      <w:sz w:val="20"/>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&#65279;<?xml version="1.0" encoding="utf-8"?><Relationships xmlns="http://schemas.openxmlformats.org/package/2006/relationships"><Relationship Type="http://schemas.openxmlformats.org/officeDocument/2006/relationships/styles" Target="/word/styles.xml" Id="Rf38500bcd57f4dc6" /><Relationship Type="http://schemas.openxmlformats.org/officeDocument/2006/relationships/numbering" Target="/word/numbering.xml" Id="Reb33de755a544e1b" /><Relationship Type="http://schemas.openxmlformats.org/officeDocument/2006/relationships/image" Target="/media/image.png" Id="Ree399893526f446f" /><Relationship Type="http://schemas.openxmlformats.org/officeDocument/2006/relationships/image" Target="/media/image2.png" Id="R3a3df5a029734522" /><Relationship Type="http://schemas.openxmlformats.org/officeDocument/2006/relationships/image" Target="/media/image3.png" Id="Rb7332bc22fbb4267" /><Relationship Type="http://schemas.openxmlformats.org/officeDocument/2006/relationships/header" Target="/word/header1.xml" Id="R856ab814316d46ac" /><Relationship Type="http://schemas.openxmlformats.org/officeDocument/2006/relationships/footer" Target="/word/footer1.xml" Id="Rea4c900f3698498a" /><Relationship Type="http://schemas.openxmlformats.org/officeDocument/2006/relationships/settings" Target="/word/settings.xml" Id="R17c0191dffaf4c91" /></Relationships>
</file>

<file path=word/_rels/header1.xml.rels>&#65279;<?xml version="1.0" encoding="utf-8"?><Relationships xmlns="http://schemas.openxmlformats.org/package/2006/relationships"><Relationship Type="http://schemas.openxmlformats.org/officeDocument/2006/relationships/image" Target="/media/image4.png" Id="Ra5635074bc2240ec" /></Relationships>
</file>