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left="0" w:right="0"/>
        <w:jc w:val="left"/>
        <w:rPr>
          <w:rFonts w:ascii="Georgia;serif" w:hAnsi="Georgia;serif"/>
          <w:color w:val="0A453C"/>
          <w:sz w:val="40"/>
        </w:rPr>
      </w:pPr>
      <w:r>
        <w:rPr>
          <w:rFonts w:ascii="Georgia;serif" w:hAnsi="Georgia;serif"/>
          <w:color w:val="0A453C"/>
          <w:sz w:val="40"/>
        </w:rPr>
        <w:t>RépétIA — Dossier d'Architecture Technique</w:t>
      </w:r>
    </w:p>
    <w:p>
      <w:pPr>
        <w:pStyle w:val="BodyText"/>
        <w:bidi w:val="0"/>
        <w:ind w:hanging="0" w:left="0" w:right="0"/>
        <w:jc w:val="both"/>
        <w:rPr/>
      </w:pPr>
      <w:r>
        <w:rPr>
          <w:b/>
        </w:rPr>
        <w:t>Concours</w:t>
      </w:r>
      <w:r>
        <w:rPr/>
        <w:t xml:space="preserve"> Afri'Tech Challenge 2026 · </w:t>
      </w:r>
      <w:r>
        <w:rPr>
          <w:b/>
        </w:rPr>
        <w:t>Candidat</w:t>
      </w:r>
      <w:r>
        <w:rPr/>
        <w:t xml:space="preserve"> Prince Kangbode · </w:t>
      </w:r>
      <w:r>
        <w:rPr>
          <w:b/>
        </w:rPr>
        <w:t>Document</w:t>
      </w:r>
      <w:r>
        <w:rPr/>
        <w:t xml:space="preserve"> DAT v1.0 · </w:t>
      </w:r>
      <w:r>
        <w:rPr>
          <w:b/>
        </w:rPr>
        <w:t>Date</w:t>
      </w:r>
      <w:r>
        <w:rPr/>
        <w:t xml:space="preserve"> 30 août 2026</w:t>
      </w:r>
    </w:p>
    <w:p>
      <w:pPr>
        <w:pStyle w:val="BodyText"/>
        <w:bidi w:val="0"/>
        <w:ind w:hanging="0" w:left="0" w:right="0"/>
        <w:jc w:val="both"/>
        <w:rPr/>
      </w:pPr>
      <w:r>
        <w:rPr/>
        <w:t>Un répétiteur particulier propulsé par l'IA pour les six matières écrites du BEPC béninois. Un backend, deux clients : une application web installable et une application Android native.</w:t>
      </w:r>
    </w:p>
    <w:tbl>
      <w:tblPr>
        <w:tblW w:w="6062" w:type="dxa"/>
        <w:jc w:val="left"/>
        <w:tblInd w:w="-7" w:type="dxa"/>
        <w:tblLayout w:type="fixed"/>
        <w:tblCellMar>
          <w:top w:w="90" w:type="dxa"/>
          <w:left w:w="90" w:type="dxa"/>
          <w:bottom w:w="90" w:type="dxa"/>
          <w:right w:w="90" w:type="dxa"/>
        </w:tblCellMar>
      </w:tblPr>
      <w:tblGrid>
        <w:gridCol w:w="2124"/>
        <w:gridCol w:w="3938"/>
      </w:tblGrid>
      <w:tr>
        <w:trPr/>
        <w:tc>
          <w:tcPr>
            <w:tcW w:w="2124"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Accès</w:t>
            </w:r>
          </w:p>
        </w:tc>
        <w:tc>
          <w:tcPr>
            <w:tcW w:w="3938"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Adresse</w:t>
            </w:r>
          </w:p>
        </w:tc>
      </w:tr>
      <w:tr>
        <w:trPr/>
        <w:tc>
          <w:tcPr>
            <w:tcW w:w="212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Démonstration</w:t>
            </w:r>
          </w:p>
        </w:tc>
        <w:tc>
          <w:tcPr>
            <w:tcW w:w="393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hyperlink r:id="rId2">
              <w:r>
                <w:rPr>
                  <w:rStyle w:val="Hyperlink"/>
                </w:rPr>
                <w:t>repetia.vercel.app</w:t>
              </w:r>
            </w:hyperlink>
          </w:p>
        </w:tc>
      </w:tr>
      <w:tr>
        <w:trPr/>
        <w:tc>
          <w:tcPr>
            <w:tcW w:w="212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API publique</w:t>
            </w:r>
          </w:p>
        </w:tc>
        <w:tc>
          <w:tcPr>
            <w:tcW w:w="393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hyperlink r:id="rId3">
              <w:r>
                <w:rPr>
                  <w:rStyle w:val="Hyperlink"/>
                </w:rPr>
                <w:t>repetia-api.onrender.com</w:t>
              </w:r>
            </w:hyperlink>
          </w:p>
        </w:tc>
      </w:tr>
      <w:tr>
        <w:trPr/>
        <w:tc>
          <w:tcPr>
            <w:tcW w:w="212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Code source</w:t>
            </w:r>
          </w:p>
        </w:tc>
        <w:tc>
          <w:tcPr>
            <w:tcW w:w="393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hyperlink r:id="rId4">
              <w:r>
                <w:rPr>
                  <w:rStyle w:val="Hyperlink"/>
                </w:rPr>
                <w:t>github.com/Nounagnon02/repetia</w:t>
              </w:r>
            </w:hyperlink>
          </w:p>
        </w:tc>
      </w:tr>
      <w:tr>
        <w:trPr/>
        <w:tc>
          <w:tcPr>
            <w:tcW w:w="212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Application Android</w:t>
            </w:r>
          </w:p>
        </w:tc>
        <w:tc>
          <w:tcPr>
            <w:tcW w:w="393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 — build EAS, APK sur demande</w:t>
            </w:r>
          </w:p>
        </w:tc>
      </w:tr>
    </w:tbl>
    <w:p>
      <w:pPr>
        <w:pStyle w:val="Heading2"/>
        <w:bidi w:val="0"/>
        <w:ind w:hanging="0" w:left="0" w:right="0"/>
        <w:jc w:val="left"/>
        <w:rPr>
          <w:rFonts w:ascii="Georgia;serif" w:hAnsi="Georgia;serif"/>
          <w:color w:val="0A453C"/>
          <w:sz w:val="30"/>
        </w:rPr>
      </w:pPr>
      <w:r>
        <w:rPr>
          <w:rFonts w:ascii="Georgia;serif" w:hAnsi="Georgia;serif"/>
          <w:color w:val="0A453C"/>
          <w:sz w:val="30"/>
        </w:rPr>
        <w:t>1 — Présentation de la solution</w:t>
      </w:r>
    </w:p>
    <w:p>
      <w:pPr>
        <w:pStyle w:val="Heading3"/>
        <w:bidi w:val="0"/>
        <w:ind w:hanging="0" w:left="0" w:right="0"/>
        <w:jc w:val="left"/>
        <w:rPr>
          <w:rFonts w:ascii="Georgia;serif" w:hAnsi="Georgia;serif"/>
          <w:color w:val="20302B"/>
          <w:sz w:val="24"/>
        </w:rPr>
      </w:pPr>
      <w:r>
        <w:rPr>
          <w:rFonts w:ascii="Georgia;serif" w:hAnsi="Georgia;serif"/>
          <w:color w:val="20302B"/>
          <w:sz w:val="24"/>
        </w:rPr>
        <w:t>Objectifs, usages et publics cibles</w:t>
      </w:r>
    </w:p>
    <w:p>
      <w:pPr>
        <w:pStyle w:val="BodyText"/>
        <w:bidi w:val="0"/>
        <w:ind w:hanging="0" w:left="0" w:right="0"/>
        <w:jc w:val="both"/>
        <w:rPr>
          <w:b/>
        </w:rPr>
      </w:pPr>
      <w:r>
        <w:rPr>
          <w:b/>
        </w:rPr>
        <w:t>Le problème</w:t>
      </w:r>
    </w:p>
    <w:p>
      <w:pPr>
        <w:pStyle w:val="BodyText"/>
        <w:bidi w:val="0"/>
        <w:ind w:hanging="0" w:left="0" w:right="0"/>
        <w:jc w:val="both"/>
        <w:rPr/>
      </w:pPr>
      <w:r>
        <w:rPr/>
        <w:t>Au Bénin, le répétiteur particulier est la norme pour préparer le BEPC — et il coûte entre 5 000 et 15 000 FCFA par mois. Beaucoup de familles ne peuvent pas se le permettre. L'élève se retrouve seul face à un exercice qu'il ne comprend pas, avec un manuel qui donne la réponse mais jamais la démarche.</w:t>
      </w:r>
    </w:p>
    <w:p>
      <w:pPr>
        <w:pStyle w:val="BodyText"/>
        <w:bidi w:val="0"/>
        <w:ind w:hanging="0" w:left="0" w:right="0"/>
        <w:jc w:val="both"/>
        <w:rPr/>
      </w:pPr>
      <w:r>
        <w:rPr/>
        <w:t>Les ressources en ligne existantes échouent sur trois points concrets : elles ne suivent pas le programme béninois, elles supposent une connexion stable et un forfait de données confortable, et elles donnent des corrigés au lieu d'expliquer.</w:t>
      </w:r>
    </w:p>
    <w:p>
      <w:pPr>
        <w:pStyle w:val="BodyText"/>
        <w:bidi w:val="0"/>
        <w:ind w:hanging="0" w:left="0" w:right="0"/>
        <w:jc w:val="both"/>
        <w:rPr>
          <w:b/>
        </w:rPr>
      </w:pPr>
      <w:r>
        <w:rPr>
          <w:b/>
        </w:rPr>
        <w:t>Objectifs</w:t>
      </w:r>
    </w:p>
    <w:p>
      <w:pPr>
        <w:pStyle w:val="BodyText"/>
        <w:numPr>
          <w:ilvl w:val="0"/>
          <w:numId w:val="1"/>
        </w:numPr>
        <w:tabs>
          <w:tab w:val="clear" w:pos="1134"/>
          <w:tab w:val="left" w:pos="709" w:leader="none"/>
        </w:tabs>
        <w:bidi w:val="0"/>
        <w:spacing w:before="0" w:after="0"/>
        <w:ind w:hanging="283" w:left="709"/>
        <w:jc w:val="left"/>
        <w:rPr/>
      </w:pPr>
      <w:r>
        <w:rPr/>
        <w:t xml:space="preserve">Mettre un répétiteur dans la poche de chaque élève, gratuitement et sans compte. </w:t>
      </w:r>
    </w:p>
    <w:p>
      <w:pPr>
        <w:pStyle w:val="BodyText"/>
        <w:numPr>
          <w:ilvl w:val="0"/>
          <w:numId w:val="1"/>
        </w:numPr>
        <w:tabs>
          <w:tab w:val="clear" w:pos="1134"/>
          <w:tab w:val="left" w:pos="709" w:leader="none"/>
        </w:tabs>
        <w:bidi w:val="0"/>
        <w:spacing w:before="0" w:after="0"/>
        <w:ind w:hanging="283" w:left="709"/>
        <w:jc w:val="left"/>
        <w:rPr/>
      </w:pPr>
      <w:r>
        <w:rPr/>
        <w:t xml:space="preserve">Expliquer la </w:t>
      </w:r>
      <w:r>
        <w:rPr>
          <w:b/>
        </w:rPr>
        <w:t>démarche</w:t>
      </w:r>
      <w:r>
        <w:rPr/>
        <w:t xml:space="preserve">, jamais seulement la réponse. </w:t>
      </w:r>
    </w:p>
    <w:p>
      <w:pPr>
        <w:pStyle w:val="BodyText"/>
        <w:numPr>
          <w:ilvl w:val="0"/>
          <w:numId w:val="1"/>
        </w:numPr>
        <w:tabs>
          <w:tab w:val="clear" w:pos="1134"/>
          <w:tab w:val="left" w:pos="709" w:leader="none"/>
        </w:tabs>
        <w:bidi w:val="0"/>
        <w:spacing w:before="0" w:after="0"/>
        <w:ind w:hanging="283" w:left="709"/>
        <w:jc w:val="left"/>
        <w:rPr/>
      </w:pPr>
      <w:r>
        <w:rPr/>
        <w:t xml:space="preserve">Rester utilisable sur un téléphone d'entrée de gamme et un forfait de données limité. </w:t>
      </w:r>
    </w:p>
    <w:p>
      <w:pPr>
        <w:pStyle w:val="BodyText"/>
        <w:numPr>
          <w:ilvl w:val="0"/>
          <w:numId w:val="1"/>
        </w:numPr>
        <w:tabs>
          <w:tab w:val="clear" w:pos="1134"/>
          <w:tab w:val="left" w:pos="709" w:leader="none"/>
        </w:tabs>
        <w:bidi w:val="0"/>
        <w:ind w:hanging="283" w:left="709"/>
        <w:jc w:val="left"/>
        <w:rPr/>
      </w:pPr>
      <w:r>
        <w:rPr/>
        <w:t xml:space="preserve">Couvrir le programme béninois, pas un programme générique importé. </w:t>
      </w:r>
    </w:p>
    <w:p>
      <w:pPr>
        <w:pStyle w:val="BodyText"/>
        <w:bidi w:val="0"/>
        <w:ind w:hanging="0" w:left="0" w:right="0"/>
        <w:jc w:val="both"/>
        <w:rPr>
          <w:b/>
        </w:rPr>
      </w:pPr>
      <w:r>
        <w:rPr>
          <w:b/>
        </w:rPr>
        <w:t>Publics cibles</w:t>
      </w:r>
    </w:p>
    <w:tbl>
      <w:tblPr>
        <w:tblW w:w="6062" w:type="dxa"/>
        <w:jc w:val="left"/>
        <w:tblInd w:w="-7" w:type="dxa"/>
        <w:tblLayout w:type="fixed"/>
        <w:tblCellMar>
          <w:top w:w="90" w:type="dxa"/>
          <w:left w:w="90" w:type="dxa"/>
          <w:bottom w:w="90" w:type="dxa"/>
          <w:right w:w="90" w:type="dxa"/>
        </w:tblCellMar>
      </w:tblPr>
      <w:tblGrid>
        <w:gridCol w:w="2628"/>
        <w:gridCol w:w="3434"/>
      </w:tblGrid>
      <w:tr>
        <w:trPr/>
        <w:tc>
          <w:tcPr>
            <w:tcW w:w="2628"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Public</w:t>
            </w:r>
          </w:p>
        </w:tc>
        <w:tc>
          <w:tcPr>
            <w:tcW w:w="3434"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Usage</w:t>
            </w:r>
          </w:p>
        </w:tc>
      </w:tr>
      <w:tr>
        <w:trPr/>
        <w:tc>
          <w:tcPr>
            <w:tcW w:w="262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b/>
              </w:rPr>
              <w:t>Élèves de 3e</w:t>
            </w:r>
            <w:r>
              <w:rPr/>
              <w:t xml:space="preserve"> préparant le BEPC</w:t>
            </w:r>
          </w:p>
        </w:tc>
        <w:tc>
          <w:tcPr>
            <w:tcW w:w="3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Révision autonome le soir et le week-end, sur téléphone</w:t>
            </w:r>
          </w:p>
        </w:tc>
      </w:tr>
      <w:tr>
        <w:trPr/>
        <w:tc>
          <w:tcPr>
            <w:tcW w:w="262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b/>
              </w:rPr>
              <w:t>Parents</w:t>
            </w:r>
            <w:r>
              <w:rPr/>
              <w:t xml:space="preserve"> sans moyens pour un répétiteur</w:t>
            </w:r>
          </w:p>
        </w:tc>
        <w:tc>
          <w:tcPr>
            <w:tcW w:w="3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Suivre la progression de l'enfant par thème</w:t>
            </w:r>
          </w:p>
        </w:tc>
      </w:tr>
      <w:tr>
        <w:trPr/>
        <w:tc>
          <w:tcPr>
            <w:tcW w:w="262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b/>
              </w:rPr>
            </w:pPr>
            <w:r>
              <w:rPr>
                <w:b/>
              </w:rPr>
              <w:t>Enseignants et écoles</w:t>
            </w:r>
          </w:p>
        </w:tc>
        <w:tc>
          <w:tcPr>
            <w:tcW w:w="343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Exercices d'appoint, repérage des thèmes fragiles d'une classe</w:t>
            </w:r>
          </w:p>
        </w:tc>
      </w:tr>
    </w:tbl>
    <w:p>
      <w:pPr>
        <w:pStyle w:val="BodyText"/>
        <w:bidi w:val="0"/>
        <w:ind w:hanging="0" w:left="0" w:right="0"/>
        <w:jc w:val="both"/>
        <w:rPr>
          <w:b/>
        </w:rPr>
      </w:pPr>
      <w:r>
        <w:rPr>
          <w:b/>
        </w:rPr>
        <w:t>Fonctionnalités livrées</w:t>
      </w:r>
    </w:p>
    <w:tbl>
      <w:tblPr>
        <w:tblW w:w="6062" w:type="dxa"/>
        <w:jc w:val="left"/>
        <w:tblInd w:w="-7" w:type="dxa"/>
        <w:tblLayout w:type="fixed"/>
        <w:tblCellMar>
          <w:top w:w="90" w:type="dxa"/>
          <w:left w:w="90" w:type="dxa"/>
          <w:bottom w:w="90" w:type="dxa"/>
          <w:right w:w="90" w:type="dxa"/>
        </w:tblCellMar>
      </w:tblPr>
      <w:tblGrid>
        <w:gridCol w:w="575"/>
        <w:gridCol w:w="4791"/>
        <w:gridCol w:w="696"/>
      </w:tblGrid>
      <w:tr>
        <w:trPr/>
        <w:tc>
          <w:tcPr>
            <w:tcW w:w="57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Réf</w:t>
            </w:r>
          </w:p>
        </w:tc>
        <w:tc>
          <w:tcPr>
            <w:tcW w:w="4791"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Fonctionnalité</w:t>
            </w:r>
          </w:p>
        </w:tc>
        <w:tc>
          <w:tcPr>
            <w:tcW w:w="696"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État</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F1</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Sélection de la matière (6), du thème (46) et de la difficulté</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F2</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Génération d'un exercice par l'IA, adapté au thème et au niveau</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F3</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Saisie de la réponse et correction, formes équivalentes acceptées</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F4</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Explication pas à pas après chaque tentative</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F5</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Chat répétiteur, avec le contexte de l'exercice en cours</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F6</w:t>
            </w:r>
          </w:p>
        </w:tc>
        <w:tc>
          <w:tcPr>
            <w:tcW w:w="47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Suivi de progression : taux global et maîtrise par thème</w:t>
            </w:r>
          </w:p>
        </w:tc>
        <w:tc>
          <w:tcPr>
            <w:tcW w:w="69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Livré</w:t>
            </w:r>
          </w:p>
        </w:tc>
      </w:tr>
      <w:tr>
        <w:trPr/>
        <w:tc>
          <w:tcPr>
            <w:tcW w:w="57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F7</w:t>
            </w:r>
          </w:p>
        </w:tc>
        <w:tc>
          <w:tcPr>
            <w:tcW w:w="479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Recommandation du thème à revoir en priorité</w:t>
            </w:r>
          </w:p>
        </w:tc>
        <w:tc>
          <w:tcPr>
            <w:tcW w:w="69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Livré</w:t>
            </w:r>
          </w:p>
        </w:tc>
      </w:tr>
    </w:tbl>
    <w:p>
      <w:pPr>
        <w:pStyle w:val="BodyText"/>
        <w:bidi w:val="0"/>
        <w:ind w:hanging="0" w:left="0" w:right="0"/>
        <w:jc w:val="both"/>
        <w:rPr>
          <w:b/>
        </w:rPr>
      </w:pPr>
      <w:r>
        <w:rPr>
          <w:b/>
        </w:rPr>
        <w:t>Périmètre couvert</w:t>
      </w:r>
    </w:p>
    <w:tbl>
      <w:tblPr>
        <w:tblW w:w="6062" w:type="dxa"/>
        <w:jc w:val="left"/>
        <w:tblInd w:w="-7" w:type="dxa"/>
        <w:tblLayout w:type="fixed"/>
        <w:tblCellMar>
          <w:top w:w="90" w:type="dxa"/>
          <w:left w:w="90" w:type="dxa"/>
          <w:bottom w:w="90" w:type="dxa"/>
          <w:right w:w="90" w:type="dxa"/>
        </w:tblCellMar>
      </w:tblPr>
      <w:tblGrid>
        <w:gridCol w:w="3215"/>
        <w:gridCol w:w="1041"/>
        <w:gridCol w:w="1806"/>
      </w:tblGrid>
      <w:tr>
        <w:trPr/>
        <w:tc>
          <w:tcPr>
            <w:tcW w:w="321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Matière</w:t>
            </w:r>
          </w:p>
        </w:tc>
        <w:tc>
          <w:tcPr>
            <w:tcW w:w="1041"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Thèmes</w:t>
            </w:r>
          </w:p>
        </w:tc>
        <w:tc>
          <w:tcPr>
            <w:tcW w:w="1806"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Exemples</w:t>
            </w:r>
          </w:p>
        </w:tc>
      </w:tr>
      <w:tr>
        <w:trPr/>
        <w:tc>
          <w:tcPr>
            <w:tcW w:w="32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Mathématiques</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w:t>
            </w:r>
          </w:p>
        </w:tc>
        <w:tc>
          <w:tcPr>
            <w:tcW w:w="180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Thalès, Pythagore, équations, racines carrées</w:t>
            </w:r>
          </w:p>
        </w:tc>
      </w:tr>
      <w:tr>
        <w:trPr/>
        <w:tc>
          <w:tcPr>
            <w:tcW w:w="32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Physique-Chimie-Technologie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w:t>
            </w:r>
          </w:p>
        </w:tc>
        <w:tc>
          <w:tcPr>
            <w:tcW w:w="180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Loi d'Ohm, forces, réactions chimiques</w:t>
            </w:r>
          </w:p>
        </w:tc>
      </w:tr>
      <w:tr>
        <w:trPr/>
        <w:tc>
          <w:tcPr>
            <w:tcW w:w="32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Sciences de la Vie et de la Terre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w:t>
            </w:r>
          </w:p>
        </w:tc>
        <w:tc>
          <w:tcPr>
            <w:tcW w:w="180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Digestion, génétique, écosystèmes</w:t>
            </w:r>
          </w:p>
        </w:tc>
      </w:tr>
      <w:tr>
        <w:trPr/>
        <w:tc>
          <w:tcPr>
            <w:tcW w:w="32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Français</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w:t>
            </w:r>
          </w:p>
        </w:tc>
        <w:tc>
          <w:tcPr>
            <w:tcW w:w="180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Grammaire, conjugaison, figures de style</w:t>
            </w:r>
          </w:p>
        </w:tc>
      </w:tr>
      <w:tr>
        <w:trPr/>
        <w:tc>
          <w:tcPr>
            <w:tcW w:w="32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Anglais</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w:t>
            </w:r>
          </w:p>
        </w:tc>
        <w:tc>
          <w:tcPr>
            <w:tcW w:w="180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Tenses, reported speech, comprehension</w:t>
            </w:r>
          </w:p>
        </w:tc>
      </w:tr>
      <w:tr>
        <w:trPr/>
        <w:tc>
          <w:tcPr>
            <w:tcW w:w="321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Histoire-Géographie</w:t>
            </w:r>
          </w:p>
        </w:tc>
        <w:tc>
          <w:tcPr>
            <w:tcW w:w="104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8</w:t>
            </w:r>
          </w:p>
        </w:tc>
        <w:tc>
          <w:tcPr>
            <w:tcW w:w="180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Indépendances, climats et économie du Bénin</w:t>
            </w:r>
          </w:p>
        </w:tc>
      </w:tr>
    </w:tbl>
    <w:p>
      <w:pPr>
        <w:pStyle w:val="BodyText"/>
        <w:bidi w:val="0"/>
        <w:ind w:hanging="0" w:left="0" w:right="0"/>
        <w:jc w:val="both"/>
        <w:rPr/>
      </w:pPr>
      <w:r>
        <w:rPr>
          <w:b/>
        </w:rPr>
        <w:t>Six matières, 46 thèmes.</w:t>
      </w:r>
      <w:r>
        <w:rPr/>
        <w:t xml:space="preserve"> Le produit est en ligne et testable dès aujourd'hui.</w:t>
      </w:r>
    </w:p>
    <w:p>
      <w:pPr>
        <w:pStyle w:val="Heading2"/>
        <w:bidi w:val="0"/>
        <w:ind w:hanging="0" w:left="0" w:right="0"/>
        <w:jc w:val="left"/>
        <w:rPr>
          <w:rFonts w:ascii="Georgia;serif" w:hAnsi="Georgia;serif"/>
          <w:color w:val="0A453C"/>
          <w:sz w:val="30"/>
        </w:rPr>
      </w:pPr>
      <w:r>
        <w:rPr>
          <w:rFonts w:ascii="Georgia;serif" w:hAnsi="Georgia;serif"/>
          <w:color w:val="0A453C"/>
          <w:sz w:val="30"/>
        </w:rPr>
        <w:t>2 — Architecture globale</w:t>
      </w:r>
    </w:p>
    <w:p>
      <w:pPr>
        <w:pStyle w:val="Heading3"/>
        <w:bidi w:val="0"/>
        <w:ind w:hanging="0" w:left="0" w:right="0"/>
        <w:jc w:val="left"/>
        <w:rPr>
          <w:rFonts w:ascii="Georgia;serif" w:hAnsi="Georgia;serif"/>
          <w:color w:val="20302B"/>
          <w:sz w:val="24"/>
        </w:rPr>
      </w:pPr>
      <w:r>
        <w:rPr>
          <w:rFonts w:ascii="Georgia;serif" w:hAnsi="Georgia;serif"/>
          <w:color w:val="20302B"/>
          <w:sz w:val="24"/>
        </w:rPr>
        <w:t>Un backend souverain, deux clients</w:t>
      </w:r>
    </w:p>
    <w:p>
      <w:pPr>
        <w:pStyle w:val="BodyText"/>
        <w:bidi w:val="0"/>
        <w:ind w:hanging="0" w:left="0" w:right="0"/>
        <w:jc w:val="both"/>
        <w:rPr/>
      </w:pPr>
      <w:r>
        <w:rPr/>
        <w:t>Web (PWA) React + Vite Android natif React Native + Expo HTTPS/REST HTTPS/REST Backend Express Règles · validation Détient la clé IA Modèle Gemini appelé côté serveur PostgreSQL progression, exercices Aucune flèche ne relie un client au modèle. C'est la contrainte structurante du projet.</w:t>
      </w:r>
    </w:p>
    <w:p>
      <w:pPr>
        <w:pStyle w:val="BodyText"/>
        <w:bidi w:val="0"/>
        <w:ind w:hanging="0" w:left="0" w:right="0"/>
        <w:jc w:val="both"/>
        <w:rPr>
          <w:b/>
        </w:rPr>
      </w:pPr>
      <w:r>
        <w:rPr>
          <w:b/>
        </w:rPr>
        <w:t>Composants</w:t>
      </w:r>
    </w:p>
    <w:tbl>
      <w:tblPr>
        <w:tblW w:w="6062" w:type="dxa"/>
        <w:jc w:val="left"/>
        <w:tblInd w:w="-7" w:type="dxa"/>
        <w:tblLayout w:type="fixed"/>
        <w:tblCellMar>
          <w:top w:w="90" w:type="dxa"/>
          <w:left w:w="90" w:type="dxa"/>
          <w:bottom w:w="90" w:type="dxa"/>
          <w:right w:w="90" w:type="dxa"/>
        </w:tblCellMar>
      </w:tblPr>
      <w:tblGrid>
        <w:gridCol w:w="1574"/>
        <w:gridCol w:w="2261"/>
        <w:gridCol w:w="2227"/>
      </w:tblGrid>
      <w:tr>
        <w:trPr/>
        <w:tc>
          <w:tcPr>
            <w:tcW w:w="1574"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Composant</w:t>
            </w:r>
          </w:p>
        </w:tc>
        <w:tc>
          <w:tcPr>
            <w:tcW w:w="2261"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Rôle</w:t>
            </w:r>
          </w:p>
        </w:tc>
        <w:tc>
          <w:tcPr>
            <w:tcW w:w="2227"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Hébergement</w:t>
            </w:r>
          </w:p>
        </w:tc>
      </w:tr>
      <w:tr>
        <w:trPr/>
        <w:tc>
          <w:tcPr>
            <w:tcW w:w="157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b/>
              </w:rPr>
            </w:pPr>
            <w:r>
              <w:rPr>
                <w:b/>
              </w:rPr>
              <w:t>Frontend web</w:t>
            </w:r>
          </w:p>
        </w:tc>
        <w:tc>
          <w:tcPr>
            <w:tcW w:w="22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PWA installable, 4 écrans, cache hors-ligne</w:t>
            </w:r>
          </w:p>
        </w:tc>
        <w:tc>
          <w:tcPr>
            <w:tcW w:w="22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Vercel (CDN mondial)</w:t>
            </w:r>
          </w:p>
        </w:tc>
      </w:tr>
      <w:tr>
        <w:trPr/>
        <w:tc>
          <w:tcPr>
            <w:tcW w:w="157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b/>
              </w:rPr>
            </w:pPr>
            <w:r>
              <w:rPr>
                <w:b/>
              </w:rPr>
              <w:t>Frontend mobile</w:t>
            </w:r>
          </w:p>
        </w:tc>
        <w:tc>
          <w:tcPr>
            <w:tcW w:w="22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Application Android native, mêmes écrans</w:t>
            </w:r>
          </w:p>
        </w:tc>
        <w:tc>
          <w:tcPr>
            <w:tcW w:w="22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APK / Play Store via EAS</w:t>
            </w:r>
          </w:p>
        </w:tc>
      </w:tr>
      <w:tr>
        <w:trPr/>
        <w:tc>
          <w:tcPr>
            <w:tcW w:w="157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b/>
              </w:rPr>
            </w:pPr>
            <w:r>
              <w:rPr>
                <w:b/>
              </w:rPr>
              <w:t>Backend</w:t>
            </w:r>
          </w:p>
        </w:tc>
        <w:tc>
          <w:tcPr>
            <w:tcW w:w="22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 REST, règles métier, seul appelant du modèle</w:t>
            </w:r>
          </w:p>
        </w:tc>
        <w:tc>
          <w:tcPr>
            <w:tcW w:w="22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Render — région Francfort</w:t>
            </w:r>
          </w:p>
        </w:tc>
      </w:tr>
      <w:tr>
        <w:trPr/>
        <w:tc>
          <w:tcPr>
            <w:tcW w:w="157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b/>
              </w:rPr>
            </w:pPr>
            <w:r>
              <w:rPr>
                <w:b/>
              </w:rPr>
              <w:t>Base de données</w:t>
            </w:r>
          </w:p>
        </w:tc>
        <w:tc>
          <w:tcPr>
            <w:tcW w:w="22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Élèves anonymes, exercices, tentatives, progression</w:t>
            </w:r>
          </w:p>
        </w:tc>
        <w:tc>
          <w:tcPr>
            <w:tcW w:w="22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PostgreSQL 16 managé, non exposée</w:t>
            </w:r>
          </w:p>
        </w:tc>
      </w:tr>
      <w:tr>
        <w:trPr/>
        <w:tc>
          <w:tcPr>
            <w:tcW w:w="157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b/>
              </w:rPr>
            </w:pPr>
            <w:r>
              <w:rPr>
                <w:b/>
              </w:rPr>
              <w:t>Service d'IA</w:t>
            </w:r>
          </w:p>
        </w:tc>
        <w:tc>
          <w:tcPr>
            <w:tcW w:w="22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Génération, correction, chat</w:t>
            </w:r>
          </w:p>
        </w:tc>
        <w:tc>
          <w:tcPr>
            <w:tcW w:w="222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Google Gemini, appelé serveur à serveur</w:t>
            </w:r>
          </w:p>
        </w:tc>
      </w:tr>
    </w:tbl>
    <w:p>
      <w:pPr>
        <w:pStyle w:val="BodyText"/>
        <w:bidi w:val="0"/>
        <w:ind w:hanging="0" w:left="0" w:right="0"/>
        <w:jc w:val="both"/>
        <w:rPr>
          <w:b/>
        </w:rPr>
      </w:pPr>
      <w:r>
        <w:rPr>
          <w:b/>
        </w:rPr>
        <w:t>Modèle de données</w:t>
      </w:r>
    </w:p>
    <w:p>
      <w:pPr>
        <w:pStyle w:val="BodyText"/>
        <w:bidi w:val="0"/>
        <w:ind w:hanging="0" w:left="0" w:right="0"/>
        <w:jc w:val="both"/>
        <w:rPr/>
      </w:pPr>
      <w:r>
        <w:rPr/>
        <w:t>Six entités, reliées de l'élève à sa progression par thème :</w:t>
      </w:r>
    </w:p>
    <w:tbl>
      <w:tblPr>
        <w:tblW w:w="6062" w:type="dxa"/>
        <w:jc w:val="left"/>
        <w:tblInd w:w="-7" w:type="dxa"/>
        <w:tblLayout w:type="fixed"/>
        <w:tblCellMar>
          <w:top w:w="90" w:type="dxa"/>
          <w:left w:w="90" w:type="dxa"/>
          <w:bottom w:w="90" w:type="dxa"/>
          <w:right w:w="90" w:type="dxa"/>
        </w:tblCellMar>
      </w:tblPr>
      <w:tblGrid>
        <w:gridCol w:w="1415"/>
        <w:gridCol w:w="2615"/>
        <w:gridCol w:w="2032"/>
      </w:tblGrid>
      <w:tr>
        <w:trPr/>
        <w:tc>
          <w:tcPr>
            <w:tcW w:w="141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Entité</w:t>
            </w:r>
          </w:p>
        </w:tc>
        <w:tc>
          <w:tcPr>
            <w:tcW w:w="2615"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Contenu</w:t>
            </w:r>
          </w:p>
        </w:tc>
        <w:tc>
          <w:tcPr>
            <w:tcW w:w="2032"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Relations</w:t>
            </w:r>
          </w:p>
        </w:tc>
      </w:tr>
      <w:tr>
        <w:trPr/>
        <w:tc>
          <w:tcPr>
            <w:tcW w:w="14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User</w:t>
            </w:r>
          </w:p>
        </w:tc>
        <w:tc>
          <w:tcPr>
            <w:tcW w:w="26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Identifiant anonyme, niveau</w:t>
            </w:r>
          </w:p>
        </w:tc>
        <w:tc>
          <w:tcPr>
            <w:tcW w:w="20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 n tentatives, progressions</w:t>
            </w:r>
          </w:p>
        </w:tc>
      </w:tr>
      <w:tr>
        <w:trPr/>
        <w:tc>
          <w:tcPr>
            <w:tcW w:w="14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Matiere</w:t>
            </w:r>
          </w:p>
        </w:tc>
        <w:tc>
          <w:tcPr>
            <w:tcW w:w="26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Code, libellé, niveau, ordre</w:t>
            </w:r>
          </w:p>
        </w:tc>
        <w:tc>
          <w:tcPr>
            <w:tcW w:w="20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 n thèmes</w:t>
            </w:r>
          </w:p>
        </w:tc>
      </w:tr>
      <w:tr>
        <w:trPr/>
        <w:tc>
          <w:tcPr>
            <w:tcW w:w="14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Theme</w:t>
            </w:r>
          </w:p>
        </w:tc>
        <w:tc>
          <w:tcPr>
            <w:tcW w:w="26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Libellé, ordre pédagogique</w:t>
            </w:r>
          </w:p>
        </w:tc>
        <w:tc>
          <w:tcPr>
            <w:tcW w:w="20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 → 1 matière</w:t>
            </w:r>
          </w:p>
        </w:tc>
      </w:tr>
      <w:tr>
        <w:trPr/>
        <w:tc>
          <w:tcPr>
            <w:tcW w:w="14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Exercice</w:t>
            </w:r>
          </w:p>
        </w:tc>
        <w:tc>
          <w:tcPr>
            <w:tcW w:w="26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Énoncé, solution, explication, provenance</w:t>
            </w:r>
          </w:p>
        </w:tc>
        <w:tc>
          <w:tcPr>
            <w:tcW w:w="20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 → 1 thème</w:t>
            </w:r>
          </w:p>
        </w:tc>
      </w:tr>
      <w:tr>
        <w:trPr/>
        <w:tc>
          <w:tcPr>
            <w:tcW w:w="14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Tentative</w:t>
            </w:r>
          </w:p>
        </w:tc>
        <w:tc>
          <w:tcPr>
            <w:tcW w:w="26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Réponse de l'élève, verdict</w:t>
            </w:r>
          </w:p>
        </w:tc>
        <w:tc>
          <w:tcPr>
            <w:tcW w:w="20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 → 1 élève, 1 exercice</w:t>
            </w:r>
          </w:p>
        </w:tc>
      </w:tr>
      <w:tr>
        <w:trPr/>
        <w:tc>
          <w:tcPr>
            <w:tcW w:w="141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Progression</w:t>
            </w:r>
          </w:p>
        </w:tc>
        <w:tc>
          <w:tcPr>
            <w:tcW w:w="261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Score de maîtrise, compteurs</w:t>
            </w:r>
          </w:p>
        </w:tc>
        <w:tc>
          <w:tcPr>
            <w:tcW w:w="203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unique par (élève, thème)</w:t>
            </w:r>
          </w:p>
        </w:tc>
      </w:tr>
    </w:tbl>
    <w:p>
      <w:pPr>
        <w:pStyle w:val="BodyText"/>
        <w:bidi w:val="0"/>
        <w:ind w:hanging="0" w:left="0" w:right="0"/>
        <w:jc w:val="both"/>
        <w:rPr>
          <w:b/>
        </w:rPr>
      </w:pPr>
      <w:r>
        <w:rPr>
          <w:b/>
        </w:rPr>
        <w:t>Contrat d'API</w:t>
      </w:r>
    </w:p>
    <w:tbl>
      <w:tblPr>
        <w:tblW w:w="6062" w:type="dxa"/>
        <w:jc w:val="left"/>
        <w:tblInd w:w="-7" w:type="dxa"/>
        <w:tblLayout w:type="fixed"/>
        <w:tblCellMar>
          <w:top w:w="90" w:type="dxa"/>
          <w:left w:w="90" w:type="dxa"/>
          <w:bottom w:w="90" w:type="dxa"/>
          <w:right w:w="90" w:type="dxa"/>
        </w:tblCellMar>
      </w:tblPr>
      <w:tblGrid>
        <w:gridCol w:w="1130"/>
        <w:gridCol w:w="1779"/>
        <w:gridCol w:w="3153"/>
      </w:tblGrid>
      <w:tr>
        <w:trPr/>
        <w:tc>
          <w:tcPr>
            <w:tcW w:w="1130"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Méthode</w:t>
            </w:r>
          </w:p>
        </w:tc>
        <w:tc>
          <w:tcPr>
            <w:tcW w:w="1779"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Route</w:t>
            </w:r>
          </w:p>
        </w:tc>
        <w:tc>
          <w:tcPr>
            <w:tcW w:w="3153"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Rôle</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/api/matieres</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Matières du niveau</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/api/matieres/:id/themes</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Thèmes, triés par progression pédagogique</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/api/exercices/generer</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Génère un exercice — </w:t>
            </w:r>
            <w:r>
              <w:rPr>
                <w:b/>
              </w:rPr>
              <w:t>ne renvoie ni solution ni explication</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/api/tentatives</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Corrige, explique, met à jour la maîtrise</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/api/progression</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Global, par thème, et thème à revoir</w:t>
            </w:r>
          </w:p>
        </w:tc>
      </w:tr>
      <w:tr>
        <w:trPr/>
        <w:tc>
          <w:tcPr>
            <w:tcW w:w="11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17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/api/chat</w:t>
            </w:r>
          </w:p>
        </w:tc>
        <w:tc>
          <w:tcPr>
            <w:tcW w:w="31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Question libre, avec l'exercice en contexte</w:t>
            </w:r>
          </w:p>
        </w:tc>
      </w:tr>
      <w:tr>
        <w:trPr/>
        <w:tc>
          <w:tcPr>
            <w:tcW w:w="113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GET</w:t>
            </w:r>
          </w:p>
        </w:tc>
        <w:tc>
          <w:tcPr>
            <w:tcW w:w="177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/health</w:t>
            </w:r>
          </w:p>
        </w:tc>
        <w:tc>
          <w:tcPr>
            <w:tcW w:w="315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État du serveur, de la base et de la configuration IA</w:t>
            </w:r>
          </w:p>
        </w:tc>
      </w:tr>
    </w:tbl>
    <w:p>
      <w:pPr>
        <w:pStyle w:val="BodyText"/>
        <w:bidi w:val="0"/>
        <w:ind w:hanging="0" w:left="0" w:right="0"/>
        <w:jc w:val="both"/>
        <w:rPr/>
      </w:pPr>
      <w:r>
        <w:rPr>
          <w:rFonts w:ascii="Consolas;monospace" w:hAnsi="Consolas;monospace"/>
          <w:shd w:fill="F6E9C7" w:val="clear"/>
        </w:rPr>
        <w:t>/api/exercices/generer</w:t>
      </w:r>
      <w:r>
        <w:rPr/>
        <w:t xml:space="preserve"> renvoie l'énoncé, et rien d'autre. La solution est écrite en base mais jamais transmise avant que l'élève ait soumis sa réponse — sinon il suffirait d'ouvrir les outils de développement pour lire le corrigé, et l'outil perdrait tout intérêt pédagogique. Un test verrouille ce comportement.</w:t>
      </w:r>
    </w:p>
    <w:p>
      <w:pPr>
        <w:pStyle w:val="Heading2"/>
        <w:bidi w:val="0"/>
        <w:ind w:hanging="0" w:left="0" w:right="0"/>
        <w:jc w:val="left"/>
        <w:rPr>
          <w:rFonts w:ascii="Georgia;serif" w:hAnsi="Georgia;serif"/>
          <w:color w:val="0A453C"/>
          <w:sz w:val="30"/>
        </w:rPr>
      </w:pPr>
      <w:r>
        <w:rPr>
          <w:rFonts w:ascii="Georgia;serif" w:hAnsi="Georgia;serif"/>
          <w:color w:val="0A453C"/>
          <w:sz w:val="30"/>
        </w:rPr>
        <w:t>3 — Choix technologiques</w:t>
      </w:r>
    </w:p>
    <w:p>
      <w:pPr>
        <w:pStyle w:val="Heading3"/>
        <w:bidi w:val="0"/>
        <w:ind w:hanging="0" w:left="0" w:right="0"/>
        <w:jc w:val="left"/>
        <w:rPr>
          <w:rFonts w:ascii="Georgia;serif" w:hAnsi="Georgia;serif"/>
          <w:color w:val="20302B"/>
          <w:sz w:val="24"/>
        </w:rPr>
      </w:pPr>
      <w:r>
        <w:rPr>
          <w:rFonts w:ascii="Georgia;serif" w:hAnsi="Georgia;serif"/>
          <w:color w:val="20302B"/>
          <w:sz w:val="24"/>
        </w:rPr>
        <w:t>Peu de dépendances, chacune justifiée</w:t>
      </w:r>
    </w:p>
    <w:tbl>
      <w:tblPr>
        <w:tblW w:w="6062" w:type="dxa"/>
        <w:jc w:val="left"/>
        <w:tblInd w:w="-7" w:type="dxa"/>
        <w:tblLayout w:type="fixed"/>
        <w:tblCellMar>
          <w:top w:w="90" w:type="dxa"/>
          <w:left w:w="90" w:type="dxa"/>
          <w:bottom w:w="90" w:type="dxa"/>
          <w:right w:w="90" w:type="dxa"/>
        </w:tblCellMar>
      </w:tblPr>
      <w:tblGrid>
        <w:gridCol w:w="1195"/>
        <w:gridCol w:w="2076"/>
        <w:gridCol w:w="1027"/>
        <w:gridCol w:w="1764"/>
      </w:tblGrid>
      <w:tr>
        <w:trPr/>
        <w:tc>
          <w:tcPr>
            <w:tcW w:w="119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Couche</w:t>
            </w:r>
          </w:p>
        </w:tc>
        <w:tc>
          <w:tcPr>
            <w:tcW w:w="2076"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Choix</w:t>
            </w:r>
          </w:p>
        </w:tc>
        <w:tc>
          <w:tcPr>
            <w:tcW w:w="1027"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Version</w:t>
            </w:r>
          </w:p>
        </w:tc>
        <w:tc>
          <w:tcPr>
            <w:tcW w:w="1764"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Pourquoi</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Langage</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TypeScript</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5.9</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Un seul langage du serveur au mobile ; le contrat d'API est typé des deux côtés</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Backend</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Node.js · Express</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Minimal, sans magie, adapté à une petite équipe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ORM</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Prisma</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5.22</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Schéma unique, migration SQLite → PostgreSQL sans réécrire une requête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Base de données</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SQLite (dev) · PostgreSQL 16 (prod)</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16</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Zéro installation pour développer, base managée en production</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Validation</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Zod</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4.5</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Valide les entrées HTTP </w:t>
            </w:r>
            <w:r>
              <w:rPr>
                <w:i/>
              </w:rPr>
              <w:t>et</w:t>
            </w:r>
            <w:r>
              <w:rPr/>
              <w:t xml:space="preserve"> les sorties du modèle avec le même outil</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Sécurité</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Helmet · CORS · express-rate-limit</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8.x</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En-têtes durcis, origines verrouillées, quota par élève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Frontend web</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React · Vite · Tailwind</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React 19.2</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Bundle léger, PWA installable, build en moins d'une seconde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Frontend mobile</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React Native · Expo · Expo Router</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SDK 57</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Un seul socle React, build Android sans machine dédiée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Styles mobiles</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NativeWind</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4.2</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Les jetons de design du web réutilisés tels quels sur mobile</w:t>
            </w:r>
          </w:p>
        </w:tc>
      </w:tr>
      <w:tr>
        <w:trPr/>
        <w:tc>
          <w:tcPr>
            <w:tcW w:w="11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IA</w:t>
            </w:r>
          </w:p>
        </w:tc>
        <w:tc>
          <w:tcPr>
            <w:tcW w:w="2076"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Google Gemini (</w:t>
            </w:r>
            <w:r>
              <w:rPr>
                <w:rFonts w:ascii="Consolas;monospace" w:hAnsi="Consolas;monospace"/>
                <w:shd w:fill="F6E9C7" w:val="clear"/>
              </w:rPr>
              <w:t>@google/genai</w:t>
            </w:r>
            <w:r>
              <w:rPr/>
              <w:t>)</w:t>
            </w:r>
          </w:p>
        </w:tc>
        <w:tc>
          <w:tcPr>
            <w:tcW w:w="102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2.19</w:t>
            </w:r>
          </w:p>
        </w:tc>
        <w:tc>
          <w:tcPr>
            <w:tcW w:w="1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Palier gratuit exploitable, latence acceptable, bon français</w:t>
            </w:r>
          </w:p>
        </w:tc>
      </w:tr>
      <w:tr>
        <w:trPr/>
        <w:tc>
          <w:tcPr>
            <w:tcW w:w="119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Tests</w:t>
            </w:r>
          </w:p>
        </w:tc>
        <w:tc>
          <w:tcPr>
            <w:tcW w:w="20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Jest · Vitest · Testing Library · jest-expo</w:t>
            </w:r>
          </w:p>
        </w:tc>
        <w:tc>
          <w:tcPr>
            <w:tcW w:w="102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w:t>
            </w:r>
          </w:p>
        </w:tc>
        <w:tc>
          <w:tcPr>
            <w:tcW w:w="176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Une commande unique couvre les trois espaces</w:t>
            </w:r>
          </w:p>
        </w:tc>
      </w:tr>
    </w:tbl>
    <w:p>
      <w:pPr>
        <w:pStyle w:val="BodyText"/>
        <w:bidi w:val="0"/>
        <w:ind w:hanging="0" w:left="0" w:right="0"/>
        <w:jc w:val="both"/>
        <w:rPr/>
      </w:pPr>
      <w:r>
        <w:rPr/>
        <w:t>C'est un choix, pas une limite. Chaque paquet ajouté est une surface de faille, une mise à jour à suivre et un risque de rupture. Le rendu du texte enrichi, par exemple, est écrit à la main plutôt qu'apporté par une bibliothèque Markdown : quelques dizaines de lignes contre plusieurs dizaines de kilo-octets envoyés à chaque élève.</w:t>
      </w:r>
    </w:p>
    <w:p>
      <w:pPr>
        <w:pStyle w:val="BodyText"/>
        <w:bidi w:val="0"/>
        <w:ind w:hanging="0" w:left="0" w:right="0"/>
        <w:jc w:val="both"/>
        <w:rPr>
          <w:b/>
        </w:rPr>
      </w:pPr>
      <w:r>
        <w:rPr>
          <w:b/>
        </w:rPr>
        <w:t>Outils de développement</w:t>
      </w:r>
    </w:p>
    <w:p>
      <w:pPr>
        <w:pStyle w:val="BodyText"/>
        <w:numPr>
          <w:ilvl w:val="0"/>
          <w:numId w:val="2"/>
        </w:numPr>
        <w:tabs>
          <w:tab w:val="clear" w:pos="1134"/>
          <w:tab w:val="left" w:pos="709" w:leader="none"/>
        </w:tabs>
        <w:bidi w:val="0"/>
        <w:spacing w:before="0" w:after="0"/>
        <w:ind w:hanging="283" w:left="709"/>
        <w:jc w:val="left"/>
        <w:rPr/>
      </w:pPr>
      <w:r>
        <w:rPr>
          <w:b/>
        </w:rPr>
        <w:t>Git</w:t>
      </w:r>
      <w:r>
        <w:rPr/>
        <w:t xml:space="preserve"> — 34 commits en </w:t>
      </w:r>
      <w:r>
        <w:rPr>
          <w:i/>
        </w:rPr>
        <w:t>Conventional Commits</w:t>
      </w:r>
      <w:r>
        <w:rPr/>
        <w:t xml:space="preserve">, historique lisible et rattachable à chaque décision. </w:t>
      </w:r>
    </w:p>
    <w:p>
      <w:pPr>
        <w:pStyle w:val="BodyText"/>
        <w:numPr>
          <w:ilvl w:val="0"/>
          <w:numId w:val="2"/>
        </w:numPr>
        <w:tabs>
          <w:tab w:val="clear" w:pos="1134"/>
          <w:tab w:val="left" w:pos="709" w:leader="none"/>
        </w:tabs>
        <w:bidi w:val="0"/>
        <w:spacing w:before="0" w:after="0"/>
        <w:ind w:hanging="283" w:left="709"/>
        <w:jc w:val="left"/>
        <w:rPr/>
      </w:pPr>
      <w:r>
        <w:rPr>
          <w:b/>
        </w:rPr>
        <w:t>TypeScript strict côté clients</w:t>
      </w:r>
      <w:r>
        <w:rPr/>
        <w:t xml:space="preserve"> — le typecheck fait partie de la définition du « terminé ». </w:t>
      </w:r>
    </w:p>
    <w:p>
      <w:pPr>
        <w:pStyle w:val="BodyText"/>
        <w:numPr>
          <w:ilvl w:val="0"/>
          <w:numId w:val="2"/>
        </w:numPr>
        <w:tabs>
          <w:tab w:val="clear" w:pos="1134"/>
          <w:tab w:val="left" w:pos="709" w:leader="none"/>
        </w:tabs>
        <w:bidi w:val="0"/>
        <w:spacing w:before="0" w:after="0"/>
        <w:ind w:hanging="283" w:left="709"/>
        <w:jc w:val="left"/>
        <w:rPr/>
      </w:pPr>
      <w:r>
        <w:rPr>
          <w:b/>
        </w:rPr>
        <w:t>Prisma CLI</w:t>
      </w:r>
      <w:r>
        <w:rPr/>
        <w:t xml:space="preserve"> — génération du client, application du schéma, seed idempotent. </w:t>
      </w:r>
    </w:p>
    <w:p>
      <w:pPr>
        <w:pStyle w:val="BodyText"/>
        <w:numPr>
          <w:ilvl w:val="0"/>
          <w:numId w:val="2"/>
        </w:numPr>
        <w:tabs>
          <w:tab w:val="clear" w:pos="1134"/>
          <w:tab w:val="left" w:pos="709" w:leader="none"/>
        </w:tabs>
        <w:bidi w:val="0"/>
        <w:spacing w:before="0" w:after="0"/>
        <w:ind w:hanging="283" w:left="709"/>
        <w:jc w:val="left"/>
        <w:rPr/>
      </w:pPr>
      <w:r>
        <w:rPr>
          <w:b/>
        </w:rPr>
        <w:t>EAS Build</w:t>
      </w:r>
      <w:r>
        <w:rPr/>
        <w:t xml:space="preserve"> — production de l'APK Android sans SDK Android installé localement. </w:t>
      </w:r>
    </w:p>
    <w:p>
      <w:pPr>
        <w:pStyle w:val="BodyText"/>
        <w:numPr>
          <w:ilvl w:val="0"/>
          <w:numId w:val="2"/>
        </w:numPr>
        <w:tabs>
          <w:tab w:val="clear" w:pos="1134"/>
          <w:tab w:val="left" w:pos="709" w:leader="none"/>
        </w:tabs>
        <w:bidi w:val="0"/>
        <w:ind w:hanging="283" w:left="709"/>
        <w:jc w:val="left"/>
        <w:rPr/>
      </w:pPr>
      <w:r>
        <w:rPr>
          <w:b/>
        </w:rPr>
        <w:t>Scripts de génération</w:t>
      </w:r>
      <w:r>
        <w:rPr/>
        <w:t xml:space="preserve"> — le logo et les icônes des deux clients sont dérivés d'une géométrie unique ; ils ne peuvent pas diverger. </w:t>
      </w:r>
    </w:p>
    <w:p>
      <w:pPr>
        <w:pStyle w:val="Heading2"/>
        <w:bidi w:val="0"/>
        <w:ind w:hanging="0" w:left="0" w:right="0"/>
        <w:jc w:val="left"/>
        <w:rPr>
          <w:rFonts w:ascii="Georgia;serif" w:hAnsi="Georgia;serif"/>
          <w:color w:val="0A453C"/>
          <w:sz w:val="30"/>
        </w:rPr>
      </w:pPr>
      <w:r>
        <w:rPr>
          <w:rFonts w:ascii="Georgia;serif" w:hAnsi="Georgia;serif"/>
          <w:color w:val="0A453C"/>
          <w:sz w:val="30"/>
        </w:rPr>
        <w:t>4 — Scalabilité &amp; performance</w:t>
      </w:r>
    </w:p>
    <w:p>
      <w:pPr>
        <w:pStyle w:val="Heading3"/>
        <w:bidi w:val="0"/>
        <w:ind w:hanging="0" w:left="0" w:right="0"/>
        <w:jc w:val="left"/>
        <w:rPr>
          <w:rFonts w:ascii="Georgia;serif" w:hAnsi="Georgia;serif"/>
          <w:color w:val="20302B"/>
          <w:sz w:val="24"/>
        </w:rPr>
      </w:pPr>
      <w:r>
        <w:rPr>
          <w:rFonts w:ascii="Georgia;serif" w:hAnsi="Georgia;serif"/>
          <w:color w:val="20302B"/>
          <w:sz w:val="24"/>
        </w:rPr>
        <w:t>Le goulot n'est pas le serveur, c'est le modèle</w:t>
      </w:r>
    </w:p>
    <w:p>
      <w:pPr>
        <w:pStyle w:val="BodyText"/>
        <w:bidi w:val="0"/>
        <w:ind w:hanging="0" w:left="0" w:right="0"/>
        <w:jc w:val="both"/>
        <w:rPr/>
      </w:pPr>
      <w:r>
        <w:rPr/>
        <w:t xml:space="preserve">Le backend est </w:t>
      </w:r>
      <w:r>
        <w:rPr>
          <w:b/>
        </w:rPr>
        <w:t>sans état</w:t>
      </w:r>
      <w:r>
        <w:rPr/>
        <w:t xml:space="preserve"> : toute la session tient dans l'en-tête </w:t>
      </w:r>
      <w:r>
        <w:rPr>
          <w:rFonts w:ascii="Consolas;monospace" w:hAnsi="Consolas;monospace"/>
          <w:shd w:fill="F6E9C7" w:val="clear"/>
        </w:rPr>
        <w:t>X-User-Id</w:t>
      </w:r>
      <w:r>
        <w:rPr/>
        <w:t xml:space="preserve"> et en base. Deux conséquences directes : on peut multiplier les instances derrière un répartiteur de charge sans configuration particulière, et le redémarrage d'une instance ne perd aucune session.</w:t>
      </w:r>
    </w:p>
    <w:p>
      <w:pPr>
        <w:pStyle w:val="BodyText"/>
        <w:bidi w:val="0"/>
        <w:ind w:hanging="0" w:left="0" w:right="0"/>
        <w:jc w:val="both"/>
        <w:rPr>
          <w:b/>
        </w:rPr>
      </w:pPr>
      <w:r>
        <w:rPr>
          <w:b/>
        </w:rPr>
        <w:t>Où passe le temps</w:t>
      </w:r>
    </w:p>
    <w:tbl>
      <w:tblPr>
        <w:tblW w:w="6062" w:type="dxa"/>
        <w:jc w:val="left"/>
        <w:tblInd w:w="-7" w:type="dxa"/>
        <w:tblLayout w:type="fixed"/>
        <w:tblCellMar>
          <w:top w:w="90" w:type="dxa"/>
          <w:left w:w="90" w:type="dxa"/>
          <w:bottom w:w="90" w:type="dxa"/>
          <w:right w:w="90" w:type="dxa"/>
        </w:tblCellMar>
      </w:tblPr>
      <w:tblGrid>
        <w:gridCol w:w="2733"/>
        <w:gridCol w:w="1592"/>
        <w:gridCol w:w="1737"/>
      </w:tblGrid>
      <w:tr>
        <w:trPr/>
        <w:tc>
          <w:tcPr>
            <w:tcW w:w="2733"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Opération</w:t>
            </w:r>
          </w:p>
        </w:tc>
        <w:tc>
          <w:tcPr>
            <w:tcW w:w="1592"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Temps mesuré</w:t>
            </w:r>
          </w:p>
        </w:tc>
        <w:tc>
          <w:tcPr>
            <w:tcW w:w="1737"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Facteur limitant</w:t>
            </w:r>
          </w:p>
        </w:tc>
      </w:tr>
      <w:tr>
        <w:trPr/>
        <w:tc>
          <w:tcPr>
            <w:tcW w:w="273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Catalogue (matières, thèmes)</w:t>
            </w:r>
          </w:p>
        </w:tc>
        <w:tc>
          <w:tcPr>
            <w:tcW w:w="159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 200 ms</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Base de données</w:t>
            </w:r>
          </w:p>
        </w:tc>
      </w:tr>
      <w:tr>
        <w:trPr/>
        <w:tc>
          <w:tcPr>
            <w:tcW w:w="273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Progression</w:t>
            </w:r>
          </w:p>
        </w:tc>
        <w:tc>
          <w:tcPr>
            <w:tcW w:w="159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 200 ms</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Base de données</w:t>
            </w:r>
          </w:p>
        </w:tc>
      </w:tr>
      <w:tr>
        <w:trPr/>
        <w:tc>
          <w:tcPr>
            <w:tcW w:w="273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Génération d'un exercice</w:t>
            </w:r>
          </w:p>
        </w:tc>
        <w:tc>
          <w:tcPr>
            <w:tcW w:w="159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 – 17 s</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b/>
              </w:rPr>
            </w:pPr>
            <w:r>
              <w:rPr>
                <w:b/>
              </w:rPr>
              <w:t>Modèle d'IA</w:t>
            </w:r>
          </w:p>
        </w:tc>
      </w:tr>
      <w:tr>
        <w:trPr/>
        <w:tc>
          <w:tcPr>
            <w:tcW w:w="273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Correction d'une tentative</w:t>
            </w:r>
          </w:p>
        </w:tc>
        <w:tc>
          <w:tcPr>
            <w:tcW w:w="159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 – 19 s</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b/>
              </w:rPr>
            </w:pPr>
            <w:r>
              <w:rPr>
                <w:b/>
              </w:rPr>
              <w:t>Modèle d'IA</w:t>
            </w:r>
          </w:p>
        </w:tc>
      </w:tr>
      <w:tr>
        <w:trPr/>
        <w:tc>
          <w:tcPr>
            <w:tcW w:w="273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Réponse du chat</w:t>
            </w:r>
          </w:p>
        </w:tc>
        <w:tc>
          <w:tcPr>
            <w:tcW w:w="159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7 – 14 s</w:t>
            </w:r>
          </w:p>
        </w:tc>
        <w:tc>
          <w:tcPr>
            <w:tcW w:w="173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b/>
              </w:rPr>
            </w:pPr>
            <w:r>
              <w:rPr>
                <w:b/>
              </w:rPr>
              <w:t>Modèle d'IA</w:t>
            </w:r>
          </w:p>
        </w:tc>
      </w:tr>
    </w:tbl>
    <w:p>
      <w:pPr>
        <w:pStyle w:val="BodyText"/>
        <w:bidi w:val="0"/>
        <w:ind w:hanging="0" w:left="0" w:right="0"/>
        <w:jc w:val="both"/>
        <w:rPr/>
      </w:pPr>
      <w:r>
        <w:rPr/>
        <w:t>Les mesures proviennent de la suite d'intégration exécutée contre l'instance de production. Tout ce qui ne dépend pas du modèle répond en moins d'un cinquième de seconde ; la montée en charge se joue donc entièrement sur les appels d'IA.</w:t>
      </w:r>
    </w:p>
    <w:p>
      <w:pPr>
        <w:pStyle w:val="BodyText"/>
        <w:bidi w:val="0"/>
        <w:ind w:hanging="0" w:left="0" w:right="0"/>
        <w:jc w:val="both"/>
        <w:rPr>
          <w:b/>
        </w:rPr>
      </w:pPr>
      <w:r>
        <w:rPr>
          <w:b/>
        </w:rPr>
        <w:t>Stratégie de cache</w:t>
      </w:r>
    </w:p>
    <w:tbl>
      <w:tblPr>
        <w:tblW w:w="6062" w:type="dxa"/>
        <w:jc w:val="left"/>
        <w:tblInd w:w="-7" w:type="dxa"/>
        <w:tblLayout w:type="fixed"/>
        <w:tblCellMar>
          <w:top w:w="90" w:type="dxa"/>
          <w:left w:w="90" w:type="dxa"/>
          <w:bottom w:w="90" w:type="dxa"/>
          <w:right w:w="90" w:type="dxa"/>
        </w:tblCellMar>
      </w:tblPr>
      <w:tblGrid>
        <w:gridCol w:w="1362"/>
        <w:gridCol w:w="2178"/>
        <w:gridCol w:w="2522"/>
      </w:tblGrid>
      <w:tr>
        <w:trPr/>
        <w:tc>
          <w:tcPr>
            <w:tcW w:w="1362"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Niveau</w:t>
            </w:r>
          </w:p>
        </w:tc>
        <w:tc>
          <w:tcPr>
            <w:tcW w:w="2178"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Contenu</w:t>
            </w:r>
          </w:p>
        </w:tc>
        <w:tc>
          <w:tcPr>
            <w:tcW w:w="2522"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Stratégie</w:t>
            </w:r>
          </w:p>
        </w:tc>
      </w:tr>
      <w:tr>
        <w:trPr/>
        <w:tc>
          <w:tcPr>
            <w:tcW w:w="136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Service worker (web)</w:t>
            </w:r>
          </w:p>
        </w:tc>
        <w:tc>
          <w:tcPr>
            <w:tcW w:w="21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Coquille de l'application, polices</w:t>
            </w:r>
          </w:p>
        </w:tc>
        <w:tc>
          <w:tcPr>
            <w:tcW w:w="25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i/>
              </w:rPr>
              <w:t>Precache</w:t>
            </w:r>
            <w:r>
              <w:rPr/>
              <w:t xml:space="preserve"> — 7 entrées, mise à jour au déploiement</w:t>
            </w:r>
          </w:p>
        </w:tc>
      </w:tr>
      <w:tr>
        <w:trPr/>
        <w:tc>
          <w:tcPr>
            <w:tcW w:w="136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Service worker (web)</w:t>
            </w:r>
          </w:p>
        </w:tc>
        <w:tc>
          <w:tcPr>
            <w:tcW w:w="217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Fonts w:ascii="Consolas;monospace" w:hAnsi="Consolas;monospace"/>
                <w:shd w:fill="F6E9C7" w:val="clear"/>
              </w:rPr>
              <w:t>GET /api/matieres</w:t>
            </w:r>
            <w:r>
              <w:rPr/>
              <w:t xml:space="preserve">, </w:t>
            </w:r>
            <w:r>
              <w:rPr>
                <w:rFonts w:ascii="Consolas;monospace" w:hAnsi="Consolas;monospace"/>
                <w:shd w:fill="F6E9C7" w:val="clear"/>
              </w:rPr>
              <w:t>/api/progression</w:t>
            </w:r>
          </w:p>
        </w:tc>
        <w:tc>
          <w:tcPr>
            <w:tcW w:w="25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i/>
              </w:rPr>
              <w:t>NetworkFirst</w:t>
            </w:r>
            <w:r>
              <w:rPr/>
              <w:t>, bascule après 5 s, 7 jours de rétention</w:t>
            </w:r>
          </w:p>
        </w:tc>
      </w:tr>
      <w:tr>
        <w:trPr/>
        <w:tc>
          <w:tcPr>
            <w:tcW w:w="136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Stockage local (mobile)</w:t>
            </w:r>
          </w:p>
        </w:tc>
        <w:tc>
          <w:tcPr>
            <w:tcW w:w="21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Thèmes, progression, 10 derniers exercices</w:t>
            </w:r>
          </w:p>
        </w:tc>
        <w:tc>
          <w:tcPr>
            <w:tcW w:w="25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Lecture immédiate, rafraîchie en arrière-plan</w:t>
            </w:r>
          </w:p>
        </w:tc>
      </w:tr>
      <w:tr>
        <w:trPr/>
        <w:tc>
          <w:tcPr>
            <w:tcW w:w="1362"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Base de données</w:t>
            </w:r>
          </w:p>
        </w:tc>
        <w:tc>
          <w:tcPr>
            <w:tcW w:w="217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Exercices générés</w:t>
            </w:r>
          </w:p>
        </w:tc>
        <w:tc>
          <w:tcPr>
            <w:tcW w:w="252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Conservés et réutilisables — un exercice payé une fois sert plusieurs élèves</w:t>
            </w:r>
          </w:p>
        </w:tc>
      </w:tr>
    </w:tbl>
    <w:p>
      <w:pPr>
        <w:pStyle w:val="BodyText"/>
        <w:bidi w:val="0"/>
        <w:ind w:hanging="0" w:left="0" w:right="0"/>
        <w:jc w:val="both"/>
        <w:rPr>
          <w:b/>
        </w:rPr>
      </w:pPr>
      <w:r>
        <w:rPr>
          <w:b/>
        </w:rPr>
        <w:t>Maîtrise de la charge et du coût</w:t>
      </w:r>
    </w:p>
    <w:p>
      <w:pPr>
        <w:pStyle w:val="BodyText"/>
        <w:numPr>
          <w:ilvl w:val="0"/>
          <w:numId w:val="3"/>
        </w:numPr>
        <w:tabs>
          <w:tab w:val="clear" w:pos="1134"/>
          <w:tab w:val="left" w:pos="709" w:leader="none"/>
        </w:tabs>
        <w:bidi w:val="0"/>
        <w:spacing w:before="0" w:after="0"/>
        <w:ind w:hanging="283" w:left="709"/>
        <w:jc w:val="left"/>
        <w:rPr/>
      </w:pPr>
      <w:r>
        <w:rPr>
          <w:b/>
        </w:rPr>
        <w:t>Quota par élève</w:t>
      </w:r>
      <w:r>
        <w:rPr/>
        <w:t xml:space="preserve"> — 20 appels IA par minute, réglable par variable d'environnement. </w:t>
      </w:r>
    </w:p>
    <w:p>
      <w:pPr>
        <w:pStyle w:val="BodyText"/>
        <w:numPr>
          <w:ilvl w:val="0"/>
          <w:numId w:val="3"/>
        </w:numPr>
        <w:tabs>
          <w:tab w:val="clear" w:pos="1134"/>
          <w:tab w:val="left" w:pos="709" w:leader="none"/>
        </w:tabs>
        <w:bidi w:val="0"/>
        <w:spacing w:before="0" w:after="0"/>
        <w:ind w:hanging="283" w:left="709"/>
        <w:jc w:val="left"/>
        <w:rPr/>
      </w:pPr>
      <w:r>
        <w:rPr>
          <w:b/>
        </w:rPr>
        <w:t>Corps de requête plafonné</w:t>
      </w:r>
      <w:r>
        <w:rPr/>
        <w:t xml:space="preserve"> à 64 ko, longueurs de champs bornées par schéma. </w:t>
      </w:r>
    </w:p>
    <w:p>
      <w:pPr>
        <w:pStyle w:val="BodyText"/>
        <w:numPr>
          <w:ilvl w:val="0"/>
          <w:numId w:val="3"/>
        </w:numPr>
        <w:tabs>
          <w:tab w:val="clear" w:pos="1134"/>
          <w:tab w:val="left" w:pos="709" w:leader="none"/>
        </w:tabs>
        <w:bidi w:val="0"/>
        <w:spacing w:before="0" w:after="0"/>
        <w:ind w:hanging="283" w:left="709"/>
        <w:jc w:val="left"/>
        <w:rPr/>
      </w:pPr>
      <w:r>
        <w:rPr>
          <w:b/>
        </w:rPr>
        <w:t>Dégradation avant rupture</w:t>
      </w:r>
      <w:r>
        <w:rPr/>
        <w:t xml:space="preserve"> — quand le modèle sature, l'application sert la banque locale plutôt que d'échouer (voir §8). </w:t>
      </w:r>
    </w:p>
    <w:p>
      <w:pPr>
        <w:pStyle w:val="BodyText"/>
        <w:numPr>
          <w:ilvl w:val="0"/>
          <w:numId w:val="3"/>
        </w:numPr>
        <w:tabs>
          <w:tab w:val="clear" w:pos="1134"/>
          <w:tab w:val="left" w:pos="709" w:leader="none"/>
        </w:tabs>
        <w:bidi w:val="0"/>
        <w:ind w:hanging="283" w:left="709"/>
        <w:jc w:val="left"/>
        <w:rPr/>
      </w:pPr>
      <w:r>
        <w:rPr>
          <w:b/>
        </w:rPr>
        <w:t>Bundle web à 97 Ko compressés</w:t>
      </w:r>
      <w:r>
        <w:rPr/>
        <w:t xml:space="preserve">, très en dessous de la cible de 500 Ko : moins de données facturées à la famille, chargement rapide en 3G. </w:t>
      </w:r>
    </w:p>
    <w:p>
      <w:pPr>
        <w:pStyle w:val="BodyText"/>
        <w:bidi w:val="0"/>
        <w:ind w:hanging="0" w:left="0" w:right="0"/>
        <w:jc w:val="both"/>
        <w:rPr>
          <w:b/>
        </w:rPr>
      </w:pPr>
      <w:r>
        <w:rPr>
          <w:b/>
        </w:rPr>
        <w:t>Montée en charge envisagée</w:t>
      </w:r>
    </w:p>
    <w:p>
      <w:pPr>
        <w:pStyle w:val="BodyText"/>
        <w:numPr>
          <w:ilvl w:val="0"/>
          <w:numId w:val="4"/>
        </w:numPr>
        <w:tabs>
          <w:tab w:val="clear" w:pos="1134"/>
          <w:tab w:val="left" w:pos="709" w:leader="none"/>
        </w:tabs>
        <w:bidi w:val="0"/>
        <w:spacing w:before="0" w:after="0"/>
        <w:ind w:hanging="283" w:left="709"/>
        <w:jc w:val="left"/>
        <w:rPr/>
      </w:pPr>
      <w:r>
        <w:rPr>
          <w:b/>
        </w:rPr>
        <w:t>Aujourd'hui</w:t>
      </w:r>
      <w:r>
        <w:rPr/>
        <w:t xml:space="preserve"> — une instance, base managée, palier gratuit. Suffisant pour la démonstration et les premiers utilisateurs. </w:t>
      </w:r>
    </w:p>
    <w:p>
      <w:pPr>
        <w:pStyle w:val="BodyText"/>
        <w:numPr>
          <w:ilvl w:val="0"/>
          <w:numId w:val="4"/>
        </w:numPr>
        <w:tabs>
          <w:tab w:val="clear" w:pos="1134"/>
          <w:tab w:val="left" w:pos="709" w:leader="none"/>
        </w:tabs>
        <w:bidi w:val="0"/>
        <w:spacing w:before="0" w:after="0"/>
        <w:ind w:hanging="283" w:left="709"/>
        <w:jc w:val="left"/>
        <w:rPr/>
      </w:pPr>
      <w:r>
        <w:rPr>
          <w:b/>
        </w:rPr>
        <w:t>Croissance</w:t>
      </w:r>
      <w:r>
        <w:rPr/>
        <w:t xml:space="preserve"> — instances multiples derrière le répartiteur de l'hébergeur ; le backend étant sans état, aucune modification de code. </w:t>
      </w:r>
    </w:p>
    <w:p>
      <w:pPr>
        <w:pStyle w:val="BodyText"/>
        <w:numPr>
          <w:ilvl w:val="0"/>
          <w:numId w:val="4"/>
        </w:numPr>
        <w:tabs>
          <w:tab w:val="clear" w:pos="1134"/>
          <w:tab w:val="left" w:pos="709" w:leader="none"/>
        </w:tabs>
        <w:bidi w:val="0"/>
        <w:ind w:hanging="283" w:left="709"/>
        <w:jc w:val="left"/>
        <w:rPr/>
      </w:pPr>
      <w:r>
        <w:rPr>
          <w:b/>
        </w:rPr>
        <w:t>Échelle</w:t>
      </w:r>
      <w:r>
        <w:rPr/>
        <w:t xml:space="preserve"> — mise en cache des exercices par (thème, difficulté) pour servir sans appeler le modèle, et file d'attente pour lisser les pics. </w:t>
      </w:r>
    </w:p>
    <w:p>
      <w:pPr>
        <w:pStyle w:val="Heading2"/>
        <w:bidi w:val="0"/>
        <w:ind w:hanging="0" w:left="0" w:right="0"/>
        <w:jc w:val="left"/>
        <w:rPr>
          <w:rFonts w:ascii="Georgia;serif" w:hAnsi="Georgia;serif"/>
          <w:color w:val="0A453C"/>
          <w:sz w:val="30"/>
        </w:rPr>
      </w:pPr>
      <w:r>
        <w:rPr>
          <w:rFonts w:ascii="Georgia;serif" w:hAnsi="Georgia;serif"/>
          <w:color w:val="0A453C"/>
          <w:sz w:val="30"/>
        </w:rPr>
        <w:t>5 — Interopérabilité</w:t>
      </w:r>
    </w:p>
    <w:p>
      <w:pPr>
        <w:pStyle w:val="Heading3"/>
        <w:bidi w:val="0"/>
        <w:ind w:hanging="0" w:left="0" w:right="0"/>
        <w:jc w:val="left"/>
        <w:rPr>
          <w:rFonts w:ascii="Georgia;serif" w:hAnsi="Georgia;serif"/>
          <w:color w:val="20302B"/>
          <w:sz w:val="24"/>
        </w:rPr>
      </w:pPr>
      <w:r>
        <w:rPr>
          <w:rFonts w:ascii="Georgia;serif" w:hAnsi="Georgia;serif"/>
          <w:color w:val="20302B"/>
          <w:sz w:val="24"/>
        </w:rPr>
        <w:t>Une API REST que n'importe quel client peut consommer</w:t>
      </w:r>
    </w:p>
    <w:p>
      <w:pPr>
        <w:pStyle w:val="BodyText"/>
        <w:bidi w:val="0"/>
        <w:ind w:hanging="0" w:left="0" w:right="0"/>
        <w:jc w:val="both"/>
        <w:rPr/>
      </w:pPr>
      <w:r>
        <w:rPr/>
        <w:t xml:space="preserve">Le backend ne connaît pas ses clients. Il expose une API REST sur HTTPS, en JSON, avec des codes de statut standards — et c'est précisément ce qui a permis d'ajouter une application Android à un produit conçu pour le web </w:t>
      </w:r>
      <w:r>
        <w:rPr>
          <w:b/>
        </w:rPr>
        <w:t>sans modifier une seule route</w:t>
      </w:r>
      <w:r>
        <w:rPr/>
        <w:t>.</w:t>
      </w:r>
    </w:p>
    <w:tbl>
      <w:tblPr>
        <w:tblW w:w="6062" w:type="dxa"/>
        <w:jc w:val="left"/>
        <w:tblInd w:w="-7" w:type="dxa"/>
        <w:tblLayout w:type="fixed"/>
        <w:tblCellMar>
          <w:top w:w="90" w:type="dxa"/>
          <w:left w:w="90" w:type="dxa"/>
          <w:bottom w:w="90" w:type="dxa"/>
          <w:right w:w="90" w:type="dxa"/>
        </w:tblCellMar>
      </w:tblPr>
      <w:tblGrid>
        <w:gridCol w:w="1520"/>
        <w:gridCol w:w="4542"/>
      </w:tblGrid>
      <w:tr>
        <w:trPr/>
        <w:tc>
          <w:tcPr>
            <w:tcW w:w="1520"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Standard</w:t>
            </w:r>
          </w:p>
        </w:tc>
        <w:tc>
          <w:tcPr>
            <w:tcW w:w="4542"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Application</w:t>
            </w:r>
          </w:p>
        </w:tc>
      </w:tr>
      <w:tr>
        <w:trPr/>
        <w:tc>
          <w:tcPr>
            <w:tcW w:w="15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REST sur HTTPS</w:t>
            </w:r>
          </w:p>
        </w:tc>
        <w:tc>
          <w:tcPr>
            <w:tcW w:w="45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Routes orientées ressources, verbes HTTP respectés</w:t>
            </w:r>
          </w:p>
        </w:tc>
      </w:tr>
      <w:tr>
        <w:trPr/>
        <w:tc>
          <w:tcPr>
            <w:tcW w:w="15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JSON</w:t>
            </w:r>
          </w:p>
        </w:tc>
        <w:tc>
          <w:tcPr>
            <w:tcW w:w="45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Échanges dans les deux sens, encodage UTF-8</w:t>
            </w:r>
          </w:p>
        </w:tc>
      </w:tr>
      <w:tr>
        <w:trPr/>
        <w:tc>
          <w:tcPr>
            <w:tcW w:w="15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Codes de statut HTTP</w:t>
            </w:r>
          </w:p>
        </w:tc>
        <w:tc>
          <w:tcPr>
            <w:tcW w:w="45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200, 400 (entrée invalide), 401 (identité), 404, 429 (quota), 503 (IA indisponible)</w:t>
            </w:r>
          </w:p>
        </w:tc>
      </w:tr>
      <w:tr>
        <w:trPr/>
        <w:tc>
          <w:tcPr>
            <w:tcW w:w="15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CORS</w:t>
            </w:r>
          </w:p>
        </w:tc>
        <w:tc>
          <w:tcPr>
            <w:tcW w:w="45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Origines déclarées explicitement en production</w:t>
            </w:r>
          </w:p>
        </w:tc>
      </w:tr>
      <w:tr>
        <w:trPr/>
        <w:tc>
          <w:tcPr>
            <w:tcW w:w="15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En-têtes de sécurité</w:t>
            </w:r>
          </w:p>
        </w:tc>
        <w:tc>
          <w:tcPr>
            <w:tcW w:w="454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Helmet — </w:t>
            </w:r>
            <w:r>
              <w:rPr>
                <w:rFonts w:ascii="Consolas;monospace" w:hAnsi="Consolas;monospace"/>
                <w:shd w:fill="F6E9C7" w:val="clear"/>
              </w:rPr>
              <w:t>X-Content-Type-Options</w:t>
            </w:r>
            <w:r>
              <w:rPr/>
              <w:t xml:space="preserve">, </w:t>
            </w:r>
            <w:r>
              <w:rPr>
                <w:rFonts w:ascii="Consolas;monospace" w:hAnsi="Consolas;monospace"/>
                <w:shd w:fill="F6E9C7" w:val="clear"/>
              </w:rPr>
              <w:t>X-Frame-Options</w:t>
            </w:r>
            <w:r>
              <w:rPr/>
              <w:t>, HSTS…</w:t>
            </w:r>
          </w:p>
        </w:tc>
      </w:tr>
      <w:tr>
        <w:trPr/>
        <w:tc>
          <w:tcPr>
            <w:tcW w:w="152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Sonde de santé</w:t>
            </w:r>
          </w:p>
        </w:tc>
        <w:tc>
          <w:tcPr>
            <w:tcW w:w="4542"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rFonts w:ascii="Consolas;monospace" w:hAnsi="Consolas;monospace"/>
                <w:shd w:fill="F6E9C7" w:val="clear"/>
              </w:rPr>
              <w:t>GET /health</w:t>
            </w:r>
            <w:r>
              <w:rPr/>
              <w:t xml:space="preserve"> — état du serveur, de la base et de la configuration IA</w:t>
            </w:r>
          </w:p>
        </w:tc>
      </w:tr>
    </w:tbl>
    <w:p>
      <w:pPr>
        <w:pStyle w:val="BodyText"/>
        <w:bidi w:val="0"/>
        <w:ind w:hanging="0" w:left="0" w:right="0"/>
        <w:jc w:val="both"/>
        <w:rPr/>
      </w:pPr>
      <w:r>
        <w:rPr/>
        <w:t xml:space="preserve">Le client Android a été ajouté après coup. L'API n'a pas changé. De même, l'extension d'une à six matières n'a demandé </w:t>
      </w:r>
      <w:r>
        <w:rPr>
          <w:b/>
        </w:rPr>
        <w:t>aucune modification de route</w:t>
      </w:r>
      <w:r>
        <w:rPr/>
        <w:t xml:space="preserve"> : le modèle de données portait matière et niveau dès la première version.</w:t>
      </w:r>
    </w:p>
    <w:p>
      <w:pPr>
        <w:pStyle w:val="BodyText"/>
        <w:bidi w:val="0"/>
        <w:ind w:hanging="0" w:left="0" w:right="0"/>
        <w:jc w:val="both"/>
        <w:rPr>
          <w:b/>
        </w:rPr>
      </w:pPr>
      <w:r>
        <w:rPr>
          <w:b/>
        </w:rPr>
        <w:t>Intégrations tierces</w:t>
      </w:r>
    </w:p>
    <w:p>
      <w:pPr>
        <w:pStyle w:val="BodyText"/>
        <w:numPr>
          <w:ilvl w:val="0"/>
          <w:numId w:val="5"/>
        </w:numPr>
        <w:tabs>
          <w:tab w:val="clear" w:pos="1134"/>
          <w:tab w:val="left" w:pos="709" w:leader="none"/>
        </w:tabs>
        <w:bidi w:val="0"/>
        <w:spacing w:before="0" w:after="0"/>
        <w:ind w:hanging="283" w:left="709"/>
        <w:jc w:val="left"/>
        <w:rPr/>
      </w:pPr>
      <w:r>
        <w:rPr>
          <w:b/>
        </w:rPr>
        <w:t>Google Gemini</w:t>
      </w:r>
      <w:r>
        <w:rPr/>
        <w:t xml:space="preserve"> — appelé serveur à serveur, avec chaîne de repli sur un second modèle puis sur une banque locale. </w:t>
      </w:r>
    </w:p>
    <w:p>
      <w:pPr>
        <w:pStyle w:val="BodyText"/>
        <w:numPr>
          <w:ilvl w:val="0"/>
          <w:numId w:val="5"/>
        </w:numPr>
        <w:tabs>
          <w:tab w:val="clear" w:pos="1134"/>
          <w:tab w:val="left" w:pos="709" w:leader="none"/>
        </w:tabs>
        <w:bidi w:val="0"/>
        <w:ind w:hanging="283" w:left="709"/>
        <w:jc w:val="left"/>
        <w:rPr/>
      </w:pPr>
      <w:r>
        <w:rPr>
          <w:b/>
        </w:rPr>
        <w:t>Ouverture prévue</w:t>
      </w:r>
      <w:r>
        <w:rPr/>
        <w:t xml:space="preserve"> — l'API se prête telle quelle à une intégration par un établissement (tableau de bord de classe) ou à un client SMS/USSD pour les élèves sans smartphone. </w:t>
      </w:r>
    </w:p>
    <w:p>
      <w:pPr>
        <w:pStyle w:val="Heading2"/>
        <w:bidi w:val="0"/>
        <w:ind w:hanging="0" w:left="0" w:right="0"/>
        <w:jc w:val="left"/>
        <w:rPr>
          <w:rFonts w:ascii="Georgia;serif" w:hAnsi="Georgia;serif"/>
          <w:color w:val="0A453C"/>
          <w:sz w:val="30"/>
        </w:rPr>
      </w:pPr>
      <w:r>
        <w:rPr>
          <w:rFonts w:ascii="Georgia;serif" w:hAnsi="Georgia;serif"/>
          <w:color w:val="0A453C"/>
          <w:sz w:val="30"/>
        </w:rPr>
        <w:t>6 — Méthodologie de projet</w:t>
      </w:r>
    </w:p>
    <w:p>
      <w:pPr>
        <w:pStyle w:val="Heading3"/>
        <w:bidi w:val="0"/>
        <w:ind w:hanging="0" w:left="0" w:right="0"/>
        <w:jc w:val="left"/>
        <w:rPr>
          <w:rFonts w:ascii="Georgia;serif" w:hAnsi="Georgia;serif"/>
          <w:color w:val="20302B"/>
          <w:sz w:val="24"/>
        </w:rPr>
      </w:pPr>
      <w:r>
        <w:rPr>
          <w:rFonts w:ascii="Georgia;serif" w:hAnsi="Georgia;serif"/>
          <w:color w:val="20302B"/>
          <w:sz w:val="24"/>
        </w:rPr>
        <w:t>Cycle de vie, versioning et environnements</w:t>
      </w:r>
    </w:p>
    <w:p>
      <w:pPr>
        <w:pStyle w:val="BodyText"/>
        <w:bidi w:val="0"/>
        <w:ind w:hanging="0" w:left="0" w:right="0"/>
        <w:jc w:val="both"/>
        <w:rPr>
          <w:b/>
        </w:rPr>
      </w:pPr>
      <w:r>
        <w:rPr>
          <w:b/>
        </w:rPr>
        <w:t>Cycle de développement</w:t>
      </w:r>
    </w:p>
    <w:p>
      <w:pPr>
        <w:pStyle w:val="BodyText"/>
        <w:bidi w:val="0"/>
        <w:ind w:hanging="0" w:left="0" w:right="0"/>
        <w:jc w:val="both"/>
        <w:rPr/>
      </w:pPr>
      <w:r>
        <w:rPr/>
        <w:t xml:space="preserve">Le projet a été mené par incréments courts, chacun terminé par la même séquence : </w:t>
      </w:r>
      <w:r>
        <w:rPr>
          <w:b/>
        </w:rPr>
        <w:t>typecheck → tests → vérification dans l'application réelle → commit</w:t>
      </w:r>
      <w:r>
        <w:rPr/>
        <w:t>. Une fonctionnalité n'est déclarée finie que lorsque les trois passent.</w:t>
      </w:r>
    </w:p>
    <w:tbl>
      <w:tblPr>
        <w:tblW w:w="6062" w:type="dxa"/>
        <w:jc w:val="left"/>
        <w:tblInd w:w="-7" w:type="dxa"/>
        <w:tblLayout w:type="fixed"/>
        <w:tblCellMar>
          <w:top w:w="90" w:type="dxa"/>
          <w:left w:w="90" w:type="dxa"/>
          <w:bottom w:w="90" w:type="dxa"/>
          <w:right w:w="90" w:type="dxa"/>
        </w:tblCellMar>
      </w:tblPr>
      <w:tblGrid>
        <w:gridCol w:w="1875"/>
        <w:gridCol w:w="1753"/>
        <w:gridCol w:w="2434"/>
      </w:tblGrid>
      <w:tr>
        <w:trPr/>
        <w:tc>
          <w:tcPr>
            <w:tcW w:w="187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Étape</w:t>
            </w:r>
          </w:p>
        </w:tc>
        <w:tc>
          <w:tcPr>
            <w:tcW w:w="1753"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Commande</w:t>
            </w:r>
          </w:p>
        </w:tc>
        <w:tc>
          <w:tcPr>
            <w:tcW w:w="2434"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Critère</w:t>
            </w:r>
          </w:p>
        </w:tc>
      </w:tr>
      <w:tr>
        <w:trPr/>
        <w:tc>
          <w:tcPr>
            <w:tcW w:w="18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Vérification des types</w:t>
            </w:r>
          </w:p>
        </w:tc>
        <w:tc>
          <w:tcPr>
            <w:tcW w:w="17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npm run typecheck</w:t>
            </w:r>
          </w:p>
        </w:tc>
        <w:tc>
          <w:tcPr>
            <w:tcW w:w="2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 erreur sur les trois espaces</w:t>
            </w:r>
          </w:p>
        </w:tc>
      </w:tr>
      <w:tr>
        <w:trPr/>
        <w:tc>
          <w:tcPr>
            <w:tcW w:w="18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Tests</w:t>
            </w:r>
          </w:p>
        </w:tc>
        <w:tc>
          <w:tcPr>
            <w:tcW w:w="17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npm test</w:t>
            </w:r>
          </w:p>
        </w:tc>
        <w:tc>
          <w:tcPr>
            <w:tcW w:w="2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140 tests au vert</w:t>
            </w:r>
          </w:p>
        </w:tc>
      </w:tr>
      <w:tr>
        <w:trPr/>
        <w:tc>
          <w:tcPr>
            <w:tcW w:w="18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Compilation</w:t>
            </w:r>
          </w:p>
        </w:tc>
        <w:tc>
          <w:tcPr>
            <w:tcW w:w="17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npm run build</w:t>
            </w:r>
          </w:p>
        </w:tc>
        <w:tc>
          <w:tcPr>
            <w:tcW w:w="2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Backend et web compilent</w:t>
            </w:r>
          </w:p>
        </w:tc>
      </w:tr>
      <w:tr>
        <w:trPr/>
        <w:tc>
          <w:tcPr>
            <w:tcW w:w="18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Vérification réelle</w:t>
            </w:r>
          </w:p>
        </w:tc>
        <w:tc>
          <w:tcPr>
            <w:tcW w:w="17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npm run dev</w:t>
            </w:r>
          </w:p>
        </w:tc>
        <w:tc>
          <w:tcPr>
            <w:tcW w:w="243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Parcours joué dans l'application</w:t>
            </w:r>
          </w:p>
        </w:tc>
      </w:tr>
      <w:tr>
        <w:trPr/>
        <w:tc>
          <w:tcPr>
            <w:tcW w:w="187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Publication</w:t>
            </w:r>
          </w:p>
        </w:tc>
        <w:tc>
          <w:tcPr>
            <w:tcW w:w="175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git push</w:t>
            </w:r>
          </w:p>
        </w:tc>
        <w:tc>
          <w:tcPr>
            <w:tcW w:w="243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Déploiement automatique</w:t>
            </w:r>
          </w:p>
        </w:tc>
      </w:tr>
    </w:tbl>
    <w:p>
      <w:pPr>
        <w:pStyle w:val="BodyText"/>
        <w:bidi w:val="0"/>
        <w:ind w:hanging="0" w:left="0" w:right="0"/>
        <w:jc w:val="both"/>
        <w:rPr>
          <w:b/>
        </w:rPr>
      </w:pPr>
      <w:r>
        <w:rPr>
          <w:b/>
        </w:rPr>
        <w:t>Versioning</w:t>
      </w:r>
    </w:p>
    <w:p>
      <w:pPr>
        <w:pStyle w:val="BodyText"/>
        <w:numPr>
          <w:ilvl w:val="0"/>
          <w:numId w:val="6"/>
        </w:numPr>
        <w:tabs>
          <w:tab w:val="clear" w:pos="1134"/>
          <w:tab w:val="left" w:pos="709" w:leader="none"/>
        </w:tabs>
        <w:bidi w:val="0"/>
        <w:spacing w:before="0" w:after="0"/>
        <w:ind w:hanging="283" w:left="709"/>
        <w:jc w:val="left"/>
        <w:rPr/>
      </w:pPr>
      <w:r>
        <w:rPr>
          <w:b/>
        </w:rPr>
        <w:t>Git</w:t>
      </w:r>
      <w:r>
        <w:rPr/>
        <w:t xml:space="preserve">, dépôt public : </w:t>
      </w:r>
      <w:hyperlink r:id="rId5">
        <w:r>
          <w:rPr>
            <w:rStyle w:val="Hyperlink"/>
          </w:rPr>
          <w:t>github.com/Nounagnon02/repetia</w:t>
        </w:r>
      </w:hyperlink>
      <w:r>
        <w:rPr/>
        <w:t xml:space="preserve"> </w:t>
      </w:r>
    </w:p>
    <w:p>
      <w:pPr>
        <w:pStyle w:val="BodyText"/>
        <w:numPr>
          <w:ilvl w:val="0"/>
          <w:numId w:val="6"/>
        </w:numPr>
        <w:tabs>
          <w:tab w:val="clear" w:pos="1134"/>
          <w:tab w:val="left" w:pos="709" w:leader="none"/>
        </w:tabs>
        <w:bidi w:val="0"/>
        <w:spacing w:before="0" w:after="0"/>
        <w:ind w:hanging="283" w:left="709" w:right="0"/>
        <w:jc w:val="left"/>
        <w:rPr/>
      </w:pPr>
      <w:r>
        <w:rPr>
          <w:b/>
        </w:rPr>
        <w:t>Conventional Commits</w:t>
      </w:r>
      <w:r>
        <w:rPr/>
        <w:t xml:space="preserve"> — </w:t>
      </w:r>
      <w:r>
        <w:rPr>
          <w:rFonts w:ascii="Consolas;monospace" w:hAnsi="Consolas;monospace"/>
          <w:shd w:fill="F6E9C7" w:val="clear"/>
        </w:rPr>
        <w:t>feat</w:t>
      </w:r>
      <w:r>
        <w:rPr/>
        <w:t xml:space="preserve">, </w:t>
      </w:r>
      <w:r>
        <w:rPr>
          <w:rFonts w:ascii="Consolas;monospace" w:hAnsi="Consolas;monospace"/>
          <w:shd w:fill="F6E9C7" w:val="clear"/>
        </w:rPr>
        <w:t>fix</w:t>
      </w:r>
      <w:r>
        <w:rPr/>
        <w:t xml:space="preserve">, </w:t>
      </w:r>
      <w:r>
        <w:rPr>
          <w:rFonts w:ascii="Consolas;monospace" w:hAnsi="Consolas;monospace"/>
          <w:shd w:fill="F6E9C7" w:val="clear"/>
        </w:rPr>
        <w:t>test</w:t>
      </w:r>
      <w:r>
        <w:rPr/>
        <w:t xml:space="preserve">, </w:t>
      </w:r>
      <w:r>
        <w:rPr>
          <w:rFonts w:ascii="Consolas;monospace" w:hAnsi="Consolas;monospace"/>
          <w:shd w:fill="F6E9C7" w:val="clear"/>
        </w:rPr>
        <w:t>docs</w:t>
      </w:r>
      <w:r>
        <w:rPr/>
        <w:t xml:space="preserve">, </w:t>
      </w:r>
      <w:r>
        <w:rPr>
          <w:rFonts w:ascii="Consolas;monospace" w:hAnsi="Consolas;monospace"/>
          <w:shd w:fill="F6E9C7" w:val="clear"/>
        </w:rPr>
        <w:t>chore</w:t>
      </w:r>
      <w:r>
        <w:rPr/>
        <w:t xml:space="preserve">, avec le périmètre entre parenthèses. </w:t>
      </w:r>
    </w:p>
    <w:p>
      <w:pPr>
        <w:pStyle w:val="BodyText"/>
        <w:numPr>
          <w:ilvl w:val="0"/>
          <w:numId w:val="6"/>
        </w:numPr>
        <w:tabs>
          <w:tab w:val="clear" w:pos="1134"/>
          <w:tab w:val="left" w:pos="709" w:leader="none"/>
        </w:tabs>
        <w:bidi w:val="0"/>
        <w:spacing w:before="0" w:after="0"/>
        <w:ind w:hanging="283" w:left="709"/>
        <w:jc w:val="left"/>
        <w:rPr/>
      </w:pPr>
      <w:r>
        <w:rPr>
          <w:b/>
        </w:rPr>
        <w:t>Commits atomiques</w:t>
      </w:r>
      <w:r>
        <w:rPr/>
        <w:t xml:space="preserve"> : un commit = une décision, dont le message explique le </w:t>
      </w:r>
      <w:r>
        <w:rPr>
          <w:i/>
        </w:rPr>
        <w:t>pourquoi</w:t>
      </w:r>
      <w:r>
        <w:rPr/>
        <w:t xml:space="preserve">, pas seulement le </w:t>
      </w:r>
      <w:r>
        <w:rPr>
          <w:i/>
        </w:rPr>
        <w:t>quoi</w:t>
      </w:r>
      <w:r>
        <w:rPr/>
        <w:t xml:space="preserve">. </w:t>
      </w:r>
    </w:p>
    <w:p>
      <w:pPr>
        <w:pStyle w:val="BodyText"/>
        <w:numPr>
          <w:ilvl w:val="0"/>
          <w:numId w:val="6"/>
        </w:numPr>
        <w:tabs>
          <w:tab w:val="clear" w:pos="1134"/>
          <w:tab w:val="left" w:pos="709" w:leader="none"/>
        </w:tabs>
        <w:bidi w:val="0"/>
        <w:ind w:hanging="283" w:left="709"/>
        <w:jc w:val="left"/>
        <w:rPr/>
      </w:pPr>
      <w:r>
        <w:rPr>
          <w:b/>
        </w:rPr>
        <w:t>Aucun secret dans l'historique</w:t>
      </w:r>
      <w:r>
        <w:rPr/>
        <w:t xml:space="preserve"> — vérifié sur l'intégralité des 34 commits. </w:t>
      </w:r>
    </w:p>
    <w:p>
      <w:pPr>
        <w:pStyle w:val="BodyText"/>
        <w:bidi w:val="0"/>
        <w:ind w:hanging="0" w:left="0" w:right="0"/>
        <w:jc w:val="both"/>
        <w:rPr>
          <w:b/>
        </w:rPr>
      </w:pPr>
      <w:r>
        <w:rPr>
          <w:b/>
        </w:rPr>
        <w:t>Environnements</w:t>
      </w:r>
    </w:p>
    <w:tbl>
      <w:tblPr>
        <w:tblW w:w="6062" w:type="dxa"/>
        <w:jc w:val="left"/>
        <w:tblInd w:w="-7" w:type="dxa"/>
        <w:tblLayout w:type="fixed"/>
        <w:tblCellMar>
          <w:top w:w="90" w:type="dxa"/>
          <w:left w:w="90" w:type="dxa"/>
          <w:bottom w:w="90" w:type="dxa"/>
          <w:right w:w="90" w:type="dxa"/>
        </w:tblCellMar>
      </w:tblPr>
      <w:tblGrid>
        <w:gridCol w:w="1102"/>
        <w:gridCol w:w="1866"/>
        <w:gridCol w:w="1454"/>
        <w:gridCol w:w="1640"/>
      </w:tblGrid>
      <w:tr>
        <w:trPr/>
        <w:tc>
          <w:tcPr>
            <w:tcW w:w="1102"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sz w:val="4"/>
                <w:szCs w:val="4"/>
              </w:rPr>
            </w:pPr>
            <w:r>
              <w:rPr>
                <w:sz w:val="4"/>
                <w:szCs w:val="4"/>
              </w:rPr>
            </w:r>
          </w:p>
        </w:tc>
        <w:tc>
          <w:tcPr>
            <w:tcW w:w="1866"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Développement</w:t>
            </w:r>
          </w:p>
        </w:tc>
        <w:tc>
          <w:tcPr>
            <w:tcW w:w="1454"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Test</w:t>
            </w:r>
          </w:p>
        </w:tc>
        <w:tc>
          <w:tcPr>
            <w:tcW w:w="1640"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Production</w:t>
            </w:r>
          </w:p>
        </w:tc>
      </w:tr>
      <w:tr>
        <w:trPr/>
        <w:tc>
          <w:tcPr>
            <w:tcW w:w="110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Base</w:t>
            </w:r>
          </w:p>
        </w:tc>
        <w:tc>
          <w:tcPr>
            <w:tcW w:w="18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SQLite locale</w:t>
            </w:r>
          </w:p>
        </w:tc>
        <w:tc>
          <w:tcPr>
            <w:tcW w:w="14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SQLite dédiée, recréée à chaque exécution</w:t>
            </w:r>
          </w:p>
        </w:tc>
        <w:tc>
          <w:tcPr>
            <w:tcW w:w="164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PostgreSQL 16 managé</w:t>
            </w:r>
          </w:p>
        </w:tc>
      </w:tr>
      <w:tr>
        <w:trPr/>
        <w:tc>
          <w:tcPr>
            <w:tcW w:w="110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Modèle d'IA</w:t>
            </w:r>
          </w:p>
        </w:tc>
        <w:tc>
          <w:tcPr>
            <w:tcW w:w="18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Clé réelle</w:t>
            </w:r>
          </w:p>
        </w:tc>
        <w:tc>
          <w:tcPr>
            <w:tcW w:w="14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b/>
              </w:rPr>
              <w:t>Simulé</w:t>
            </w:r>
            <w:r>
              <w:rPr/>
              <w:t xml:space="preserve"> — ni clé, ni réseau, ni coût</w:t>
            </w:r>
          </w:p>
        </w:tc>
        <w:tc>
          <w:tcPr>
            <w:tcW w:w="164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Clé réelle, chaîne à deux modèles</w:t>
            </w:r>
          </w:p>
        </w:tc>
      </w:tr>
      <w:tr>
        <w:trPr/>
        <w:tc>
          <w:tcPr>
            <w:tcW w:w="110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Origines CORS</w:t>
            </w:r>
          </w:p>
        </w:tc>
        <w:tc>
          <w:tcPr>
            <w:tcW w:w="18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Toutes</w:t>
            </w:r>
          </w:p>
        </w:tc>
        <w:tc>
          <w:tcPr>
            <w:tcW w:w="14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Aucune</w:t>
            </w:r>
          </w:p>
        </w:tc>
        <w:tc>
          <w:tcPr>
            <w:tcW w:w="164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 domaine du frontend uniquement</w:t>
            </w:r>
          </w:p>
        </w:tc>
      </w:tr>
      <w:tr>
        <w:trPr/>
        <w:tc>
          <w:tcPr>
            <w:tcW w:w="1102"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Quota IA</w:t>
            </w:r>
          </w:p>
        </w:tc>
        <w:tc>
          <w:tcPr>
            <w:tcW w:w="186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 / min</w:t>
            </w:r>
          </w:p>
        </w:tc>
        <w:tc>
          <w:tcPr>
            <w:tcW w:w="145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 / min, pour tester le rejet</w:t>
            </w:r>
          </w:p>
        </w:tc>
        <w:tc>
          <w:tcPr>
            <w:tcW w:w="164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 / min par élève</w:t>
            </w:r>
          </w:p>
        </w:tc>
      </w:tr>
    </w:tbl>
    <w:p>
      <w:pPr>
        <w:pStyle w:val="BodyText"/>
        <w:bidi w:val="0"/>
        <w:ind w:hanging="0" w:left="0" w:right="0"/>
        <w:jc w:val="both"/>
        <w:rPr/>
      </w:pPr>
      <w:r>
        <w:rPr/>
        <w:t>Une première version des tests vidait la base de développement à chaque exécution. Elle utilise désormais une base dédiée, recréée avant chaque campagne. Un incident réel, corrigé et verrouillé par la configuration.</w:t>
      </w:r>
    </w:p>
    <w:p>
      <w:pPr>
        <w:pStyle w:val="BodyText"/>
        <w:bidi w:val="0"/>
        <w:ind w:hanging="0" w:left="0" w:right="0"/>
        <w:jc w:val="both"/>
        <w:rPr>
          <w:b/>
        </w:rPr>
      </w:pPr>
      <w:r>
        <w:rPr>
          <w:b/>
        </w:rPr>
        <w:t>Configuration</w:t>
      </w:r>
    </w:p>
    <w:p>
      <w:pPr>
        <w:pStyle w:val="BodyText"/>
        <w:bidi w:val="0"/>
        <w:ind w:hanging="0" w:left="0" w:right="0"/>
        <w:jc w:val="both"/>
        <w:rPr/>
      </w:pPr>
      <w:r>
        <w:rPr/>
        <w:t xml:space="preserve">Aucun secret n'est écrit dans le code. Tout passe par des variables d'environnement, dont un </w:t>
      </w:r>
      <w:r>
        <w:rPr>
          <w:rFonts w:ascii="Consolas;monospace" w:hAnsi="Consolas;monospace"/>
          <w:shd w:fill="F6E9C7" w:val="clear"/>
        </w:rPr>
        <w:t>.env.example</w:t>
      </w:r>
      <w:r>
        <w:rPr/>
        <w:t xml:space="preserve"> commenté est versionné. Les </w:t>
      </w:r>
      <w:r>
        <w:rPr>
          <w:rFonts w:ascii="Consolas;monospace" w:hAnsi="Consolas;monospace"/>
          <w:shd w:fill="F6E9C7" w:val="clear"/>
        </w:rPr>
        <w:t>.env</w:t>
      </w:r>
      <w:r>
        <w:rPr/>
        <w:t xml:space="preserve"> réels sont exclus du dépôt. La sonde </w:t>
      </w:r>
      <w:r>
        <w:rPr>
          <w:rFonts w:ascii="Consolas;monospace" w:hAnsi="Consolas;monospace"/>
          <w:shd w:fill="F6E9C7" w:val="clear"/>
        </w:rPr>
        <w:t>/health</w:t>
      </w:r>
      <w:r>
        <w:rPr/>
        <w:t xml:space="preserve"> indique si la clé d'IA est bien vue par le serveur — sans jamais l'exposer.</w:t>
      </w:r>
    </w:p>
    <w:p>
      <w:pPr>
        <w:pStyle w:val="Heading2"/>
        <w:bidi w:val="0"/>
        <w:ind w:hanging="0" w:left="0" w:right="0"/>
        <w:jc w:val="left"/>
        <w:rPr>
          <w:rFonts w:ascii="Georgia;serif" w:hAnsi="Georgia;serif"/>
          <w:color w:val="0A453C"/>
          <w:sz w:val="30"/>
        </w:rPr>
      </w:pPr>
      <w:r>
        <w:rPr>
          <w:rFonts w:ascii="Georgia;serif" w:hAnsi="Georgia;serif"/>
          <w:color w:val="0A453C"/>
          <w:sz w:val="30"/>
        </w:rPr>
        <w:t>7 — Sécurité et conformité</w:t>
      </w:r>
    </w:p>
    <w:p>
      <w:pPr>
        <w:pStyle w:val="Heading3"/>
        <w:bidi w:val="0"/>
        <w:ind w:hanging="0" w:left="0" w:right="0"/>
        <w:jc w:val="left"/>
        <w:rPr>
          <w:rFonts w:ascii="Georgia;serif" w:hAnsi="Georgia;serif"/>
          <w:color w:val="20302B"/>
          <w:sz w:val="24"/>
        </w:rPr>
      </w:pPr>
      <w:r>
        <w:rPr>
          <w:rFonts w:ascii="Georgia;serif" w:hAnsi="Georgia;serif"/>
          <w:color w:val="20302B"/>
          <w:sz w:val="24"/>
        </w:rPr>
        <w:t>Le moins de données possible, la clé hors de portée</w:t>
      </w:r>
    </w:p>
    <w:p>
      <w:pPr>
        <w:pStyle w:val="BodyText"/>
        <w:bidi w:val="0"/>
        <w:ind w:hanging="0" w:left="0" w:right="0"/>
        <w:jc w:val="both"/>
        <w:rPr/>
      </w:pPr>
      <w:r>
        <w:rPr/>
        <w:t>Une clé embarquée dans une application mobile est extractible en quelques minutes : il suffit de décompiler l'APK. Elle serait alors utilisée par des tiers, aux frais du projet, jusqu'à épuisement du quota — et l'application tomberait pour tous les élèves. Un seul fichier importe le SDK d'IA. Vérification reproductible sur le code publié :</w:t>
      </w:r>
    </w:p>
    <w:p>
      <w:pPr>
        <w:pStyle w:val="BodyText"/>
        <w:bidi w:val="0"/>
        <w:ind w:hanging="0" w:left="0" w:right="0"/>
        <w:jc w:val="both"/>
        <w:rPr/>
      </w:pPr>
      <w:r>
        <w:rPr/>
        <w:t>grep -r "LLM_API_KEY\|GoogleGenAI" frontend/src mobile/src</w:t>
      </w:r>
    </w:p>
    <w:p>
      <w:pPr>
        <w:pStyle w:val="BodyText"/>
        <w:bidi w:val="0"/>
        <w:ind w:hanging="0" w:left="0" w:right="0"/>
        <w:jc w:val="both"/>
        <w:rPr/>
      </w:pPr>
      <w:r>
        <w:rPr/>
        <w:t>Cette commande ne renvoie rien. L'audit du bundle Android exporté ne renvoie rien non plus.</w:t>
      </w:r>
    </w:p>
    <w:p>
      <w:pPr>
        <w:pStyle w:val="BodyText"/>
        <w:bidi w:val="0"/>
        <w:ind w:hanging="0" w:left="0" w:right="0"/>
        <w:jc w:val="both"/>
        <w:rPr>
          <w:b/>
        </w:rPr>
      </w:pPr>
      <w:r>
        <w:rPr>
          <w:b/>
        </w:rPr>
        <w:t>Gestion des accès</w:t>
      </w:r>
    </w:p>
    <w:p>
      <w:pPr>
        <w:pStyle w:val="BodyText"/>
        <w:numPr>
          <w:ilvl w:val="0"/>
          <w:numId w:val="7"/>
        </w:numPr>
        <w:tabs>
          <w:tab w:val="clear" w:pos="1134"/>
          <w:tab w:val="left" w:pos="709" w:leader="none"/>
        </w:tabs>
        <w:bidi w:val="0"/>
        <w:spacing w:before="0" w:after="0"/>
        <w:ind w:hanging="283" w:left="709" w:right="0"/>
        <w:jc w:val="left"/>
        <w:rPr/>
      </w:pPr>
      <w:r>
        <w:rPr>
          <w:b/>
        </w:rPr>
        <w:t>Identifiant anonyme</w:t>
      </w:r>
      <w:r>
        <w:rPr/>
        <w:t xml:space="preserve"> transmis dans l'en-tête </w:t>
      </w:r>
      <w:r>
        <w:rPr>
          <w:rFonts w:ascii="Consolas;monospace" w:hAnsi="Consolas;monospace"/>
          <w:shd w:fill="F6E9C7" w:val="clear"/>
        </w:rPr>
        <w:t>X-User-Id</w:t>
      </w:r>
      <w:r>
        <w:rPr/>
        <w:t xml:space="preserve">, validé par expression régulière avant toute requête en base. </w:t>
      </w:r>
    </w:p>
    <w:p>
      <w:pPr>
        <w:pStyle w:val="BodyText"/>
        <w:numPr>
          <w:ilvl w:val="0"/>
          <w:numId w:val="7"/>
        </w:numPr>
        <w:tabs>
          <w:tab w:val="clear" w:pos="1134"/>
          <w:tab w:val="left" w:pos="709" w:leader="none"/>
        </w:tabs>
        <w:bidi w:val="0"/>
        <w:spacing w:before="0" w:after="0"/>
        <w:ind w:hanging="283" w:left="709"/>
        <w:jc w:val="left"/>
        <w:rPr/>
      </w:pPr>
      <w:r>
        <w:rPr>
          <w:b/>
        </w:rPr>
        <w:t>Routes de lecture publiques</w:t>
      </w:r>
      <w:r>
        <w:rPr/>
        <w:t xml:space="preserve"> (catalogue) et </w:t>
      </w:r>
      <w:r>
        <w:rPr>
          <w:b/>
        </w:rPr>
        <w:t>routes identifiées</w:t>
      </w:r>
      <w:r>
        <w:rPr/>
        <w:t xml:space="preserve"> pour tout ce qui touche à l'élève. </w:t>
      </w:r>
    </w:p>
    <w:p>
      <w:pPr>
        <w:pStyle w:val="BodyText"/>
        <w:numPr>
          <w:ilvl w:val="0"/>
          <w:numId w:val="7"/>
        </w:numPr>
        <w:tabs>
          <w:tab w:val="clear" w:pos="1134"/>
          <w:tab w:val="left" w:pos="709" w:leader="none"/>
        </w:tabs>
        <w:bidi w:val="0"/>
        <w:ind w:hanging="283" w:left="709"/>
        <w:jc w:val="left"/>
        <w:rPr/>
      </w:pPr>
      <w:r>
        <w:rPr>
          <w:b/>
        </w:rPr>
        <w:t>Cloisonnement</w:t>
      </w:r>
      <w:r>
        <w:rPr/>
        <w:t xml:space="preserve"> — un élève ne peut lire que sa propre progression ; l'identifiant sert de clé de partitionnement dans chaque requête. </w:t>
      </w:r>
    </w:p>
    <w:p>
      <w:pPr>
        <w:pStyle w:val="BodyText"/>
        <w:bidi w:val="0"/>
        <w:ind w:hanging="0" w:left="0" w:right="0"/>
        <w:jc w:val="both"/>
        <w:rPr>
          <w:b/>
        </w:rPr>
      </w:pPr>
      <w:r>
        <w:rPr>
          <w:b/>
        </w:rPr>
        <w:t>Données personnelles et protection des mineurs</w:t>
      </w:r>
    </w:p>
    <w:p>
      <w:pPr>
        <w:pStyle w:val="BodyText"/>
        <w:bidi w:val="0"/>
        <w:ind w:hanging="0" w:left="0" w:right="0"/>
        <w:jc w:val="both"/>
        <w:rPr/>
      </w:pPr>
      <w:r>
        <w:rPr/>
        <w:t xml:space="preserve">L'élève ne fournit ni nom, ni email, ni téléphone, ni mot de passe. Un identifiant aléatoire est généré au premier lancement et conservé sur l'appareil. Le serveur n'associe à cet identifiant que des données scolaires : thèmes travaillés, réponses, scores. Le public visé étant mineur, c'est la position la plus sûre — </w:t>
      </w:r>
      <w:r>
        <w:rPr>
          <w:b/>
        </w:rPr>
        <w:t>il n'y a rien à fuiter</w:t>
      </w:r>
      <w:r>
        <w:rPr/>
        <w:t>, et rien qui relève d'un traitement de données sensibles.</w:t>
      </w:r>
    </w:p>
    <w:p>
      <w:pPr>
        <w:pStyle w:val="BodyText"/>
        <w:bidi w:val="0"/>
        <w:ind w:hanging="0" w:left="0" w:right="0"/>
        <w:jc w:val="both"/>
        <w:rPr/>
      </w:pPr>
      <w:r>
        <w:rPr/>
        <w:t>Cette conception place le service très en deçà des obligations habituelles en matière de données personnelles : pas de collecte, pas de profilage, pas de transfert à des tiers. Les requêtes envoyées au modèle ne contiennent que l'énoncé, la réponse de l'élève et le thème — jamais d'identifiant ni de donnée nominative.</w:t>
      </w:r>
    </w:p>
    <w:p>
      <w:pPr>
        <w:pStyle w:val="BodyText"/>
        <w:bidi w:val="0"/>
        <w:ind w:hanging="0" w:left="0" w:right="0"/>
        <w:jc w:val="both"/>
        <w:rPr>
          <w:b/>
        </w:rPr>
      </w:pPr>
      <w:r>
        <w:rPr>
          <w:b/>
        </w:rPr>
        <w:t>Défenses applicatives</w:t>
      </w:r>
    </w:p>
    <w:tbl>
      <w:tblPr>
        <w:tblW w:w="6062" w:type="dxa"/>
        <w:jc w:val="left"/>
        <w:tblInd w:w="-7" w:type="dxa"/>
        <w:tblLayout w:type="fixed"/>
        <w:tblCellMar>
          <w:top w:w="90" w:type="dxa"/>
          <w:left w:w="90" w:type="dxa"/>
          <w:bottom w:w="90" w:type="dxa"/>
          <w:right w:w="90" w:type="dxa"/>
        </w:tblCellMar>
      </w:tblPr>
      <w:tblGrid>
        <w:gridCol w:w="1904"/>
        <w:gridCol w:w="4158"/>
      </w:tblGrid>
      <w:tr>
        <w:trPr/>
        <w:tc>
          <w:tcPr>
            <w:tcW w:w="1904"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Risque</w:t>
            </w:r>
          </w:p>
        </w:tc>
        <w:tc>
          <w:tcPr>
            <w:tcW w:w="4158"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Mesure</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Injection dans le prompt</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La difficulté passe par une liste blanche ; longueurs bornées par schéma</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Entrées malformées</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Validation Zod sur corps, requête et paramètres — 400 explicite, jamais 500</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Abus de quota</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Limitation par élève, pas par IP (voir §9)</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Requêtes hors origine</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CORS restreint au domaine du frontend en production</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En-têtes et clickjacking</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Helmet</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Charge utile excessive</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Corps limité à 64 ko</w:t>
            </w:r>
          </w:p>
        </w:tc>
      </w:tr>
      <w:tr>
        <w:trPr/>
        <w:tc>
          <w:tcPr>
            <w:tcW w:w="190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Fuite de secrets</w:t>
            </w:r>
          </w:p>
        </w:tc>
        <w:tc>
          <w:tcPr>
            <w:tcW w:w="415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Fonts w:ascii="Consolas;monospace" w:hAnsi="Consolas;monospace"/>
                <w:shd w:fill="F6E9C7" w:val="clear"/>
              </w:rPr>
              <w:t>.env</w:t>
            </w:r>
            <w:r>
              <w:rPr/>
              <w:t xml:space="preserve"> git-ignoré ; historique complet audité</w:t>
            </w:r>
          </w:p>
        </w:tc>
      </w:tr>
      <w:tr>
        <w:trPr/>
        <w:tc>
          <w:tcPr>
            <w:tcW w:w="190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Transport</w:t>
            </w:r>
          </w:p>
        </w:tc>
        <w:tc>
          <w:tcPr>
            <w:tcW w:w="415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HTTPS de bout en bout, certificats gérés par les hébergeurs</w:t>
            </w:r>
          </w:p>
        </w:tc>
      </w:tr>
    </w:tbl>
    <w:p>
      <w:pPr>
        <w:pStyle w:val="Heading2"/>
        <w:bidi w:val="0"/>
        <w:ind w:hanging="0" w:left="0" w:right="0"/>
        <w:jc w:val="left"/>
        <w:rPr>
          <w:rFonts w:ascii="Georgia;serif" w:hAnsi="Georgia;serif"/>
          <w:color w:val="0A453C"/>
          <w:sz w:val="30"/>
        </w:rPr>
      </w:pPr>
      <w:r>
        <w:rPr>
          <w:rFonts w:ascii="Georgia;serif" w:hAnsi="Georgia;serif"/>
          <w:color w:val="0A453C"/>
          <w:sz w:val="30"/>
        </w:rPr>
        <w:t>8 — Maintenance et évolutivité</w:t>
      </w:r>
    </w:p>
    <w:p>
      <w:pPr>
        <w:pStyle w:val="Heading3"/>
        <w:bidi w:val="0"/>
        <w:ind w:hanging="0" w:left="0" w:right="0"/>
        <w:jc w:val="left"/>
        <w:rPr>
          <w:rFonts w:ascii="Georgia;serif" w:hAnsi="Georgia;serif"/>
          <w:color w:val="20302B"/>
          <w:sz w:val="24"/>
        </w:rPr>
      </w:pPr>
      <w:r>
        <w:rPr>
          <w:rFonts w:ascii="Georgia;serif" w:hAnsi="Georgia;serif"/>
          <w:color w:val="20302B"/>
          <w:sz w:val="24"/>
        </w:rPr>
        <w:t>Ce qui se passe quand quelque chose casse</w:t>
      </w:r>
    </w:p>
    <w:p>
      <w:pPr>
        <w:pStyle w:val="BodyText"/>
        <w:bidi w:val="0"/>
        <w:ind w:hanging="0" w:left="0" w:right="0"/>
        <w:jc w:val="both"/>
        <w:rPr>
          <w:b/>
        </w:rPr>
      </w:pPr>
      <w:r>
        <w:rPr>
          <w:b/>
        </w:rPr>
        <w:t>Robustesse du service d'IA</w:t>
      </w:r>
    </w:p>
    <w:p>
      <w:pPr>
        <w:pStyle w:val="BodyText"/>
        <w:bidi w:val="0"/>
        <w:ind w:hanging="0" w:left="0" w:right="0"/>
        <w:jc w:val="both"/>
        <w:rPr/>
      </w:pPr>
      <w:r>
        <w:rPr/>
        <w:t>Un modèle de langage tombe, sature, ou renvoie du texte inexploitable. Sur un produit destiné à des élèves, une panne d'IA ne doit pas devenir une page blanche. Quatre niveaux de repli s'enchaînent avant tout échec visible :</w:t>
      </w:r>
    </w:p>
    <w:p>
      <w:pPr>
        <w:pStyle w:val="BodyText"/>
        <w:numPr>
          <w:ilvl w:val="0"/>
          <w:numId w:val="8"/>
        </w:numPr>
        <w:tabs>
          <w:tab w:val="clear" w:pos="1134"/>
          <w:tab w:val="left" w:pos="709" w:leader="none"/>
        </w:tabs>
        <w:bidi w:val="0"/>
        <w:spacing w:before="0" w:after="0"/>
        <w:ind w:hanging="283" w:left="709"/>
        <w:jc w:val="left"/>
        <w:rPr/>
      </w:pPr>
      <w:r>
        <w:rPr>
          <w:b/>
        </w:rPr>
        <w:t>Nettoyage de la réponse</w:t>
      </w:r>
      <w:r>
        <w:rPr/>
        <w:t xml:space="preserve"> — 1Retrait des balises Markdown, extraction du premier objet JSON dans un texte bavard. </w:t>
      </w:r>
    </w:p>
    <w:p>
      <w:pPr>
        <w:pStyle w:val="BodyText"/>
        <w:numPr>
          <w:ilvl w:val="0"/>
          <w:numId w:val="8"/>
        </w:numPr>
        <w:tabs>
          <w:tab w:val="clear" w:pos="1134"/>
          <w:tab w:val="left" w:pos="709" w:leader="none"/>
        </w:tabs>
        <w:bidi w:val="0"/>
        <w:spacing w:before="0" w:after="0"/>
        <w:ind w:hanging="283" w:left="709" w:right="0"/>
        <w:jc w:val="left"/>
        <w:rPr/>
      </w:pPr>
      <w:r>
        <w:rPr>
          <w:b/>
        </w:rPr>
        <w:t>Validation par schéma</w:t>
      </w:r>
      <w:r>
        <w:rPr/>
        <w:t xml:space="preserve"> — 2Les trois champs doivent être présents </w:t>
      </w:r>
      <w:r>
        <w:rPr>
          <w:i/>
        </w:rPr>
        <w:t>et</w:t>
      </w:r>
      <w:r>
        <w:rPr/>
        <w:t xml:space="preserve"> non vides. Un </w:t>
      </w:r>
      <w:r>
        <w:rPr>
          <w:rFonts w:ascii="Consolas;monospace" w:hAnsi="Consolas;monospace"/>
          <w:shd w:fill="F6E9C7" w:val="clear"/>
        </w:rPr>
        <w:t>{}</w:t>
      </w:r>
      <w:r>
        <w:rPr/>
        <w:t xml:space="preserve"> est un JSON parfaitement valide : sans cette étape il traversait le service et faisait échouer l'écriture en base par une erreur 500. Incident réel, corrigé. </w:t>
      </w:r>
    </w:p>
    <w:p>
      <w:pPr>
        <w:pStyle w:val="BodyText"/>
        <w:numPr>
          <w:ilvl w:val="0"/>
          <w:numId w:val="8"/>
        </w:numPr>
        <w:tabs>
          <w:tab w:val="clear" w:pos="1134"/>
          <w:tab w:val="left" w:pos="709" w:leader="none"/>
        </w:tabs>
        <w:bidi w:val="0"/>
        <w:spacing w:before="0" w:after="0"/>
        <w:ind w:hanging="283" w:left="709"/>
        <w:jc w:val="left"/>
        <w:rPr/>
      </w:pPr>
      <w:r>
        <w:rPr>
          <w:b/>
        </w:rPr>
        <w:t>Second modèle</w:t>
      </w:r>
      <w:r>
        <w:rPr/>
        <w:t xml:space="preserve"> — 3Le quota gratuit se compte par modèle et par jour. Quand le principal est épuisé, un modèle allégé prend le relais — l'élève garde une vraie explication. </w:t>
      </w:r>
    </w:p>
    <w:p>
      <w:pPr>
        <w:pStyle w:val="BodyText"/>
        <w:numPr>
          <w:ilvl w:val="0"/>
          <w:numId w:val="8"/>
        </w:numPr>
        <w:tabs>
          <w:tab w:val="clear" w:pos="1134"/>
          <w:tab w:val="left" w:pos="709" w:leader="none"/>
        </w:tabs>
        <w:bidi w:val="0"/>
        <w:ind w:hanging="283" w:left="709" w:right="0"/>
        <w:jc w:val="left"/>
        <w:rPr/>
      </w:pPr>
      <w:r>
        <w:rPr>
          <w:b/>
        </w:rPr>
        <w:t>Banque locale</w:t>
      </w:r>
      <w:r>
        <w:rPr/>
        <w:t xml:space="preserve"> — 442 exercices rédigés à la main. Les 8 thèmes de mathématiques sont couverts au thème près ; chaque autre matière dispose de trois exercices justes et de son niveau. Marqués </w:t>
      </w:r>
      <w:r>
        <w:rPr>
          <w:rFonts w:ascii="Consolas;monospace" w:hAnsi="Consolas;monospace"/>
          <w:shd w:fill="F6E9C7" w:val="clear"/>
        </w:rPr>
        <w:t>source: "banque"</w:t>
      </w:r>
      <w:r>
        <w:rPr/>
        <w:t xml:space="preserve">, ce qui permet de mesurer la fréquence du repli. </w:t>
      </w:r>
    </w:p>
    <w:p>
      <w:pPr>
        <w:pStyle w:val="BodyText"/>
        <w:bidi w:val="0"/>
        <w:ind w:hanging="0" w:left="0" w:right="0"/>
        <w:jc w:val="both"/>
        <w:rPr/>
      </w:pPr>
      <w:r>
        <w:rPr/>
        <w:t xml:space="preserve">La correction dispose du même filet. Le chat renvoie une erreur </w:t>
      </w:r>
      <w:r>
        <w:rPr>
          <w:rFonts w:ascii="Consolas;monospace" w:hAnsi="Consolas;monospace"/>
          <w:shd w:fill="F6E9C7" w:val="clear"/>
        </w:rPr>
        <w:t>503</w:t>
      </w:r>
      <w:r>
        <w:rPr/>
        <w:t xml:space="preserve"> explicite : il n'existe pas de repli honnête à une question libre, et faire passer un message d'erreur pour une réponse du répétiteur serait pire que d'admettre la panne.</w:t>
      </w:r>
    </w:p>
    <w:p>
      <w:pPr>
        <w:pStyle w:val="BodyText"/>
        <w:bidi w:val="0"/>
        <w:ind w:hanging="0" w:left="0" w:right="0"/>
        <w:jc w:val="both"/>
        <w:rPr>
          <w:b/>
        </w:rPr>
      </w:pPr>
      <w:r>
        <w:rPr>
          <w:b/>
        </w:rPr>
        <w:t>Qualité et non-régression</w:t>
      </w:r>
    </w:p>
    <w:p>
      <w:pPr>
        <w:pStyle w:val="BodyText"/>
        <w:bidi w:val="0"/>
        <w:ind w:hanging="0" w:left="0" w:right="0"/>
        <w:jc w:val="both"/>
        <w:rPr/>
      </w:pPr>
      <w:r>
        <w:rPr/>
        <w:t xml:space="preserve">Une commande unique, </w:t>
      </w:r>
      <w:r>
        <w:rPr>
          <w:rFonts w:ascii="Consolas;monospace" w:hAnsi="Consolas;monospace"/>
          <w:shd w:fill="F6E9C7" w:val="clear"/>
        </w:rPr>
        <w:t>npm test</w:t>
      </w:r>
      <w:r>
        <w:rPr/>
        <w:t xml:space="preserve">, couvre les trois espaces. Le service d'IA est systématiquement simulé : la suite tourne sans clé, sans réseau et sans coût. S'y ajoute une suite d'intégration optionnelle qui valide le contrat contre le </w:t>
      </w:r>
      <w:r>
        <w:rPr>
          <w:i/>
        </w:rPr>
        <w:t>vrai</w:t>
      </w:r>
      <w:r>
        <w:rPr/>
        <w:t xml:space="preserve"> backend déployé, modèle compris — passée au vert sur l'instance de production.</w:t>
      </w:r>
    </w:p>
    <w:p>
      <w:pPr>
        <w:pStyle w:val="BodyText"/>
        <w:bidi w:val="0"/>
        <w:ind w:hanging="0" w:left="0" w:right="0"/>
        <w:jc w:val="both"/>
        <w:rPr/>
      </w:pPr>
      <w:r>
        <w:rPr/>
        <w:t>Ce que les tests verrouillent, entre autres :</w:t>
      </w:r>
    </w:p>
    <w:p>
      <w:pPr>
        <w:pStyle w:val="BodyText"/>
        <w:numPr>
          <w:ilvl w:val="0"/>
          <w:numId w:val="9"/>
        </w:numPr>
        <w:tabs>
          <w:tab w:val="clear" w:pos="1134"/>
          <w:tab w:val="left" w:pos="709" w:leader="none"/>
        </w:tabs>
        <w:bidi w:val="0"/>
        <w:spacing w:before="0" w:after="0"/>
        <w:ind w:hanging="283" w:left="709"/>
        <w:jc w:val="left"/>
        <w:rPr/>
      </w:pPr>
      <w:r>
        <w:rPr/>
        <w:t xml:space="preserve">La génération ne renvoie jamais la solution ni l'explication. </w:t>
      </w:r>
    </w:p>
    <w:p>
      <w:pPr>
        <w:pStyle w:val="BodyText"/>
        <w:numPr>
          <w:ilvl w:val="0"/>
          <w:numId w:val="9"/>
        </w:numPr>
        <w:tabs>
          <w:tab w:val="clear" w:pos="1134"/>
          <w:tab w:val="left" w:pos="709" w:leader="none"/>
        </w:tabs>
        <w:bidi w:val="0"/>
        <w:spacing w:before="0" w:after="0"/>
        <w:ind w:hanging="283" w:left="709"/>
        <w:jc w:val="left"/>
        <w:rPr/>
      </w:pPr>
      <w:r>
        <w:rPr/>
        <w:t xml:space="preserve">Une réponse d'IA malformée déclenche le repli sans planter. </w:t>
      </w:r>
    </w:p>
    <w:p>
      <w:pPr>
        <w:pStyle w:val="BodyText"/>
        <w:numPr>
          <w:ilvl w:val="0"/>
          <w:numId w:val="9"/>
        </w:numPr>
        <w:tabs>
          <w:tab w:val="clear" w:pos="1134"/>
          <w:tab w:val="left" w:pos="709" w:leader="none"/>
        </w:tabs>
        <w:bidi w:val="0"/>
        <w:spacing w:before="0" w:after="0"/>
        <w:ind w:hanging="283" w:left="709" w:right="0"/>
        <w:jc w:val="left"/>
        <w:rPr/>
      </w:pPr>
      <w:r>
        <w:rPr/>
        <w:t xml:space="preserve">Une panne du chat produit un </w:t>
      </w:r>
      <w:r>
        <w:rPr>
          <w:rFonts w:ascii="Consolas;monospace" w:hAnsi="Consolas;monospace"/>
          <w:shd w:fill="F6E9C7" w:val="clear"/>
        </w:rPr>
        <w:t>503</w:t>
      </w:r>
      <w:r>
        <w:rPr/>
        <w:t xml:space="preserve"> et une vraie erreur affichée, jamais une fausse réponse. </w:t>
      </w:r>
    </w:p>
    <w:p>
      <w:pPr>
        <w:pStyle w:val="BodyText"/>
        <w:numPr>
          <w:ilvl w:val="0"/>
          <w:numId w:val="9"/>
        </w:numPr>
        <w:tabs>
          <w:tab w:val="clear" w:pos="1134"/>
          <w:tab w:val="left" w:pos="709" w:leader="none"/>
        </w:tabs>
        <w:bidi w:val="0"/>
        <w:ind w:hanging="283" w:left="709"/>
        <w:jc w:val="left"/>
        <w:rPr/>
      </w:pPr>
      <w:r>
        <w:rPr/>
        <w:t xml:space="preserve">La validation des entrées, le quota, le calcul du score de maîtrise. </w:t>
      </w:r>
    </w:p>
    <w:p>
      <w:pPr>
        <w:pStyle w:val="BodyText"/>
        <w:bidi w:val="0"/>
        <w:ind w:hanging="0" w:left="0" w:right="0"/>
        <w:jc w:val="both"/>
        <w:rPr>
          <w:b/>
        </w:rPr>
      </w:pPr>
      <w:r>
        <w:rPr>
          <w:b/>
        </w:rPr>
        <w:t>Stratégie de mise à jour</w:t>
      </w:r>
    </w:p>
    <w:p>
      <w:pPr>
        <w:pStyle w:val="BodyText"/>
        <w:numPr>
          <w:ilvl w:val="0"/>
          <w:numId w:val="10"/>
        </w:numPr>
        <w:tabs>
          <w:tab w:val="clear" w:pos="1134"/>
          <w:tab w:val="left" w:pos="709" w:leader="none"/>
        </w:tabs>
        <w:bidi w:val="0"/>
        <w:spacing w:before="0" w:after="0"/>
        <w:ind w:hanging="283" w:left="709" w:right="0"/>
        <w:jc w:val="left"/>
        <w:rPr/>
      </w:pPr>
      <w:r>
        <w:rPr>
          <w:b/>
        </w:rPr>
        <w:t>Déploiement continu</w:t>
      </w:r>
      <w:r>
        <w:rPr/>
        <w:t xml:space="preserve"> — un </w:t>
      </w:r>
      <w:r>
        <w:rPr>
          <w:rFonts w:ascii="Consolas;monospace" w:hAnsi="Consolas;monospace"/>
          <w:shd w:fill="F6E9C7" w:val="clear"/>
        </w:rPr>
        <w:t>git push</w:t>
      </w:r>
      <w:r>
        <w:rPr/>
        <w:t xml:space="preserve"> déclenche la compilation, l'application du schéma et la mise en ligne. Aucune commande manuelle après un déploiement : le catalogue s'installe seul au démarrage. </w:t>
      </w:r>
    </w:p>
    <w:p>
      <w:pPr>
        <w:pStyle w:val="BodyText"/>
        <w:numPr>
          <w:ilvl w:val="0"/>
          <w:numId w:val="10"/>
        </w:numPr>
        <w:tabs>
          <w:tab w:val="clear" w:pos="1134"/>
          <w:tab w:val="left" w:pos="709" w:leader="none"/>
        </w:tabs>
        <w:bidi w:val="0"/>
        <w:spacing w:before="0" w:after="0"/>
        <w:ind w:hanging="283" w:left="709" w:right="0"/>
        <w:jc w:val="left"/>
        <w:rPr/>
      </w:pPr>
      <w:r>
        <w:rPr>
          <w:b/>
        </w:rPr>
        <w:t>Sonde de santé</w:t>
      </w:r>
      <w:r>
        <w:rPr/>
        <w:t xml:space="preserve"> — l'hébergeur ne bascule sur la nouvelle version que si </w:t>
      </w:r>
      <w:r>
        <w:rPr>
          <w:rFonts w:ascii="Consolas;monospace" w:hAnsi="Consolas;monospace"/>
          <w:shd w:fill="F6E9C7" w:val="clear"/>
        </w:rPr>
        <w:t>/health</w:t>
      </w:r>
      <w:r>
        <w:rPr/>
        <w:t xml:space="preserve"> répond. </w:t>
      </w:r>
    </w:p>
    <w:p>
      <w:pPr>
        <w:pStyle w:val="BodyText"/>
        <w:numPr>
          <w:ilvl w:val="0"/>
          <w:numId w:val="10"/>
        </w:numPr>
        <w:tabs>
          <w:tab w:val="clear" w:pos="1134"/>
          <w:tab w:val="left" w:pos="709" w:leader="none"/>
        </w:tabs>
        <w:bidi w:val="0"/>
        <w:spacing w:before="0" w:after="0"/>
        <w:ind w:hanging="283" w:left="709" w:right="0"/>
        <w:jc w:val="left"/>
        <w:rPr/>
      </w:pPr>
      <w:r>
        <w:rPr>
          <w:b/>
        </w:rPr>
        <w:t>Versions figées</w:t>
      </w:r>
      <w:r>
        <w:rPr/>
        <w:t xml:space="preserve"> — </w:t>
      </w:r>
      <w:r>
        <w:rPr>
          <w:rFonts w:ascii="Consolas;monospace" w:hAnsi="Consolas;monospace"/>
          <w:shd w:fill="F6E9C7" w:val="clear"/>
        </w:rPr>
        <w:t>package-lock.json</w:t>
      </w:r>
      <w:r>
        <w:rPr/>
        <w:t xml:space="preserve"> versionné : une réinstallation produit exactement le même arbre de dépendances. </w:t>
      </w:r>
    </w:p>
    <w:p>
      <w:pPr>
        <w:pStyle w:val="BodyText"/>
        <w:numPr>
          <w:ilvl w:val="0"/>
          <w:numId w:val="10"/>
        </w:numPr>
        <w:tabs>
          <w:tab w:val="clear" w:pos="1134"/>
          <w:tab w:val="left" w:pos="709" w:leader="none"/>
        </w:tabs>
        <w:bidi w:val="0"/>
        <w:ind w:hanging="283" w:left="709"/>
        <w:jc w:val="left"/>
        <w:rPr/>
      </w:pPr>
      <w:r>
        <w:rPr>
          <w:b/>
        </w:rPr>
        <w:t>Montées de version</w:t>
      </w:r>
      <w:r>
        <w:rPr/>
        <w:t xml:space="preserve"> — dépendances peu nombreuses et à jour ; les paliers majeurs (Node, Expo) se traitent un par un, la suite de tests servant de garde-fou. </w:t>
      </w:r>
    </w:p>
    <w:p>
      <w:pPr>
        <w:pStyle w:val="BodyText"/>
        <w:bidi w:val="0"/>
        <w:ind w:hanging="0" w:left="0" w:right="0"/>
        <w:jc w:val="both"/>
        <w:rPr>
          <w:b/>
        </w:rPr>
      </w:pPr>
      <w:r>
        <w:rPr>
          <w:b/>
        </w:rPr>
        <w:t>Évolutivité fonctionnelle</w:t>
      </w:r>
    </w:p>
    <w:p>
      <w:pPr>
        <w:pStyle w:val="BodyText"/>
        <w:bidi w:val="0"/>
        <w:ind w:hanging="0" w:left="0" w:right="0"/>
        <w:jc w:val="both"/>
        <w:rPr/>
      </w:pPr>
      <w:r>
        <w:rPr/>
        <w:t>Le modèle de données a été conçu pour l'extension, et cela a été vérifié en pratique :</w:t>
      </w:r>
    </w:p>
    <w:p>
      <w:pPr>
        <w:pStyle w:val="BodyText"/>
        <w:numPr>
          <w:ilvl w:val="0"/>
          <w:numId w:val="11"/>
        </w:numPr>
        <w:tabs>
          <w:tab w:val="clear" w:pos="1134"/>
          <w:tab w:val="left" w:pos="709" w:leader="none"/>
        </w:tabs>
        <w:bidi w:val="0"/>
        <w:spacing w:before="0" w:after="0"/>
        <w:ind w:hanging="283" w:left="709"/>
        <w:jc w:val="left"/>
        <w:rPr/>
      </w:pPr>
      <w:r>
        <w:rPr>
          <w:b/>
        </w:rPr>
        <w:t>Ajouter une matière</w:t>
      </w:r>
      <w:r>
        <w:rPr/>
        <w:t xml:space="preserve"> — une entrée dans le catalogue. Les cinq matières ajoutées après les mathématiques n'ont demandé aucune modification de l'API. </w:t>
      </w:r>
    </w:p>
    <w:p>
      <w:pPr>
        <w:pStyle w:val="BodyText"/>
        <w:numPr>
          <w:ilvl w:val="0"/>
          <w:numId w:val="11"/>
        </w:numPr>
        <w:tabs>
          <w:tab w:val="clear" w:pos="1134"/>
          <w:tab w:val="left" w:pos="709" w:leader="none"/>
        </w:tabs>
        <w:bidi w:val="0"/>
        <w:spacing w:before="0" w:after="0"/>
        <w:ind w:hanging="283" w:left="709" w:right="0"/>
        <w:jc w:val="left"/>
        <w:rPr/>
      </w:pPr>
      <w:r>
        <w:rPr>
          <w:b/>
        </w:rPr>
        <w:t>Ajouter un niveau</w:t>
      </w:r>
      <w:r>
        <w:rPr/>
        <w:t xml:space="preserve"> (BAC) — le champ </w:t>
      </w:r>
      <w:r>
        <w:rPr>
          <w:rFonts w:ascii="Consolas;monospace" w:hAnsi="Consolas;monospace"/>
          <w:shd w:fill="F6E9C7" w:val="clear"/>
        </w:rPr>
        <w:t>niveau</w:t>
      </w:r>
      <w:r>
        <w:rPr/>
        <w:t xml:space="preserve"> existe déjà sur la matière ; c'est un seed. </w:t>
      </w:r>
    </w:p>
    <w:p>
      <w:pPr>
        <w:pStyle w:val="BodyText"/>
        <w:numPr>
          <w:ilvl w:val="0"/>
          <w:numId w:val="11"/>
        </w:numPr>
        <w:tabs>
          <w:tab w:val="clear" w:pos="1134"/>
          <w:tab w:val="left" w:pos="709" w:leader="none"/>
        </w:tabs>
        <w:bidi w:val="0"/>
        <w:spacing w:before="0" w:after="0"/>
        <w:ind w:hanging="283" w:left="709"/>
        <w:jc w:val="left"/>
        <w:rPr/>
      </w:pPr>
      <w:r>
        <w:rPr>
          <w:b/>
        </w:rPr>
        <w:t>Changer de modèle d'IA</w:t>
      </w:r>
      <w:r>
        <w:rPr/>
        <w:t xml:space="preserve"> — le nom du modèle est une variable d'environnement ; la chaîne de repli en accepte plusieurs. </w:t>
      </w:r>
    </w:p>
    <w:p>
      <w:pPr>
        <w:pStyle w:val="BodyText"/>
        <w:numPr>
          <w:ilvl w:val="0"/>
          <w:numId w:val="11"/>
        </w:numPr>
        <w:tabs>
          <w:tab w:val="clear" w:pos="1134"/>
          <w:tab w:val="left" w:pos="709" w:leader="none"/>
        </w:tabs>
        <w:bidi w:val="0"/>
        <w:ind w:hanging="283" w:left="709"/>
        <w:jc w:val="left"/>
        <w:rPr/>
      </w:pPr>
      <w:r>
        <w:rPr>
          <w:b/>
        </w:rPr>
        <w:t>Ajouter un client</w:t>
      </w:r>
      <w:r>
        <w:rPr/>
        <w:t xml:space="preserve"> — l'API est publique et documentée ; le client Android en est la démonstration. </w:t>
      </w:r>
    </w:p>
    <w:p>
      <w:pPr>
        <w:pStyle w:val="Heading2"/>
        <w:bidi w:val="0"/>
        <w:ind w:hanging="0" w:left="0" w:right="0"/>
        <w:jc w:val="left"/>
        <w:rPr>
          <w:rFonts w:ascii="Georgia;serif" w:hAnsi="Georgia;serif"/>
          <w:color w:val="0A453C"/>
          <w:sz w:val="30"/>
        </w:rPr>
      </w:pPr>
      <w:r>
        <w:rPr>
          <w:rFonts w:ascii="Georgia;serif" w:hAnsi="Georgia;serif"/>
          <w:color w:val="0A453C"/>
          <w:sz w:val="30"/>
        </w:rPr>
        <w:t>9 — Ancrage local et limites</w:t>
      </w:r>
    </w:p>
    <w:p>
      <w:pPr>
        <w:pStyle w:val="Heading3"/>
        <w:bidi w:val="0"/>
        <w:ind w:hanging="0" w:left="0" w:right="0"/>
        <w:jc w:val="left"/>
        <w:rPr>
          <w:rFonts w:ascii="Georgia;serif" w:hAnsi="Georgia;serif"/>
          <w:color w:val="20302B"/>
          <w:sz w:val="24"/>
        </w:rPr>
      </w:pPr>
      <w:r>
        <w:rPr>
          <w:rFonts w:ascii="Georgia;serif" w:hAnsi="Georgia;serif"/>
          <w:color w:val="20302B"/>
          <w:sz w:val="24"/>
        </w:rPr>
        <w:t>Des décisions dictées par le terrain béninois</w:t>
      </w:r>
    </w:p>
    <w:p>
      <w:pPr>
        <w:pStyle w:val="BodyText"/>
        <w:bidi w:val="0"/>
        <w:ind w:hanging="0" w:left="0" w:right="0"/>
        <w:jc w:val="both"/>
        <w:rPr/>
      </w:pPr>
      <w:r>
        <w:rPr/>
        <w:t>Une classe entière ou un cybercafé partage une seule adresse IP publique. Limiter par IP — le réglage par défaut de toutes les bibliothèques — aurait bloqué tout un établissement dès que quelques élèves travaillent ensemble. Le compteur porte donc sur l'identifiant de l'élève.</w:t>
      </w:r>
    </w:p>
    <w:p>
      <w:pPr>
        <w:pStyle w:val="BodyText"/>
        <w:bidi w:val="0"/>
        <w:ind w:hanging="0" w:left="0" w:right="0"/>
        <w:jc w:val="both"/>
        <w:rPr/>
      </w:pPr>
      <w:r>
        <w:rPr/>
        <w:t xml:space="preserve">Le modèle produit spontanément du LaTeX — l'élève lisait </w:t>
      </w:r>
      <w:r>
        <w:rPr>
          <w:rFonts w:ascii="Consolas;monospace" w:hAnsi="Consolas;monospace"/>
          <w:shd w:fill="F6E9C7" w:val="clear"/>
        </w:rPr>
        <w:t>$\sqrt{45}$</w:t>
      </w:r>
      <w:r>
        <w:rPr/>
        <w:t xml:space="preserve"> tel quel. Embarquer un moteur LaTeX aurait coûté plusieurs centaines de kilo-octets sur des téléphones d'entrée de gamme, pour afficher ce qu'un élève lit déjà au tableau. Le serveur convertit donc en Unicode : </w:t>
      </w:r>
      <w:r>
        <w:rPr>
          <w:shd w:fill="F6E9C7" w:val="clear"/>
        </w:rPr>
        <w:t>√</w:t>
      </w:r>
      <w:r>
        <w:rPr>
          <w:rFonts w:ascii="Consolas;monospace" w:hAnsi="Consolas;monospace"/>
          <w:shd w:fill="F6E9C7" w:val="clear"/>
        </w:rPr>
        <w:t>45</w:t>
      </w:r>
      <w:r>
        <w:rPr/>
        <w:t xml:space="preserve">, </w:t>
      </w:r>
      <w:r>
        <w:rPr>
          <w:rFonts w:ascii="Consolas;monospace" w:hAnsi="Consolas;monospace"/>
          <w:shd w:fill="F6E9C7" w:val="clear"/>
        </w:rPr>
        <w:t>x²</w:t>
      </w:r>
      <w:r>
        <w:rPr/>
        <w:t xml:space="preserve">, </w:t>
      </w:r>
      <w:r>
        <w:rPr>
          <w:rFonts w:ascii="Consolas;monospace" w:hAnsi="Consolas;monospace"/>
          <w:shd w:fill="F6E9C7" w:val="clear"/>
        </w:rPr>
        <w:t>3 × 5</w:t>
      </w:r>
      <w:r>
        <w:rPr/>
        <w:t xml:space="preserve">, </w:t>
      </w:r>
      <w:r>
        <w:rPr>
          <w:rFonts w:ascii="Consolas;monospace" w:hAnsi="Consolas;monospace"/>
          <w:shd w:fill="F6E9C7" w:val="clear"/>
        </w:rPr>
        <w:t>(MN) ∥ (BC)</w:t>
      </w:r>
      <w:r>
        <w:rPr/>
        <w:t>. Les consignes ne s'appliquent qu'aux matières scientifiques : les imposer en anglais n'aurait aucun sens.</w:t>
      </w:r>
    </w:p>
    <w:p>
      <w:pPr>
        <w:pStyle w:val="BodyText"/>
        <w:bidi w:val="0"/>
        <w:ind w:hanging="0" w:left="0" w:right="0"/>
        <w:jc w:val="both"/>
        <w:rPr>
          <w:b/>
        </w:rPr>
      </w:pPr>
      <w:r>
        <w:rPr>
          <w:b/>
        </w:rPr>
        <w:t>Fonctionnement dégradé</w:t>
      </w:r>
    </w:p>
    <w:p>
      <w:pPr>
        <w:pStyle w:val="BodyText"/>
        <w:numPr>
          <w:ilvl w:val="0"/>
          <w:numId w:val="12"/>
        </w:numPr>
        <w:tabs>
          <w:tab w:val="clear" w:pos="1134"/>
          <w:tab w:val="left" w:pos="709" w:leader="none"/>
        </w:tabs>
        <w:bidi w:val="0"/>
        <w:spacing w:before="0" w:after="0"/>
        <w:ind w:hanging="283" w:left="709"/>
        <w:jc w:val="left"/>
        <w:rPr/>
      </w:pPr>
      <w:r>
        <w:rPr/>
        <w:t xml:space="preserve">La coquille de l'application et les thèmes sont mis en cache : elle s'ouvre sans réseau. </w:t>
      </w:r>
    </w:p>
    <w:p>
      <w:pPr>
        <w:pStyle w:val="BodyText"/>
        <w:numPr>
          <w:ilvl w:val="0"/>
          <w:numId w:val="12"/>
        </w:numPr>
        <w:tabs>
          <w:tab w:val="clear" w:pos="1134"/>
          <w:tab w:val="left" w:pos="709" w:leader="none"/>
        </w:tabs>
        <w:bidi w:val="0"/>
        <w:spacing w:before="0" w:after="0"/>
        <w:ind w:hanging="283" w:left="709"/>
        <w:jc w:val="left"/>
        <w:rPr/>
      </w:pPr>
      <w:r>
        <w:rPr/>
        <w:t xml:space="preserve">Les </w:t>
      </w:r>
      <w:r>
        <w:rPr>
          <w:b/>
        </w:rPr>
        <w:t>dix derniers exercices</w:t>
      </w:r>
      <w:r>
        <w:rPr/>
        <w:t xml:space="preserve"> travaillés, corrections comprises, restent consultables hors connexion. </w:t>
      </w:r>
    </w:p>
    <w:p>
      <w:pPr>
        <w:pStyle w:val="BodyText"/>
        <w:numPr>
          <w:ilvl w:val="0"/>
          <w:numId w:val="12"/>
        </w:numPr>
        <w:tabs>
          <w:tab w:val="clear" w:pos="1134"/>
          <w:tab w:val="left" w:pos="709" w:leader="none"/>
        </w:tabs>
        <w:bidi w:val="0"/>
        <w:ind w:hanging="283" w:left="709"/>
        <w:jc w:val="left"/>
        <w:rPr/>
      </w:pPr>
      <w:r>
        <w:rPr/>
        <w:t xml:space="preserve">Sans clé d'API configurée, le serveur démarre quand même et sert la banque locale. </w:t>
      </w:r>
    </w:p>
    <w:p>
      <w:pPr>
        <w:pStyle w:val="BodyText"/>
        <w:bidi w:val="0"/>
        <w:ind w:hanging="0" w:left="0" w:right="0"/>
        <w:jc w:val="both"/>
        <w:rPr>
          <w:b/>
        </w:rPr>
      </w:pPr>
      <w:r>
        <w:rPr>
          <w:b/>
        </w:rPr>
        <w:t>Accessibilité</w:t>
      </w:r>
    </w:p>
    <w:p>
      <w:pPr>
        <w:pStyle w:val="BodyText"/>
        <w:bidi w:val="0"/>
        <w:ind w:hanging="0" w:left="0" w:right="0"/>
        <w:jc w:val="both"/>
        <w:rPr/>
      </w:pPr>
      <w:r>
        <w:rPr/>
        <w:t>Interface intégralement en français, langage simple. Contrastes conformes AA. Chaque bouton icône porte un libellé accessible, les groupes de choix sont navigables au clavier, les chargements sont annoncés aux lecteurs d'écran et les erreurs signalées comme telles. Mise en page utilisable dès 320 pixels de large.</w:t>
      </w:r>
    </w:p>
    <w:p>
      <w:pPr>
        <w:pStyle w:val="BodyText"/>
        <w:bidi w:val="0"/>
        <w:ind w:hanging="0" w:left="0" w:right="0"/>
        <w:jc w:val="both"/>
        <w:rPr>
          <w:b/>
        </w:rPr>
      </w:pPr>
      <w:r>
        <w:rPr>
          <w:b/>
        </w:rPr>
        <w:t>Limites assumées</w:t>
      </w:r>
    </w:p>
    <w:p>
      <w:pPr>
        <w:pStyle w:val="BodyText"/>
        <w:bidi w:val="0"/>
        <w:ind w:hanging="0" w:left="0" w:right="0"/>
        <w:jc w:val="both"/>
        <w:rPr/>
      </w:pPr>
      <w:r>
        <w:rPr/>
        <w:t>Les dire est plus utile que les taire — elles conditionnent la suite du projet.</w:t>
      </w:r>
    </w:p>
    <w:tbl>
      <w:tblPr>
        <w:tblW w:w="6062" w:type="dxa"/>
        <w:jc w:val="left"/>
        <w:tblInd w:w="-7" w:type="dxa"/>
        <w:tblLayout w:type="fixed"/>
        <w:tblCellMar>
          <w:top w:w="90" w:type="dxa"/>
          <w:left w:w="90" w:type="dxa"/>
          <w:bottom w:w="90" w:type="dxa"/>
          <w:right w:w="90" w:type="dxa"/>
        </w:tblCellMar>
      </w:tblPr>
      <w:tblGrid>
        <w:gridCol w:w="1865"/>
        <w:gridCol w:w="2181"/>
        <w:gridCol w:w="2016"/>
      </w:tblGrid>
      <w:tr>
        <w:trPr/>
        <w:tc>
          <w:tcPr>
            <w:tcW w:w="1865"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Limite</w:t>
            </w:r>
          </w:p>
        </w:tc>
        <w:tc>
          <w:tcPr>
            <w:tcW w:w="2181"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Conséquence</w:t>
            </w:r>
          </w:p>
        </w:tc>
        <w:tc>
          <w:tcPr>
            <w:tcW w:w="2016"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Traitement prévu</w:t>
            </w:r>
          </w:p>
        </w:tc>
      </w:tr>
      <w:tr>
        <w:trPr/>
        <w:tc>
          <w:tcPr>
            <w:tcW w:w="18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Mise en veille de l'offre gratuite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La première visite après 15 min d'inactivité prend ~30 s</w:t>
            </w:r>
          </w:p>
        </w:tc>
        <w:tc>
          <w:tcPr>
            <w:tcW w:w="20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Offre payante ou tâche de réveil planifiée</w:t>
            </w:r>
          </w:p>
        </w:tc>
      </w:tr>
      <w:tr>
        <w:trPr/>
        <w:tc>
          <w:tcPr>
            <w:tcW w:w="18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Quota du palier gratuit de l'IA</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Sous forte affluence, l'application sert la banque locale</w:t>
            </w:r>
          </w:p>
        </w:tc>
        <w:tc>
          <w:tcPr>
            <w:tcW w:w="20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Activation de la facturation à l'usage</w:t>
            </w:r>
          </w:p>
        </w:tc>
      </w:tr>
      <w:tr>
        <w:trPr/>
        <w:tc>
          <w:tcPr>
            <w:tcW w:w="18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Un seul niveau</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BEPC uniquement, les six matières écrites</w:t>
            </w:r>
          </w:p>
        </w:tc>
        <w:tc>
          <w:tcPr>
            <w:tcW w:w="20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 modèle porte déjà le niveau : ajouter le BAC est un seed</w:t>
            </w:r>
          </w:p>
        </w:tc>
      </w:tr>
      <w:tr>
        <w:trPr/>
        <w:tc>
          <w:tcPr>
            <w:tcW w:w="18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Thèmes non validés officiellement</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Découpage établi d'après le programme, à confirmer</w:t>
            </w:r>
          </w:p>
        </w:tc>
        <w:tc>
          <w:tcPr>
            <w:tcW w:w="20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Relecture par des enseignants du secondaire</w:t>
            </w:r>
          </w:p>
        </w:tc>
      </w:tr>
      <w:tr>
        <w:trPr/>
        <w:tc>
          <w:tcPr>
            <w:tcW w:w="18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Pas de migrations versionnées</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Suffisant sans données de production à préserver</w:t>
            </w:r>
          </w:p>
        </w:tc>
        <w:tc>
          <w:tcPr>
            <w:tcW w:w="20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Migrations avant la mise en service réelle</w:t>
            </w:r>
          </w:p>
        </w:tc>
      </w:tr>
      <w:tr>
        <w:trPr/>
        <w:tc>
          <w:tcPr>
            <w:tcW w:w="186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Contenu non validé par des enseignants</w:t>
            </w:r>
          </w:p>
        </w:tc>
        <w:tc>
          <w:tcPr>
            <w:tcW w:w="218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La pertinence repose sur le modèle et sur la banque</w:t>
            </w:r>
          </w:p>
        </w:tc>
        <w:tc>
          <w:tcPr>
            <w:tcW w:w="201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Panel de professeurs de collège</w:t>
            </w:r>
          </w:p>
        </w:tc>
      </w:tr>
    </w:tbl>
    <w:p>
      <w:pPr>
        <w:pStyle w:val="BodyText"/>
        <w:bidi w:val="0"/>
        <w:ind w:hanging="0" w:left="0" w:right="0"/>
        <w:jc w:val="both"/>
        <w:rPr>
          <w:b/>
        </w:rPr>
      </w:pPr>
      <w:r>
        <w:rPr>
          <w:b/>
        </w:rPr>
        <w:t>Suite envisagée</w:t>
      </w:r>
    </w:p>
    <w:p>
      <w:pPr>
        <w:pStyle w:val="BodyText"/>
        <w:numPr>
          <w:ilvl w:val="0"/>
          <w:numId w:val="13"/>
        </w:numPr>
        <w:tabs>
          <w:tab w:val="clear" w:pos="1134"/>
          <w:tab w:val="left" w:pos="709" w:leader="none"/>
        </w:tabs>
        <w:bidi w:val="0"/>
        <w:spacing w:before="0" w:after="0"/>
        <w:ind w:hanging="283" w:left="709"/>
        <w:jc w:val="left"/>
        <w:rPr/>
      </w:pPr>
      <w:r>
        <w:rPr/>
        <w:t xml:space="preserve">Validation des exercices générés par un panel d'enseignants béninois. </w:t>
      </w:r>
    </w:p>
    <w:p>
      <w:pPr>
        <w:pStyle w:val="BodyText"/>
        <w:numPr>
          <w:ilvl w:val="0"/>
          <w:numId w:val="13"/>
        </w:numPr>
        <w:tabs>
          <w:tab w:val="clear" w:pos="1134"/>
          <w:tab w:val="left" w:pos="709" w:leader="none"/>
        </w:tabs>
        <w:bidi w:val="0"/>
        <w:spacing w:before="0" w:after="0"/>
        <w:ind w:hanging="283" w:left="709"/>
        <w:jc w:val="left"/>
        <w:rPr/>
      </w:pPr>
      <w:r>
        <w:rPr/>
        <w:t xml:space="preserve">Extension au BAC — l'architecture le prévoit déjà. </w:t>
      </w:r>
    </w:p>
    <w:p>
      <w:pPr>
        <w:pStyle w:val="BodyText"/>
        <w:numPr>
          <w:ilvl w:val="0"/>
          <w:numId w:val="13"/>
        </w:numPr>
        <w:tabs>
          <w:tab w:val="clear" w:pos="1134"/>
          <w:tab w:val="left" w:pos="709" w:leader="none"/>
        </w:tabs>
        <w:bidi w:val="0"/>
        <w:spacing w:before="0" w:after="0"/>
        <w:ind w:hanging="283" w:left="709"/>
        <w:jc w:val="left"/>
        <w:rPr/>
      </w:pPr>
      <w:r>
        <w:rPr/>
        <w:t xml:space="preserve">Mode « examen blanc » chronométré sur sujets d'annales. </w:t>
      </w:r>
    </w:p>
    <w:p>
      <w:pPr>
        <w:pStyle w:val="BodyText"/>
        <w:numPr>
          <w:ilvl w:val="0"/>
          <w:numId w:val="13"/>
        </w:numPr>
        <w:tabs>
          <w:tab w:val="clear" w:pos="1134"/>
          <w:tab w:val="left" w:pos="709" w:leader="none"/>
        </w:tabs>
        <w:bidi w:val="0"/>
        <w:spacing w:before="0" w:after="0"/>
        <w:ind w:hanging="283" w:left="709"/>
        <w:jc w:val="left"/>
        <w:rPr/>
      </w:pPr>
      <w:r>
        <w:rPr/>
        <w:t xml:space="preserve">Tableau de bord de classe pour les enseignants, via l'API existante. </w:t>
      </w:r>
    </w:p>
    <w:p>
      <w:pPr>
        <w:pStyle w:val="BodyText"/>
        <w:numPr>
          <w:ilvl w:val="0"/>
          <w:numId w:val="13"/>
        </w:numPr>
        <w:tabs>
          <w:tab w:val="clear" w:pos="1134"/>
          <w:tab w:val="left" w:pos="709" w:leader="none"/>
        </w:tabs>
        <w:bidi w:val="0"/>
        <w:ind w:hanging="283" w:left="709"/>
        <w:jc w:val="left"/>
        <w:rPr/>
      </w:pPr>
      <w:r>
        <w:rPr/>
        <w:t xml:space="preserve">Explications en langues locales, pour les élèves qui butent d'abord sur le français. </w:t>
      </w:r>
    </w:p>
    <w:p>
      <w:pPr>
        <w:pStyle w:val="Heading2"/>
        <w:bidi w:val="0"/>
        <w:ind w:hanging="0" w:left="0" w:right="0"/>
        <w:jc w:val="left"/>
        <w:rPr>
          <w:rFonts w:ascii="Georgia;serif" w:hAnsi="Georgia;serif"/>
          <w:color w:val="0A453C"/>
          <w:sz w:val="30"/>
        </w:rPr>
      </w:pPr>
      <w:r>
        <w:rPr>
          <w:rFonts w:ascii="Georgia;serif" w:hAnsi="Georgia;serif"/>
          <w:color w:val="0A453C"/>
          <w:sz w:val="30"/>
        </w:rPr>
        <w:t>Annexes</w:t>
      </w:r>
    </w:p>
    <w:p>
      <w:pPr>
        <w:pStyle w:val="Heading3"/>
        <w:bidi w:val="0"/>
        <w:ind w:hanging="0" w:left="0" w:right="0"/>
        <w:jc w:val="left"/>
        <w:rPr>
          <w:rFonts w:ascii="Georgia;serif" w:hAnsi="Georgia;serif"/>
          <w:color w:val="20302B"/>
          <w:sz w:val="24"/>
        </w:rPr>
      </w:pPr>
      <w:r>
        <w:rPr>
          <w:rFonts w:ascii="Georgia;serif" w:hAnsi="Georgia;serif"/>
          <w:color w:val="20302B"/>
          <w:sz w:val="24"/>
        </w:rPr>
        <w:t>Déploiement et vérifications</w:t>
      </w:r>
    </w:p>
    <w:p>
      <w:pPr>
        <w:pStyle w:val="BodyText"/>
        <w:bidi w:val="0"/>
        <w:ind w:hanging="0" w:left="0" w:right="0"/>
        <w:jc w:val="both"/>
        <w:rPr>
          <w:b/>
        </w:rPr>
      </w:pPr>
      <w:r>
        <w:rPr>
          <w:b/>
        </w:rPr>
        <w:t>Infrastructure en production</w:t>
      </w:r>
    </w:p>
    <w:tbl>
      <w:tblPr>
        <w:tblW w:w="6062" w:type="dxa"/>
        <w:jc w:val="left"/>
        <w:tblInd w:w="-7" w:type="dxa"/>
        <w:tblLayout w:type="fixed"/>
        <w:tblCellMar>
          <w:top w:w="90" w:type="dxa"/>
          <w:left w:w="90" w:type="dxa"/>
          <w:bottom w:w="90" w:type="dxa"/>
          <w:right w:w="90" w:type="dxa"/>
        </w:tblCellMar>
      </w:tblPr>
      <w:tblGrid>
        <w:gridCol w:w="1542"/>
        <w:gridCol w:w="1798"/>
        <w:gridCol w:w="2722"/>
      </w:tblGrid>
      <w:tr>
        <w:trPr/>
        <w:tc>
          <w:tcPr>
            <w:tcW w:w="1542"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Composant</w:t>
            </w:r>
          </w:p>
        </w:tc>
        <w:tc>
          <w:tcPr>
            <w:tcW w:w="1798"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Hébergement</w:t>
            </w:r>
          </w:p>
        </w:tc>
        <w:tc>
          <w:tcPr>
            <w:tcW w:w="2722"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Adresse</w:t>
            </w:r>
          </w:p>
        </w:tc>
      </w:tr>
      <w:tr>
        <w:trPr/>
        <w:tc>
          <w:tcPr>
            <w:tcW w:w="154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Application web</w:t>
            </w:r>
          </w:p>
        </w:tc>
        <w:tc>
          <w:tcPr>
            <w:tcW w:w="17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Vercel</w:t>
            </w:r>
          </w:p>
        </w:tc>
        <w:tc>
          <w:tcPr>
            <w:tcW w:w="27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repetia.vercel.app</w:t>
            </w:r>
          </w:p>
        </w:tc>
      </w:tr>
      <w:tr>
        <w:trPr/>
        <w:tc>
          <w:tcPr>
            <w:tcW w:w="154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API</w:t>
            </w:r>
          </w:p>
        </w:tc>
        <w:tc>
          <w:tcPr>
            <w:tcW w:w="17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Render — région Francfort</w:t>
            </w:r>
          </w:p>
        </w:tc>
        <w:tc>
          <w:tcPr>
            <w:tcW w:w="27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repetia-api.onrender.com</w:t>
            </w:r>
          </w:p>
        </w:tc>
      </w:tr>
      <w:tr>
        <w:trPr/>
        <w:tc>
          <w:tcPr>
            <w:tcW w:w="154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Base de données</w:t>
            </w:r>
          </w:p>
        </w:tc>
        <w:tc>
          <w:tcPr>
            <w:tcW w:w="17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PostgreSQL 16 managé</w:t>
            </w:r>
          </w:p>
        </w:tc>
        <w:tc>
          <w:tcPr>
            <w:tcW w:w="27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interne, non exposée</w:t>
            </w:r>
          </w:p>
        </w:tc>
      </w:tr>
      <w:tr>
        <w:trPr/>
        <w:tc>
          <w:tcPr>
            <w:tcW w:w="1542"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Application Android</w:t>
            </w:r>
          </w:p>
        </w:tc>
        <w:tc>
          <w:tcPr>
            <w:tcW w:w="17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EAS Build</w:t>
            </w:r>
          </w:p>
        </w:tc>
        <w:tc>
          <w:tcPr>
            <w:tcW w:w="272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APK / AAB</w:t>
            </w:r>
          </w:p>
        </w:tc>
      </w:tr>
    </w:tbl>
    <w:p>
      <w:pPr>
        <w:pStyle w:val="BodyText"/>
        <w:bidi w:val="0"/>
        <w:ind w:hanging="0" w:left="0" w:right="0"/>
        <w:jc w:val="both"/>
        <w:rPr/>
      </w:pPr>
      <w:r>
        <w:rPr/>
        <w:t>Francfort est la région la plus proche de l'Afrique de l'Ouest chez cet hébergeur. Le schéma est appliqué au build ; le catalogue s'installe au démarrage du serveur.</w:t>
      </w:r>
    </w:p>
    <w:p>
      <w:pPr>
        <w:pStyle w:val="BodyText"/>
        <w:bidi w:val="0"/>
        <w:ind w:hanging="0" w:left="0" w:right="0"/>
        <w:jc w:val="both"/>
        <w:rPr>
          <w:b/>
        </w:rPr>
      </w:pPr>
      <w:r>
        <w:rPr>
          <w:b/>
        </w:rPr>
        <w:t>Score de maîtrise — formule</w:t>
      </w:r>
    </w:p>
    <w:p>
      <w:pPr>
        <w:pStyle w:val="BodyText"/>
        <w:bidi w:val="0"/>
        <w:ind w:hanging="0" w:left="0" w:right="0"/>
        <w:jc w:val="both"/>
        <w:rPr/>
      </w:pPr>
      <w:r>
        <w:rPr/>
        <w:t>Après chaque tentative, le score du thème suit une moyenne mobile exponentielle (α = 0,3) :</w:t>
      </w:r>
    </w:p>
    <w:p>
      <w:pPr>
        <w:pStyle w:val="BodyText"/>
        <w:bidi w:val="0"/>
        <w:ind w:hanging="0" w:left="0" w:right="0"/>
        <w:jc w:val="both"/>
        <w:rPr/>
      </w:pPr>
      <w:r>
        <w:rPr/>
        <w:t>nouveau_score = ancien_score × 0,7 + (100 si juste, sinon 0) × 0,3</w:t>
      </w:r>
    </w:p>
    <w:p>
      <w:pPr>
        <w:pStyle w:val="BodyText"/>
        <w:bidi w:val="0"/>
        <w:ind w:hanging="0" w:left="0" w:right="0"/>
        <w:jc w:val="both"/>
        <w:rPr/>
      </w:pPr>
      <w:r>
        <w:rPr/>
        <w:t>Les tentatives récentes pèsent donc davantage — un élève qui progresse voit son score remonter au lieu d'être puni indéfiniment par ses débuts.</w:t>
      </w:r>
    </w:p>
    <w:p>
      <w:pPr>
        <w:pStyle w:val="BodyText"/>
        <w:bidi w:val="0"/>
        <w:ind w:hanging="0" w:left="0" w:right="0"/>
        <w:jc w:val="both"/>
        <w:rPr>
          <w:b/>
        </w:rPr>
      </w:pPr>
      <w:r>
        <w:rPr>
          <w:b/>
        </w:rPr>
        <w:t>Vérifier soi-même</w:t>
      </w:r>
    </w:p>
    <w:tbl>
      <w:tblPr>
        <w:tblW w:w="6062" w:type="dxa"/>
        <w:jc w:val="left"/>
        <w:tblInd w:w="-7" w:type="dxa"/>
        <w:tblLayout w:type="fixed"/>
        <w:tblCellMar>
          <w:top w:w="90" w:type="dxa"/>
          <w:left w:w="90" w:type="dxa"/>
          <w:bottom w:w="90" w:type="dxa"/>
          <w:right w:w="90" w:type="dxa"/>
        </w:tblCellMar>
      </w:tblPr>
      <w:tblGrid>
        <w:gridCol w:w="1772"/>
        <w:gridCol w:w="4290"/>
      </w:tblGrid>
      <w:tr>
        <w:trPr/>
        <w:tc>
          <w:tcPr>
            <w:tcW w:w="1772" w:type="dxa"/>
            <w:tcBorders>
              <w:top w:val="single" w:sz="6" w:space="0" w:color="808080"/>
              <w:left w:val="single" w:sz="6"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Vérification</w:t>
            </w:r>
          </w:p>
        </w:tc>
        <w:tc>
          <w:tcPr>
            <w:tcW w:w="4290" w:type="dxa"/>
            <w:tcBorders>
              <w:top w:val="single" w:sz="6" w:space="0" w:color="808080"/>
              <w:left w:val="single" w:sz="2" w:space="0" w:color="808080"/>
              <w:bottom w:val="single" w:sz="2" w:space="0" w:color="808080"/>
              <w:right w:val="single" w:sz="6" w:space="0" w:color="808080"/>
            </w:tcBorders>
            <w:shd w:fill="F6E9C7" w:val="clear"/>
            <w:vAlign w:val="center"/>
          </w:tcPr>
          <w:p>
            <w:pPr>
              <w:pStyle w:val="TableContents"/>
              <w:bidi w:val="0"/>
              <w:spacing w:before="0" w:after="283"/>
              <w:jc w:val="left"/>
              <w:rPr>
                <w:b/>
              </w:rPr>
            </w:pPr>
            <w:r>
              <w:rPr>
                <w:b/>
              </w:rPr>
              <w:t>Commande</w:t>
            </w:r>
          </w:p>
        </w:tc>
      </w:tr>
      <w:tr>
        <w:trPr/>
        <w:tc>
          <w:tcPr>
            <w:tcW w:w="177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Santé du service</w:t>
            </w:r>
          </w:p>
        </w:tc>
        <w:tc>
          <w:tcPr>
            <w:tcW w:w="4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curl https://repetia-api.onrender.com/health</w:t>
            </w:r>
          </w:p>
        </w:tc>
      </w:tr>
      <w:tr>
        <w:trPr/>
        <w:tc>
          <w:tcPr>
            <w:tcW w:w="177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Catalogue</w:t>
            </w:r>
          </w:p>
        </w:tc>
        <w:tc>
          <w:tcPr>
            <w:tcW w:w="4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curl "https://repetia-api.onrender.com/api/matieres?niveau=BEPC"</w:t>
            </w:r>
          </w:p>
        </w:tc>
      </w:tr>
      <w:tr>
        <w:trPr/>
        <w:tc>
          <w:tcPr>
            <w:tcW w:w="177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Aucune clé côté client</w:t>
            </w:r>
          </w:p>
        </w:tc>
        <w:tc>
          <w:tcPr>
            <w:tcW w:w="4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grep -r "LLM_API_KEY" frontend/src mobile/src</w:t>
            </w:r>
          </w:p>
        </w:tc>
      </w:tr>
      <w:tr>
        <w:trPr/>
        <w:tc>
          <w:tcPr>
            <w:tcW w:w="1772"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Suite de tests</w:t>
            </w:r>
          </w:p>
        </w:tc>
        <w:tc>
          <w:tcPr>
            <w:tcW w:w="429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npm install &amp;&amp; npm test</w:t>
            </w:r>
          </w:p>
        </w:tc>
      </w:tr>
    </w:tbl>
    <w:p>
      <w:pPr>
        <w:pStyle w:val="BodyText"/>
        <w:bidi w:val="0"/>
        <w:ind w:hanging="0" w:left="0" w:right="0"/>
        <w:jc w:val="both"/>
        <w:rPr/>
      </w:pPr>
      <w:r>
        <w:rPr>
          <w:i/>
        </w:rPr>
        <w:t>« Notre problème, ma solution. »</w:t>
      </w:r>
      <w:r>
        <w:rPr/>
        <w:t xml:space="preserve"> Le code, les tests et le présent dossier sont publics : https://github.com/Nounagnon02/repetia</w:t>
      </w:r>
    </w:p>
    <w:p>
      <w:pPr>
        <w:pStyle w:val="BodyText"/>
        <w:pBdr>
          <w:top w:val="single" w:sz="2" w:space="6" w:color="E7DDC7"/>
        </w:pBdr>
        <w:bidi w:val="0"/>
        <w:spacing w:before="0" w:after="283"/>
        <w:ind w:hanging="0" w:left="0" w:right="0"/>
        <w:jc w:val="left"/>
        <w:rPr>
          <w:color w:val="5C6B66"/>
          <w:sz w:val="18"/>
        </w:rPr>
      </w:pPr>
      <w:r>
        <w:rPr>
          <w:color w:val="5C6B66"/>
          <w:sz w:val="18"/>
        </w:rPr>
        <w:t>RépétIA — Note technique — Afri'Tech Challenge 2026 — https://repetia.vercel.app</w:t>
      </w:r>
    </w:p>
    <w:sectPr>
      <w:type w:val="nextPage"/>
      <w:pgSz w:w="12240" w:h="15840"/>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Georgia">
    <w:altName w:val="serif"/>
    <w:charset w:val="01"/>
    <w:family w:val="auto"/>
    <w:pitch w:val="default"/>
  </w:font>
  <w:font w:name="Consolas">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Arial;sans-serif" w:hAnsi="Calibri;Arial;sans-serif" w:eastAsia="Calibri;Arial;sans-serif" w:cs="Calibri;Arial;sans-serif"/>
      <w:color w:val="20302B"/>
      <w:sz w:val="22"/>
      <w:szCs w:val="22"/>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petia.vercel.app/" TargetMode="External"/><Relationship Id="rId3" Type="http://schemas.openxmlformats.org/officeDocument/2006/relationships/hyperlink" Target="https://repetia-api.onrender.com/health" TargetMode="External"/><Relationship Id="rId4" Type="http://schemas.openxmlformats.org/officeDocument/2006/relationships/hyperlink" Target="https://github.com/Nounagnon02/repetia" TargetMode="External"/><Relationship Id="rId5" Type="http://schemas.openxmlformats.org/officeDocument/2006/relationships/hyperlink" Target="https://github.com/Nounagnon02/repetia"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RépétIA — Note technique</dc:title>
</cp:coreProperties>
</file>

<file path=docProps/custom.xml><?xml version="1.0" encoding="utf-8"?>
<Properties xmlns="http://schemas.openxmlformats.org/officeDocument/2006/custom-properties" xmlns:vt="http://schemas.openxmlformats.org/officeDocument/2006/docPropsVTypes"/>
</file>