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60" w:after="60"/>
      </w:pPr>
      <w:r>
        <w:rPr>
          <w:rFonts w:ascii="Arial" w:hAnsi="Arial"/>
          <w:b/>
          <w:color w:val="2E5D7B"/>
          <w:sz w:val="20"/>
        </w:rPr>
        <w:t>VALIDATION SUPPLEMENT</w:t>
      </w:r>
    </w:p>
    <w:p>
      <w:pPr>
        <w:widowControl/>
        <w:spacing w:after="80"/>
      </w:pPr>
      <w:r>
        <w:rPr>
          <w:rFonts w:ascii="Arial" w:hAnsi="Arial"/>
          <w:b/>
          <w:color w:val="20323F"/>
          <w:sz w:val="46"/>
        </w:rPr>
        <w:t>Intra-Rater Repeat Coding Audit</w:t>
      </w:r>
    </w:p>
    <w:p>
      <w:pPr>
        <w:widowControl/>
        <w:spacing w:after="200"/>
      </w:pPr>
      <w:r>
        <w:rPr>
          <w:rFonts w:ascii="Arial" w:hAnsi="Arial"/>
          <w:color w:val="5F6B73"/>
          <w:sz w:val="24"/>
        </w:rPr>
        <w:t>Instrument drift, agreement estimates, and implications for the human reference labels</w:t>
      </w:r>
    </w:p>
    <w:p>
      <w:pPr>
        <w:pStyle w:val="Keyfinding"/>
        <w:shd w:fill="EEF3F6"/>
        <w:widowControl/>
        <w:pBdr>
          <w:left w:val="single" w:sz="16" w:space="8" w:color="2E5D7B"/>
        </w:pBdr>
      </w:pPr>
      <w:r>
        <w:rPr>
          <w:b/>
        </w:rPr>
        <w:t xml:space="preserve">Bottom line. </w:t>
      </w:r>
      <w:r>
        <w:t>The repeat-coding exercise did not hold the coding instrument constant. It is therefore evidence of coding drift, not confirmation that the human labels are acceptably reliable. A codebook-aligned repeat assessment is required before the first-round labels can be treated as a stable validation reference.</w:t>
      </w:r>
    </w:p>
    <w:p>
      <w:pPr>
        <w:pStyle w:val="Heading1"/>
        <w:widowControl/>
      </w:pPr>
      <w:r>
        <w:t>1. Purpose and scope</w:t>
      </w:r>
    </w:p>
    <w:p>
      <w:pPr>
        <w:widowControl/>
      </w:pPr>
      <w:r>
        <w:t>This supplement audits a repeat-coding exercise conducted by the same researcher on a subset of a 160-response hold-out dataset. Forty responses were selected for repeat coding; one uncodeable record was excluded, leaving 39 matched pairs. The aim is to describe agreement, identify procedural failures, and state what these results can and cannot support.</w:t>
      </w:r>
    </w:p>
    <w:p>
      <w:pPr>
        <w:widowControl/>
      </w:pPr>
      <w:r>
        <w:t>The exercise concerns consistency of human coding. It does not validate the automated measures used for RQ1-RQ3, does not estimate inter-rater reliability, and does not establish a performance ceiling for an automated classifier.</w:t>
      </w:r>
    </w:p>
    <w:p>
      <w:pPr>
        <w:pStyle w:val="Heading1"/>
        <w:widowControl/>
      </w:pPr>
      <w:r>
        <w:t>2. Audit of the repeat-coding procedure</w:t>
      </w:r>
    </w:p>
    <w:p>
      <w:pPr>
        <w:pStyle w:val="Heading2"/>
        <w:widowControl/>
      </w:pPr>
      <w:r>
        <w:t>2.1 Non-equivalent actionability scales</w:t>
      </w:r>
    </w:p>
    <w:p>
      <w:pPr>
        <w:widowControl/>
      </w:pPr>
      <w:r>
        <w:t>Overall actionability was scored on a 0-2 scale in Round 1 and a 0-4 scale in Round 2. Because the response categories and thresholds were not invariant, a direct ordinal kappa would not estimate repeat application of the same instrument and is not reported.</w:t>
      </w:r>
    </w:p>
    <w:p>
      <w:pPr>
        <w:widowControl/>
      </w:pPr>
      <w:r>
        <w:t>A post hoc binary diagnostic was calculated using Round 1 &gt;= 2 and Round 2 &gt;= 3. It produced 84.6% observed agreement and kappa = 0.421 (n = 39). This result is descriptive only: it combines genuine coder inconsistency with the consequences of changing the scale, and it must not be presented as a valid ordinal intra-rater reliability estimate.</w:t>
      </w:r>
    </w:p>
    <w:p>
      <w:pPr>
        <w:pStyle w:val="Heading2"/>
        <w:widowControl/>
      </w:pPr>
      <w:r>
        <w:t>2.2 Binary-code definition drift</w:t>
      </w:r>
    </w:p>
    <w:p>
      <w:pPr>
        <w:widowControl/>
      </w:pPr>
      <w:r>
        <w:t>The marginal positive rates shifted markedly between rounds for several binary variables. These shifts are compatible with a more liberal interpretation in Round 2, but the numerical outputs alone cannot establish why each disagreement occurred. Explanations such as counting general supportive language as a coping step, or treating any telephone number as a crisis action, require a documented case-level audit against a frozen codebook.</w:t>
      </w:r>
    </w:p>
    <w:p>
      <w:pPr>
        <w:pStyle w:val="Heading2"/>
        <w:widowControl/>
      </w:pPr>
      <w:r>
        <w:t>2.3 Reference status</w:t>
      </w:r>
    </w:p>
    <w:p>
      <w:pPr>
        <w:widowControl/>
      </w:pPr>
      <w:r>
        <w:t>Neither coding round is intrinsically a gold standard. Accordingly, discordant pairs are described below as Round-2 positive shifts (R1 = 0, R2 = 1) and Round-2 negative shifts (R1 = 1, R2 = 0), not as false positives or false negatives. Round 1 may be retained provisionally for existing analyses because it was the pre-existing label set, but its correctness cannot be inferred merely from being stricter.</w:t>
      </w:r>
    </w:p>
    <w:p>
      <w:pPr>
        <w:pStyle w:val="Heading1"/>
        <w:widowControl/>
      </w:pPr>
      <w:r>
        <w:t>3. Results</w:t>
      </w:r>
    </w:p>
    <w:p>
      <w:pPr>
        <w:pStyle w:val="Caption"/>
        <w:widowControl/>
      </w:pPr>
      <w:r>
        <w:t>Table 1. Agreement and marginal distributions for binary codes (n = 39 matched pairs)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7D0D6"/>
          <w:left w:val="single" w:sz="4" w:color="C7D0D6"/>
          <w:bottom w:val="single" w:sz="4" w:color="C7D0D6"/>
          <w:right w:val="single" w:sz="4" w:color="C7D0D6"/>
          <w:insideH w:val="single" w:sz="4" w:color="C7D0D6"/>
          <w:insideV w:val="single" w:sz="4" w:color="C7D0D6"/>
        </w:tblBorders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>
        <w:trPr>
          <w:tblHeader w:val="true"/>
        </w:trPr>
        <w:tc>
          <w:tcPr>
            <w:tcW w:type="dxa" w:w="2232"/>
            <w:shd w:fill="2E5D7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Measure</w:t>
            </w:r>
          </w:p>
        </w:tc>
        <w:tc>
          <w:tcPr>
            <w:tcW w:type="dxa" w:w="1008"/>
            <w:shd w:fill="2E5D7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Cohen's kappa</w:t>
            </w:r>
          </w:p>
        </w:tc>
        <w:tc>
          <w:tcPr>
            <w:tcW w:type="dxa" w:w="1224"/>
            <w:shd w:fill="2E5D7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Observed agreement</w:t>
            </w:r>
          </w:p>
        </w:tc>
        <w:tc>
          <w:tcPr>
            <w:tcW w:type="dxa" w:w="1080"/>
            <w:shd w:fill="2E5D7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R1 positive</w:t>
            </w:r>
          </w:p>
        </w:tc>
        <w:tc>
          <w:tcPr>
            <w:tcW w:type="dxa" w:w="1080"/>
            <w:shd w:fill="2E5D7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R2 positive</w:t>
            </w:r>
          </w:p>
        </w:tc>
        <w:tc>
          <w:tcPr>
            <w:tcW w:type="dxa" w:w="1037"/>
            <w:shd w:fill="2E5D7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0 to 1 shifts</w:t>
            </w:r>
          </w:p>
        </w:tc>
        <w:tc>
          <w:tcPr>
            <w:tcW w:type="dxa" w:w="1037"/>
            <w:shd w:fill="2E5D7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1 to 0 shifts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5"/>
              </w:rPr>
              <w:t>coping_step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0.176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69.2%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64.1%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94.9%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12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5"/>
              </w:rPr>
              <w:t>professional_help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0.530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92.3%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89.7%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92.3%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5"/>
              </w:rPr>
              <w:t>social_support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0.545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84.6%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71.8%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87.2%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5"/>
              </w:rPr>
              <w:t>crisis_action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0.421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69.2%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25.6%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56.4%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12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5"/>
              </w:rPr>
              <w:t>follow_up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0.000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51.3%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0.0%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48.7%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19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5"/>
              </w:rPr>
              <w:t>surface_localisation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0.000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89.7%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89.7%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100.0%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5"/>
              </w:rPr>
              <w:t>verified_localisation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0.552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76.9%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46.2%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69.2%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9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</w:tbl>
    <w:p>
      <w:pPr>
        <w:widowControl/>
        <w:spacing w:after="0"/>
      </w:pPr>
    </w:p>
    <w:p>
      <w:pPr>
        <w:pStyle w:val="Caption"/>
        <w:widowControl/>
      </w:pPr>
      <w:r>
        <w:t>Note. Unweighted Cohen's kappa is reported for binary variables. Kappa depends on the marginal distributions and may be low when a category is nearly constant; observed agreement and both rounds' positive rates are therefore shown alongside it. Shift counts describe direction only and do not assign correctness.</w:t>
      </w:r>
    </w:p>
    <w:p>
      <w:pPr>
        <w:pStyle w:val="Heading2"/>
        <w:widowControl/>
      </w:pPr>
      <w:r>
        <w:t>3.1 Interpretation of the observed patterns</w:t>
      </w:r>
    </w:p>
    <w:p>
      <w:pPr>
        <w:pStyle w:val="ListBullet"/>
        <w:widowControl/>
        <w:spacing w:after="60"/>
        <w:ind w:left="403" w:hanging="230"/>
      </w:pPr>
      <w:r>
        <w:t>coping_step shows weak consistency and a large positive-rate shift (64.1% to 94.9%). This code cannot presently support a claim of stable single-coder application.</w:t>
      </w:r>
    </w:p>
    <w:p>
      <w:pPr>
        <w:pStyle w:val="ListBullet"/>
        <w:widowControl/>
        <w:spacing w:after="60"/>
        <w:ind w:left="403" w:hanging="230"/>
      </w:pPr>
      <w:r>
        <w:t>professional_help and social_support have high observed agreement, but their kappa estimates remain moderate and specificity-like quantities are unstable because negatives are uncommon.</w:t>
      </w:r>
    </w:p>
    <w:p>
      <w:pPr>
        <w:pStyle w:val="ListBullet"/>
        <w:widowControl/>
        <w:spacing w:after="60"/>
        <w:ind w:left="403" w:hanging="230"/>
      </w:pPr>
      <w:r>
        <w:t>crisis_action has only 69.2% agreement, with 12 Round-2 positive shifts. Given its relevance to crisis-contact analyses, these cases require codebook-based review before substantive interpretation.</w:t>
      </w:r>
    </w:p>
    <w:p>
      <w:pPr>
        <w:pStyle w:val="ListBullet"/>
        <w:widowControl/>
        <w:spacing w:after="60"/>
        <w:ind w:left="403" w:hanging="230"/>
      </w:pPr>
      <w:r>
        <w:t>follow_up demonstrates severe instrument drift: Round 1 contains no positive cases, whereas Round 2 contains 19. Kappa is uninformative as a reliability summary when one round is constant; the code should not be used in reliability-based claims in its current form.</w:t>
      </w:r>
    </w:p>
    <w:p>
      <w:pPr>
        <w:pStyle w:val="ListBullet"/>
        <w:widowControl/>
        <w:spacing w:after="60"/>
        <w:ind w:left="403" w:hanging="230"/>
      </w:pPr>
      <w:r>
        <w:t>surface_localisation has 89.7% observed agreement but kappa = 0 because Round 2 is uniformly positive. The high agreement is driven by prevalence and does not demonstrate discrimination between present and absent localisation.</w:t>
      </w:r>
    </w:p>
    <w:p>
      <w:pPr>
        <w:pStyle w:val="ListBullet"/>
        <w:widowControl/>
        <w:spacing w:after="60"/>
        <w:ind w:left="403" w:hanging="230"/>
      </w:pPr>
      <w:r>
        <w:t>verified_localisation has the highest kappa (0.552) but also nine Round-2 positive shifts. This is not sufficient to certify the verification audit as reliable without case-level evidence and a stable verification protocol.</w:t>
      </w:r>
    </w:p>
    <w:p>
      <w:pPr>
        <w:pStyle w:val="Heading1"/>
        <w:widowControl/>
      </w:pPr>
      <w:r>
        <w:t>4. Statistical reporting corrections</w:t>
      </w:r>
    </w:p>
    <w:p>
      <w:pPr>
        <w:widowControl/>
        <w:numPr>
          <w:ilvl w:val="0"/>
          <w:numId w:val="10"/>
        </w:numPr>
        <w:spacing w:after="80"/>
        <w:ind w:left="461" w:hanging="259"/>
      </w:pPr>
      <w:r>
        <w:t>Do not interpret kappa = 0 as proof that coding is statistically indistinguishable from chance. Kappa is a chance-corrected descriptive agreement coefficient, and here its value is strongly affected by constant or near-constant marginals.</w:t>
      </w:r>
    </w:p>
    <w:p>
      <w:pPr>
        <w:widowControl/>
        <w:numPr>
          <w:ilvl w:val="0"/>
          <w:numId w:val="10"/>
        </w:numPr>
        <w:spacing w:after="80"/>
        <w:ind w:left="461" w:hanging="259"/>
      </w:pPr>
      <w:r>
        <w:t>Do not use sensitivity, specificity, or F1 as primary intra-rater measures unless one round has been independently justified as the reference. Those measures are asymmetric; swapping the designated reference can change their interpretation.</w:t>
      </w:r>
    </w:p>
    <w:p>
      <w:pPr>
        <w:widowControl/>
        <w:numPr>
          <w:ilvl w:val="0"/>
          <w:numId w:val="10"/>
        </w:numPr>
        <w:spacing w:after="80"/>
        <w:ind w:left="461" w:hanging="259"/>
      </w:pPr>
      <w:r>
        <w:t>Do not infer a mechanism for disagreement from a confusion matrix. Claims about rule reinterpretation must be supported by a logged, case-level discrepancy review conducted against the codebook.</w:t>
      </w:r>
    </w:p>
    <w:p>
      <w:pPr>
        <w:widowControl/>
        <w:numPr>
          <w:ilvl w:val="0"/>
          <w:numId w:val="10"/>
        </w:numPr>
        <w:spacing w:after="80"/>
        <w:ind w:left="461" w:hanging="259"/>
      </w:pPr>
      <w:r>
        <w:t>Do not use conventional verbal kappa bands as an acceptability test. If reported, they are descriptive conventions only; acceptability must be tied to a threshold specified before examining the results and justified for the measurement purpose.</w:t>
      </w:r>
    </w:p>
    <w:p>
      <w:pPr>
        <w:widowControl/>
        <w:numPr>
          <w:ilvl w:val="0"/>
          <w:numId w:val="10"/>
        </w:numPr>
        <w:spacing w:after="80"/>
        <w:ind w:left="461" w:hanging="259"/>
      </w:pPr>
      <w:r>
        <w:t>Do not claim that intra-rater agreement sets the maximum achievable performance of an automated coder. Human repeatability and model-to-human agreement estimate different relationships and are not bounded in that way in a finite sample.</w:t>
      </w:r>
    </w:p>
    <w:p>
      <w:pPr>
        <w:pStyle w:val="Heading1"/>
        <w:widowControl/>
      </w:pPr>
      <w:r>
        <w:t>5. Consistency with the dissertation methodology</w:t>
      </w:r>
    </w:p>
    <w:p>
      <w:pPr>
        <w:pStyle w:val="Keyfinding"/>
        <w:shd w:fill="F3EDED"/>
        <w:widowControl/>
        <w:pBdr>
          <w:left w:val="single" w:sz="16" w:space="8" w:color="2E5D7B"/>
        </w:pBdr>
      </w:pPr>
      <w:r>
        <w:rPr>
          <w:b/>
        </w:rPr>
        <w:t xml:space="preserve">Consistency verdict. </w:t>
      </w:r>
      <w:r>
        <w:t>The original supplement is inconsistent with the dissertation's stated validation framework because it overstates human-label reliability and links the repeat-coding results to automated outcomes that were constructed and validated differently.</w:t>
      </w:r>
    </w:p>
    <w:p>
      <w:pPr>
        <w:pStyle w:val="ListBullet"/>
        <w:widowControl/>
        <w:spacing w:after="60"/>
        <w:ind w:left="403" w:hanging="230"/>
      </w:pPr>
      <w:r>
        <w:t>The dissertation defines actionability_v2 as a 0-5 automated composite, whereas the repeat-coding exercise compared human actionability scales of 0-2 and 0-4. The repeat exercise cannot validate the 0-5 composite or its reported development-set F1 of 0.744.</w:t>
      </w:r>
    </w:p>
    <w:p>
      <w:pPr>
        <w:pStyle w:val="ListBullet"/>
        <w:widowControl/>
        <w:spacing w:after="60"/>
        <w:ind w:left="403" w:hanging="230"/>
      </w:pPr>
      <w:r>
        <w:t>The dissertation already states that actionability_v2 and localisation_v2c were rebuilt and rescored on the same 112 labels, so their reported F1 values are development-set estimates, not independent hold-out confirmation. This supplement must preserve that caveat.</w:t>
      </w:r>
    </w:p>
    <w:p>
      <w:pPr>
        <w:pStyle w:val="ListBullet"/>
        <w:widowControl/>
        <w:spacing w:after="60"/>
        <w:ind w:left="403" w:hanging="230"/>
      </w:pPr>
      <w:r>
        <w:t>The dissertation states that all human labels came from a single coder and that inter-rater reliability was not computed. This supplement may add an intra-rater diagnostic, but it cannot remove that limitation because the repeat instrument drifted.</w:t>
      </w:r>
    </w:p>
    <w:p>
      <w:pPr>
        <w:pStyle w:val="ListBullet"/>
        <w:widowControl/>
        <w:spacing w:after="60"/>
        <w:ind w:left="403" w:hanging="230"/>
      </w:pPr>
      <w:r>
        <w:t>The repeat variables professional_help, social_support, coping_step, crisis_action, and follow_up are not identical to the five automated components of actionability_v2. Component-level repeat agreement therefore cannot be used to declare the H1 composite reliable.</w:t>
      </w:r>
    </w:p>
    <w:p>
      <w:pPr>
        <w:pStyle w:val="ListBullet"/>
        <w:widowControl/>
        <w:spacing w:after="60"/>
        <w:ind w:left="403" w:hanging="230"/>
      </w:pPr>
      <w:r>
        <w:t>The crisis-contact fabrication audit requires verification of extracted contacts. verified_localisation repeat agreement is relevant to audit quality, but it does not by itself establish the accuracy of the fabricated-contact classifications or rescue the exploratory S1 finding.</w:t>
      </w:r>
    </w:p>
    <w:p>
      <w:pPr>
        <w:pStyle w:val="Heading1"/>
        <w:widowControl/>
      </w:pPr>
      <w:r>
        <w:t>6. Implications for current findings</w:t>
      </w:r>
    </w:p>
    <w:p>
      <w:pPr>
        <w:pStyle w:val="Heading2"/>
        <w:widowControl/>
      </w:pPr>
      <w:r>
        <w:t>6.1 Confirmatory findings</w:t>
      </w:r>
    </w:p>
    <w:p>
      <w:pPr>
        <w:widowControl/>
      </w:pPr>
      <w:r>
        <w:t>The repeat-coding results do not overturn the numerical models already fitted to the 1,120-response dataset, but they weaken the evidential basis for treating the human labels as a stable measurement reference. RQ1 and RQ2 should therefore retain the dissertation's existing qualification that the revised automated measures were evaluated on development labels and require independent hold-out confirmation. The repeat-coding exercise supplies no basis for upgrading those findings to confirmed results.</w:t>
      </w:r>
    </w:p>
    <w:p>
      <w:pPr>
        <w:pStyle w:val="Heading2"/>
        <w:widowControl/>
      </w:pPr>
      <w:r>
        <w:t>6.2 Exploratory crisis-contact finding</w:t>
      </w:r>
    </w:p>
    <w:p>
      <w:pPr>
        <w:widowControl/>
      </w:pPr>
      <w:r>
        <w:t>The visibly suspicious or unverifiable crisis-contact finding remains an exploratory audit result. Its credibility depends primarily on a complete, source-documented contact-verification table and reproducible case classifications, not on the binary repeat-coding kappas reported here. Any geographic comparison must distinguish verified, incorrect, suspicious, and unknown contacts and avoid treating absence of evidence as proof of fabrication.</w:t>
      </w:r>
    </w:p>
    <w:p>
      <w:pPr>
        <w:pStyle w:val="Heading1"/>
        <w:widowControl/>
      </w:pPr>
      <w:r>
        <w:t>7. Required corrective procedure</w:t>
      </w:r>
    </w:p>
    <w:p>
      <w:pPr>
        <w:widowControl/>
      </w:pPr>
      <w:r>
        <w:t>Before the repeat assessment can support reliability claims, complete one clean recoding of the 39 valid cases:</w:t>
      </w:r>
    </w:p>
    <w:p>
      <w:pPr>
        <w:widowControl/>
        <w:numPr>
          <w:ilvl w:val="0"/>
          <w:numId w:val="11"/>
        </w:numPr>
        <w:spacing w:after="80"/>
        <w:ind w:left="461" w:hanging="259"/>
      </w:pPr>
      <w:r>
        <w:t>Freeze one codebook version word-for-word, including the original 0-2 actionability scale and operational examples for every binary field.</w:t>
      </w:r>
    </w:p>
    <w:p>
      <w:pPr>
        <w:widowControl/>
        <w:numPr>
          <w:ilvl w:val="0"/>
          <w:numId w:val="11"/>
        </w:numPr>
        <w:spacing w:after="80"/>
        <w:ind w:left="461" w:hanging="259"/>
      </w:pPr>
      <w:r>
        <w:t>Present the 39 responses in a newly randomised order, with all previous labels and derived variables hidden.</w:t>
      </w:r>
    </w:p>
    <w:p>
      <w:pPr>
        <w:widowControl/>
        <w:numPr>
          <w:ilvl w:val="0"/>
          <w:numId w:val="11"/>
        </w:numPr>
        <w:spacing w:after="80"/>
        <w:ind w:left="461" w:hanging="259"/>
      </w:pPr>
      <w:r>
        <w:t>Record coder identity, date, washout interval, workbook version, exclusions, and any rule queries raised before labels are revealed.</w:t>
      </w:r>
    </w:p>
    <w:p>
      <w:pPr>
        <w:widowControl/>
        <w:numPr>
          <w:ilvl w:val="0"/>
          <w:numId w:val="11"/>
        </w:numPr>
        <w:spacing w:after="80"/>
        <w:ind w:left="461" w:hanging="259"/>
      </w:pPr>
      <w:r>
        <w:t>Do not reconcile labels during coding. Preserve the untouched recoding file and create a separate discrepancy log after the reliability statistics are frozen.</w:t>
      </w:r>
    </w:p>
    <w:p>
      <w:pPr>
        <w:widowControl/>
        <w:numPr>
          <w:ilvl w:val="0"/>
          <w:numId w:val="11"/>
        </w:numPr>
        <w:spacing w:after="80"/>
        <w:ind w:left="461" w:hanging="259"/>
      </w:pPr>
      <w:r>
        <w:t>Report quadratic-weighted kappa for 0-2 actionability; unweighted kappa plus observed agreement and marginal prevalence for binary fields; and bootstrap confidence intervals where feasible.</w:t>
      </w:r>
    </w:p>
    <w:p>
      <w:pPr>
        <w:widowControl/>
        <w:numPr>
          <w:ilvl w:val="0"/>
          <w:numId w:val="11"/>
        </w:numPr>
        <w:spacing w:after="80"/>
        <w:ind w:left="461" w:hanging="259"/>
      </w:pPr>
      <w:r>
        <w:t>Interpret acceptability against a prospectively stated criterion. If the aligned repeat still shows weak or systematically directional agreement, narrow or withdraw the affected measure rather than selecting the more favourable round.</w:t>
      </w:r>
    </w:p>
    <w:p>
      <w:pPr>
        <w:pStyle w:val="Heading1"/>
        <w:widowControl/>
      </w:pPr>
      <w:r>
        <w:t>8. Submission-ready reporting language</w:t>
      </w:r>
    </w:p>
    <w:p>
      <w:pPr>
        <w:spacing w:before="80" w:after="160"/>
        <w:ind w:left="288" w:right="288"/>
        <w:shd w:fill="EEF3F6"/>
        <w:widowControl/>
        <w:pBdr>
          <w:left w:val="single" w:sz="16" w:space="8" w:color="2E5D7B"/>
        </w:pBdr>
      </w:pPr>
      <w:r>
        <w:rPr>
          <w:i/>
        </w:rPr>
        <w:t>A random subset of 40 responses from the 160-response hold-out dataset was recoded by the same researcher after a washout period, with first-round labels concealed; one uncodeable record was excluded, leaving 39 matched pairs. Audit of the repeat exercise identified a procedural failure: overall actionability was scored on a 0-4 scale in the repeat round rather than the original 0-2 scale, precluding a valid ordinal intra-rater estimate. The binary codes also showed substantial marginal shifts between rounds. Observed agreement ranged from 51.3% to 92.3%, while Cohen's kappa ranged from 0.000 to 0.552. Particularly large Round-2 positive shifts occurred for coping steps, crisis actions, follow-up, surface localisation, and verified localisation. Because the coding instrument was not invariant across rounds, these results are interpreted as evidence of coding drift rather than confirmation of acceptable human-label reliability. The exercise does not validate the automated outcome measures, and the first-round labels remain a provisional development reference pending a codebook-aligned repeat assessment and, ideally, independent second-coder evaluation.</w:t>
      </w:r>
    </w:p>
    <w:p>
      <w:pPr>
        <w:pStyle w:val="Heading1"/>
        <w:widowControl/>
      </w:pPr>
      <w:r>
        <w:t>9. References</w:t>
      </w:r>
    </w:p>
    <w:p>
      <w:pPr>
        <w:widowControl/>
      </w:pPr>
      <w:r>
        <w:t>Cohen, J. (1960). A coefficient of agreement for nominal scales. Educational and Psychological Measurement, 20(1), 37-46. https://doi.org/10.1177/001316446002000104</w:t>
      </w:r>
    </w:p>
    <w:p>
      <w:pPr>
        <w:widowControl/>
      </w:pPr>
      <w:r>
        <w:t>Landis, J. R., &amp; Koch, G. G. (1977). The measurement of observer agreement for categorical data. Biometrics, 33(1), 159-174. https://doi.org/10.2307/2529310</w:t>
      </w:r>
    </w:p>
    <w:p>
      <w:pPr>
        <w:widowControl/>
      </w:pPr>
      <w:r>
        <w:t>McHugh, M. L. (2012). Interrater reliability: the kappa statistic. Biochemia Medica, 22(3), 276-282. https://doi.org/10.11613/BM.2012.031</w:t>
      </w:r>
    </w:p>
    <w:p>
      <w:pPr>
        <w:pStyle w:val="Heading1"/>
        <w:widowControl/>
      </w:pPr>
      <w:r>
        <w:t>Appendix A. Reproducible statistics retained from the audit</w:t>
      </w:r>
    </w:p>
    <w:p>
      <w:pPr>
        <w:widowControl/>
      </w:pPr>
      <w:r>
        <w:t>For traceability, the following directional counts reproduce the supplied analysis. They are presented without assigning either round as ground truth.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7D0D6"/>
          <w:left w:val="single" w:sz="4" w:color="C7D0D6"/>
          <w:bottom w:val="single" w:sz="4" w:color="C7D0D6"/>
          <w:right w:val="single" w:sz="4" w:color="C7D0D6"/>
          <w:insideH w:val="single" w:sz="4" w:color="C7D0D6"/>
          <w:insideV w:val="single" w:sz="4" w:color="C7D0D6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2880"/>
            <w:shd w:fill="2E5D7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1512"/>
            <w:shd w:fill="2E5D7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R1=1, R2=1</w:t>
            </w:r>
          </w:p>
        </w:tc>
        <w:tc>
          <w:tcPr>
            <w:tcW w:type="dxa" w:w="1512"/>
            <w:shd w:fill="2E5D7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R1=0, R2=1</w:t>
            </w:r>
          </w:p>
        </w:tc>
        <w:tc>
          <w:tcPr>
            <w:tcW w:type="dxa" w:w="1512"/>
            <w:shd w:fill="2E5D7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R1=1, R2=0</w:t>
            </w:r>
          </w:p>
        </w:tc>
        <w:tc>
          <w:tcPr>
            <w:tcW w:type="dxa" w:w="1512"/>
            <w:shd w:fill="2E5D7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R1=0, R2=0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coping_step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25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professional_help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34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social_support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28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5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crisis_action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17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follow_up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20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surface_localisation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35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verified_localisation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12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Actionability binary diagnostic: concordant positive = 30, R1 negative/R2 positive = 5, R1 positive/R2 negative = 1, concordant negative = 3; observed agreement = 84.6%; kappa = 0.421. This cross-scale diagnostic is not a substitute for weighted kappa on an invariant ordinal scale.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80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B73"/>
        <w:sz w:val="16"/>
      </w:rPr>
      <w:t>Does Where You Are Shape What You Get?  |  Nor Lakrimdi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F6B73"/>
        <w:sz w:val="16"/>
      </w:rPr>
      <w:t>VALIDATION SUPPLEMENT  |  MSc Dissertation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suff w:val="tab"/>
      <w:pPr>
        <w:tabs>
          <w:tab w:val="num" w:pos="460"/>
        </w:tabs>
        <w:ind w:left="460" w:hanging="260"/>
      </w:pPr>
    </w:lvl>
  </w:abstractNum>
  <w:num w:numId="10">
    <w:abstractNumId w:val="9"/>
  </w:num>
  <w:abstractNum w:abstractNumId="10">
    <w:lvl w:ilvl="0">
      <w:start w:val="1"/>
      <w:numFmt w:val="decimal"/>
      <w:lvlText w:val="%1."/>
      <w:suff w:val="tab"/>
      <w:pPr>
        <w:tabs>
          <w:tab w:val="num" w:pos="460"/>
        </w:tabs>
        <w:ind w:left="460" w:hanging="2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E5D7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E5D7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0323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Arial" w:hAnsi="Arial"/>
      <w:b/>
      <w:bCs/>
      <w:i w:val="0"/>
      <w:color w:val="20323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finding">
    <w:name w:val="Key finding"/>
    <w:pPr>
      <w:spacing w:before="140" w:after="140"/>
      <w:ind w:left="230" w:right="230"/>
    </w:pPr>
    <w:rPr>
      <w:rFonts w:ascii="Arial" w:hAnsi="Arial"/>
      <w:b/>
      <w:color w:val="20323F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Intra-Rater Repeat Coding Audit</dc:title>
  <dc:subject>Validation supplement for MSc dissertation</dc:subject>
  <dc:creator>Nor Lakrimdi</dc:creator>
  <cp:keywords/>
  <dc:description>Revised for methodological and statistical accuracy.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