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4C06D">
      <w:pPr>
        <w:spacing w:before="600" w:after="0"/>
        <w:jc w:val="left"/>
        <w:rPr>
          <w:rFonts w:hint="default"/>
          <w:lang w:val="fr-FR"/>
        </w:rPr>
      </w:pPr>
      <w:r>
        <w:rPr>
          <w:rFonts w:ascii="SimSun" w:hAnsi="SimSun" w:eastAsia="SimSun" w:cs="SimSun"/>
          <w:sz w:val="24"/>
          <w:szCs w:val="24"/>
        </w:rPr>
        <w:drawing>
          <wp:inline distT="0" distB="0" distL="114300" distR="114300">
            <wp:extent cx="1059815" cy="460375"/>
            <wp:effectExtent l="0" t="0" r="6985" b="12065"/>
            <wp:docPr id="18" name="Imag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 descr="IMG_256"/>
                    <pic:cNvPicPr>
                      <a:picLocks noChangeAspect="1"/>
                    </pic:cNvPicPr>
                  </pic:nvPicPr>
                  <pic:blipFill>
                    <a:blip r:embed="rId8"/>
                    <a:stretch>
                      <a:fillRect/>
                    </a:stretch>
                  </pic:blipFill>
                  <pic:spPr>
                    <a:xfrm>
                      <a:off x="0" y="0"/>
                      <a:ext cx="1059815" cy="460375"/>
                    </a:xfrm>
                    <a:prstGeom prst="rect">
                      <a:avLst/>
                    </a:prstGeom>
                    <a:noFill/>
                    <a:ln w="9525">
                      <a:noFill/>
                    </a:ln>
                  </pic:spPr>
                </pic:pic>
              </a:graphicData>
            </a:graphic>
          </wp:inline>
        </w:drawing>
      </w:r>
      <w:r>
        <w:rPr>
          <w:rFonts w:hint="default" w:ascii="SimSun" w:hAnsi="SimSun" w:eastAsia="SimSun" w:cs="SimSun"/>
          <w:sz w:val="24"/>
          <w:szCs w:val="24"/>
          <w:lang w:val="fr-FR"/>
        </w:rPr>
        <w:t xml:space="preserve">     </w:t>
      </w:r>
      <w:r>
        <w:rPr>
          <w:color w:val="000000"/>
          <w:sz w:val="22"/>
          <w:szCs w:val="22"/>
        </w:rPr>
        <w:t>TEK-UP, École Supérieure Privée d’Ingénierie et de Technologies</w:t>
      </w:r>
    </w:p>
    <w:p w14:paraId="1AA6A251">
      <w:pPr>
        <w:spacing w:after="1200"/>
        <w:jc w:val="center"/>
        <w:rPr>
          <w:color w:val="000000"/>
          <w:sz w:val="22"/>
          <w:szCs w:val="22"/>
        </w:rPr>
      </w:pPr>
    </w:p>
    <w:p w14:paraId="33853929">
      <w:pPr>
        <w:spacing w:after="1200"/>
        <w:jc w:val="center"/>
        <w:rPr>
          <w:sz w:val="32"/>
          <w:szCs w:val="32"/>
        </w:rPr>
      </w:pPr>
      <w:r>
        <w:rPr>
          <w:color w:val="000000"/>
          <w:sz w:val="32"/>
          <w:szCs w:val="32"/>
        </w:rPr>
        <w:t>mini-projet</w:t>
      </w:r>
      <w:r>
        <w:rPr>
          <w:rFonts w:hint="default"/>
          <w:color w:val="000000"/>
          <w:sz w:val="32"/>
          <w:szCs w:val="32"/>
          <w:lang w:val="fr-FR"/>
        </w:rPr>
        <w:t xml:space="preserve"> </w:t>
      </w:r>
      <w:r>
        <w:rPr>
          <w:color w:val="000000"/>
          <w:sz w:val="32"/>
          <w:szCs w:val="32"/>
        </w:rPr>
        <w:t>Séries temporelles</w:t>
      </w:r>
    </w:p>
    <w:p w14:paraId="777395F5">
      <w:pPr>
        <w:spacing w:after="200"/>
        <w:jc w:val="center"/>
      </w:pPr>
      <w:r>
        <w:rPr>
          <w:b/>
          <w:bCs/>
          <w:color w:val="1F3864"/>
          <w:sz w:val="64"/>
          <w:szCs w:val="64"/>
        </w:rPr>
        <w:t>GoldSilver Analytics</w:t>
      </w:r>
    </w:p>
    <w:p w14:paraId="3F7BC880">
      <w:pPr>
        <w:spacing w:after="160"/>
        <w:jc w:val="center"/>
      </w:pPr>
      <w:r>
        <w:rPr>
          <w:color w:val="1F3864"/>
          <w:sz w:val="32"/>
          <w:szCs w:val="32"/>
        </w:rPr>
        <w:t>Modélisation, prévision et volatilité de l’or et de l’argent</w:t>
      </w:r>
    </w:p>
    <w:p w14:paraId="1CAE6B2B">
      <w:pPr>
        <w:spacing w:after="1400"/>
        <w:jc w:val="center"/>
      </w:pPr>
      <w:r>
        <w:rPr>
          <w:i/>
          <w:iCs/>
          <w:color w:val="000000"/>
          <w:sz w:val="24"/>
          <w:szCs w:val="24"/>
        </w:rPr>
        <w:t>ARIMA, VAR, cointégration, GARCH, LSTM et GRU appliqués aux fonds GLD et SLV (2010 à 2025)</w:t>
      </w:r>
    </w:p>
    <w:p w14:paraId="58BA18DD">
      <w:pPr>
        <w:pBdr>
          <w:top w:val="single" w:color="1F3864" w:sz="8" w:space="12"/>
        </w:pBdr>
        <w:spacing w:after="120"/>
        <w:jc w:val="center"/>
      </w:pPr>
      <w:r>
        <w:rPr>
          <w:b/>
          <w:bCs/>
          <w:sz w:val="26"/>
          <w:szCs w:val="26"/>
        </w:rPr>
        <w:t>Rapport de projet</w:t>
      </w:r>
    </w:p>
    <w:p w14:paraId="0AD5F4F4">
      <w:pPr>
        <w:spacing w:after="60"/>
        <w:jc w:val="center"/>
        <w:rPr>
          <w:sz w:val="24"/>
          <w:szCs w:val="24"/>
        </w:rPr>
      </w:pPr>
      <w:r>
        <w:rPr>
          <w:sz w:val="24"/>
          <w:szCs w:val="24"/>
        </w:rPr>
        <w:t xml:space="preserve">Réalisé par : </w:t>
      </w:r>
    </w:p>
    <w:p w14:paraId="5513D2ED">
      <w:pPr>
        <w:spacing w:after="60"/>
        <w:jc w:val="center"/>
        <w:rPr>
          <w:sz w:val="24"/>
          <w:szCs w:val="24"/>
        </w:rPr>
      </w:pPr>
      <w:r>
        <w:rPr>
          <w:sz w:val="24"/>
          <w:szCs w:val="24"/>
        </w:rPr>
        <w:t>Nourchene Dridi,</w:t>
      </w:r>
    </w:p>
    <w:p w14:paraId="4F750BC0">
      <w:pPr>
        <w:spacing w:after="60"/>
        <w:jc w:val="center"/>
        <w:rPr>
          <w:rFonts w:hint="default"/>
          <w:sz w:val="24"/>
          <w:szCs w:val="24"/>
          <w:lang w:val="fr-FR"/>
        </w:rPr>
      </w:pPr>
      <w:r>
        <w:rPr>
          <w:rFonts w:hint="default"/>
          <w:sz w:val="24"/>
          <w:szCs w:val="24"/>
          <w:lang w:val="fr-FR"/>
        </w:rPr>
        <w:t>Yomna Haouel</w:t>
      </w:r>
    </w:p>
    <w:p w14:paraId="37E40347">
      <w:pPr>
        <w:spacing w:after="60"/>
        <w:jc w:val="center"/>
      </w:pPr>
      <w:r>
        <w:rPr>
          <w:sz w:val="24"/>
          <w:szCs w:val="24"/>
        </w:rPr>
        <w:t xml:space="preserve"> ING5-SDIAF-C</w:t>
      </w:r>
    </w:p>
    <w:p w14:paraId="635A6DB3">
      <w:pPr>
        <w:sectPr>
          <w:pgSz w:w="11906" w:h="16838"/>
          <w:pgMar w:top="1134" w:right="1134" w:bottom="1134" w:left="1134" w:header="567" w:footer="567" w:gutter="0"/>
          <w:cols w:space="720" w:num="1"/>
          <w:docGrid w:linePitch="360" w:charSpace="0"/>
        </w:sectPr>
      </w:pPr>
    </w:p>
    <w:p w14:paraId="3D6AB88C">
      <w:pPr>
        <w:pStyle w:val="2"/>
        <w:keepNext/>
        <w:spacing w:before="360" w:after="200"/>
      </w:pPr>
      <w:r>
        <w:t>Introduction</w:t>
      </w:r>
    </w:p>
    <w:p w14:paraId="12883431">
      <w:pPr>
        <w:pStyle w:val="3"/>
        <w:keepNext/>
      </w:pPr>
      <w:r>
        <w:t>Thématique choisie</w:t>
      </w:r>
    </w:p>
    <w:p w14:paraId="425943FC">
      <w:pPr>
        <w:spacing w:after="120" w:line="276" w:lineRule="auto"/>
        <w:jc w:val="both"/>
      </w:pPr>
      <w:r>
        <w:t>Le projet porte sur les métaux précieux. L’or et l’argent dépendent des mêmes facteurs (dollar, taux d’intérêt, aversion au risque), mais l’argent est aussi un métal industriel et il est beaucoup plus volatil. Ce couple permet d’appliquer sur les mêmes données les modèles univariés, multivariés, de volatilité et les réseaux de neurones.</w:t>
      </w:r>
    </w:p>
    <w:p w14:paraId="5AB126E3">
      <w:pPr>
        <w:pStyle w:val="3"/>
        <w:keepNext/>
      </w:pPr>
      <w:r>
        <w:t>Séries retenues</w:t>
      </w:r>
    </w:p>
    <w:p w14:paraId="3256B3EA">
      <w:pPr>
        <w:spacing w:after="120" w:line="276" w:lineRule="auto"/>
        <w:jc w:val="both"/>
      </w:pPr>
      <w:r>
        <w:t>Nous utilisons deux fonds cotés adossés à du métal physique : GLD pour l’or et SLV pour l’argent. Les données sont quotidiennes et proviennent de Yahoo Finance.</w:t>
      </w:r>
    </w:p>
    <w:p w14:paraId="1871E024">
      <w:pPr>
        <w:keepNext/>
        <w:spacing w:before="160" w:after="80"/>
      </w:pPr>
      <w:r>
        <w:rPr>
          <w:b/>
          <w:bCs/>
          <w:color w:val="1F3864"/>
          <w:sz w:val="20"/>
          <w:szCs w:val="20"/>
        </w:rPr>
        <w:t xml:space="preserve">Tableau 1 : </w:t>
      </w:r>
      <w:r>
        <w:rPr>
          <w:color w:val="1F3864"/>
          <w:sz w:val="20"/>
          <w:szCs w:val="20"/>
        </w:rPr>
        <w:t>Séries retenues</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1928"/>
        <w:gridCol w:w="1253"/>
        <w:gridCol w:w="2410"/>
        <w:gridCol w:w="1060"/>
        <w:gridCol w:w="1927"/>
      </w:tblGrid>
      <w:tr w14:paraId="751D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6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7E415DC">
            <w:pPr>
              <w:keepNext/>
              <w:spacing w:after="0" w:line="240" w:lineRule="auto"/>
              <w:jc w:val="left"/>
            </w:pPr>
            <w:r>
              <w:rPr>
                <w:b/>
                <w:bCs/>
                <w:color w:val="FFFFFF"/>
                <w:sz w:val="18"/>
                <w:szCs w:val="18"/>
              </w:rPr>
              <w:t>Symbole</w:t>
            </w:r>
          </w:p>
        </w:tc>
        <w:tc>
          <w:tcPr>
            <w:tcW w:w="192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9B0D88D">
            <w:pPr>
              <w:keepNext/>
              <w:spacing w:after="0" w:line="240" w:lineRule="auto"/>
              <w:jc w:val="left"/>
            </w:pPr>
            <w:r>
              <w:rPr>
                <w:b/>
                <w:bCs/>
                <w:color w:val="FFFFFF"/>
                <w:sz w:val="18"/>
                <w:szCs w:val="18"/>
              </w:rPr>
              <w:t>Instrument</w:t>
            </w:r>
          </w:p>
        </w:tc>
        <w:tc>
          <w:tcPr>
            <w:tcW w:w="1253"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1A53890">
            <w:pPr>
              <w:keepNext/>
              <w:spacing w:after="0" w:line="240" w:lineRule="auto"/>
              <w:jc w:val="left"/>
            </w:pPr>
            <w:r>
              <w:rPr>
                <w:b/>
                <w:bCs/>
                <w:color w:val="FFFFFF"/>
                <w:sz w:val="18"/>
                <w:szCs w:val="18"/>
              </w:rPr>
              <w:t>Sous-jacent</w:t>
            </w:r>
          </w:p>
        </w:tc>
        <w:tc>
          <w:tcPr>
            <w:tcW w:w="241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BCBDE4B">
            <w:pPr>
              <w:keepNext/>
              <w:spacing w:after="0" w:line="240" w:lineRule="auto"/>
              <w:jc w:val="center"/>
            </w:pPr>
            <w:r>
              <w:rPr>
                <w:b/>
                <w:bCs/>
                <w:color w:val="FFFFFF"/>
                <w:sz w:val="18"/>
                <w:szCs w:val="18"/>
              </w:rPr>
              <w:t>Période</w:t>
            </w:r>
          </w:p>
        </w:tc>
        <w:tc>
          <w:tcPr>
            <w:tcW w:w="106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35E12A4">
            <w:pPr>
              <w:keepNext/>
              <w:spacing w:after="0" w:line="240" w:lineRule="auto"/>
              <w:jc w:val="center"/>
            </w:pPr>
            <w:r>
              <w:rPr>
                <w:b/>
                <w:bCs/>
                <w:color w:val="FFFFFF"/>
                <w:sz w:val="18"/>
                <w:szCs w:val="18"/>
              </w:rPr>
              <w:t>Séances</w:t>
            </w:r>
          </w:p>
        </w:tc>
        <w:tc>
          <w:tcPr>
            <w:tcW w:w="192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FA5D3D5">
            <w:pPr>
              <w:keepNext/>
              <w:spacing w:after="0" w:line="240" w:lineRule="auto"/>
              <w:jc w:val="center"/>
            </w:pPr>
            <w:r>
              <w:rPr>
                <w:b/>
                <w:bCs/>
                <w:color w:val="FFFFFF"/>
                <w:sz w:val="18"/>
                <w:szCs w:val="18"/>
              </w:rPr>
              <w:t>Variable modélisée</w:t>
            </w:r>
          </w:p>
        </w:tc>
      </w:tr>
      <w:tr w14:paraId="44B3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B215B77">
            <w:pPr>
              <w:keepNext/>
              <w:spacing w:after="0" w:line="240" w:lineRule="auto"/>
              <w:jc w:val="left"/>
            </w:pPr>
            <w:r>
              <w:rPr>
                <w:sz w:val="18"/>
                <w:szCs w:val="18"/>
              </w:rPr>
              <w:t>GLD</w:t>
            </w:r>
          </w:p>
        </w:tc>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16BE5DD">
            <w:pPr>
              <w:keepNext/>
              <w:spacing w:after="0" w:line="240" w:lineRule="auto"/>
              <w:jc w:val="left"/>
            </w:pPr>
            <w:r>
              <w:rPr>
                <w:sz w:val="18"/>
                <w:szCs w:val="18"/>
              </w:rPr>
              <w:t>SPDR Gold Shares</w:t>
            </w:r>
          </w:p>
        </w:tc>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29C1150">
            <w:pPr>
              <w:keepNext/>
              <w:spacing w:after="0" w:line="240" w:lineRule="auto"/>
              <w:jc w:val="left"/>
            </w:pPr>
            <w:r>
              <w:rPr>
                <w:sz w:val="18"/>
                <w:szCs w:val="18"/>
              </w:rPr>
              <w:t>Or</w:t>
            </w:r>
          </w:p>
        </w:tc>
        <w:tc>
          <w:tcPr>
            <w:tcW w:w="241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8E27C4C">
            <w:pPr>
              <w:keepNext/>
              <w:spacing w:after="0" w:line="240" w:lineRule="auto"/>
              <w:jc w:val="center"/>
            </w:pPr>
            <w:r>
              <w:rPr>
                <w:sz w:val="18"/>
                <w:szCs w:val="18"/>
              </w:rPr>
              <w:t>04/01/2010 au 31/12/2025</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C30F3BD">
            <w:pPr>
              <w:keepNext/>
              <w:spacing w:after="0" w:line="240" w:lineRule="auto"/>
              <w:jc w:val="center"/>
            </w:pPr>
            <w:r>
              <w:rPr>
                <w:sz w:val="18"/>
                <w:szCs w:val="18"/>
              </w:rPr>
              <w:t>4 024</w:t>
            </w:r>
          </w:p>
        </w:tc>
        <w:tc>
          <w:tcPr>
            <w:tcW w:w="192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3F8023C">
            <w:pPr>
              <w:keepNext/>
              <w:spacing w:after="0" w:line="240" w:lineRule="auto"/>
              <w:jc w:val="center"/>
            </w:pPr>
            <w:r>
              <w:rPr>
                <w:sz w:val="18"/>
                <w:szCs w:val="18"/>
              </w:rPr>
              <w:t>Prix de clôture ajusté</w:t>
            </w:r>
          </w:p>
        </w:tc>
      </w:tr>
      <w:tr w14:paraId="7C4A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242D4C7">
            <w:pPr>
              <w:keepNext w:val="0"/>
              <w:spacing w:after="0" w:line="240" w:lineRule="auto"/>
              <w:jc w:val="left"/>
            </w:pPr>
            <w:r>
              <w:rPr>
                <w:sz w:val="18"/>
                <w:szCs w:val="18"/>
              </w:rPr>
              <w:t>SLV</w:t>
            </w:r>
          </w:p>
        </w:tc>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F27885B">
            <w:pPr>
              <w:keepNext w:val="0"/>
              <w:spacing w:after="0" w:line="240" w:lineRule="auto"/>
              <w:jc w:val="left"/>
            </w:pPr>
            <w:r>
              <w:rPr>
                <w:sz w:val="18"/>
                <w:szCs w:val="18"/>
              </w:rPr>
              <w:t>iShares Silver Trust</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B0349E0">
            <w:pPr>
              <w:keepNext w:val="0"/>
              <w:spacing w:after="0" w:line="240" w:lineRule="auto"/>
              <w:jc w:val="left"/>
            </w:pPr>
            <w:r>
              <w:rPr>
                <w:sz w:val="18"/>
                <w:szCs w:val="18"/>
              </w:rPr>
              <w:t>Argent</w:t>
            </w:r>
          </w:p>
        </w:tc>
        <w:tc>
          <w:tcPr>
            <w:tcW w:w="241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CABFC68">
            <w:pPr>
              <w:keepNext w:val="0"/>
              <w:spacing w:after="0" w:line="240" w:lineRule="auto"/>
              <w:jc w:val="center"/>
            </w:pPr>
            <w:r>
              <w:rPr>
                <w:sz w:val="18"/>
                <w:szCs w:val="18"/>
              </w:rPr>
              <w:t>04/01/2010 au 31/12/2025</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C0AFAF6">
            <w:pPr>
              <w:keepNext w:val="0"/>
              <w:spacing w:after="0" w:line="240" w:lineRule="auto"/>
              <w:jc w:val="center"/>
            </w:pPr>
            <w:r>
              <w:rPr>
                <w:sz w:val="18"/>
                <w:szCs w:val="18"/>
              </w:rPr>
              <w:t>4 024</w:t>
            </w:r>
          </w:p>
        </w:tc>
        <w:tc>
          <w:tcPr>
            <w:tcW w:w="192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A09BC3E">
            <w:pPr>
              <w:keepNext w:val="0"/>
              <w:spacing w:after="0" w:line="240" w:lineRule="auto"/>
              <w:jc w:val="center"/>
            </w:pPr>
            <w:r>
              <w:rPr>
                <w:sz w:val="18"/>
                <w:szCs w:val="18"/>
              </w:rPr>
              <w:t>Prix de clôture ajusté</w:t>
            </w:r>
          </w:p>
        </w:tc>
      </w:tr>
    </w:tbl>
    <w:p w14:paraId="1E367249">
      <w:pPr>
        <w:spacing w:before="0" w:after="80"/>
      </w:pPr>
    </w:p>
    <w:p w14:paraId="06584EF5">
      <w:pPr>
        <w:keepNext/>
        <w:spacing w:before="80" w:after="40"/>
        <w:jc w:val="center"/>
      </w:pPr>
      <w:r>
        <w:drawing>
          <wp:inline distT="0" distB="0" distL="0" distR="0">
            <wp:extent cx="5810250" cy="3352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rcRect/>
                    <a:stretch>
                      <a:fillRect/>
                    </a:stretch>
                  </pic:blipFill>
                  <pic:spPr>
                    <a:xfrm>
                      <a:off x="0" y="0"/>
                      <a:ext cx="5810250" cy="3352800"/>
                    </a:xfrm>
                    <a:prstGeom prst="rect">
                      <a:avLst/>
                    </a:prstGeom>
                  </pic:spPr>
                </pic:pic>
              </a:graphicData>
            </a:graphic>
          </wp:inline>
        </w:drawing>
      </w:r>
    </w:p>
    <w:p w14:paraId="265B370B">
      <w:pPr>
        <w:spacing w:before="40" w:after="160"/>
        <w:jc w:val="center"/>
      </w:pPr>
      <w:r>
        <w:rPr>
          <w:b/>
          <w:bCs/>
          <w:color w:val="1F3864"/>
          <w:sz w:val="19"/>
          <w:szCs w:val="19"/>
        </w:rPr>
        <w:t xml:space="preserve">Figure 1 : </w:t>
      </w:r>
      <w:r>
        <w:rPr>
          <w:color w:val="1F3864"/>
          <w:sz w:val="19"/>
          <w:szCs w:val="19"/>
        </w:rPr>
        <w:t>Prix ajustés de GLD et SLV sur la période d’apprentissage</w:t>
      </w:r>
    </w:p>
    <w:p w14:paraId="3E03AB29">
      <w:pPr>
        <w:spacing w:after="120" w:line="276" w:lineRule="auto"/>
        <w:jc w:val="both"/>
      </w:pPr>
      <w:r>
        <w:t>Les deux prix montent jusqu’en 2011, baissent jusqu’en 2015, puis remontent à partir de 2019, avec des variations beaucoup plus fortes pour SLV.</w:t>
      </w:r>
    </w:p>
    <w:p w14:paraId="4912A71F">
      <w:pPr>
        <w:pStyle w:val="3"/>
        <w:keepNext/>
      </w:pPr>
      <w:r>
        <w:t>Question de modélisation</w:t>
      </w:r>
    </w:p>
    <w:p w14:paraId="0D129CD9">
      <w:pPr>
        <w:spacing w:after="120" w:line="276" w:lineRule="auto"/>
        <w:jc w:val="both"/>
      </w:pPr>
      <w:r>
        <w:t>Le projet cherche à répondre à trois questions :</w:t>
      </w:r>
    </w:p>
    <w:p w14:paraId="0E00F24D">
      <w:pPr>
        <w:pStyle w:val="18"/>
        <w:numPr>
          <w:ilvl w:val="0"/>
          <w:numId w:val="1"/>
        </w:numPr>
        <w:spacing w:after="60" w:line="264" w:lineRule="auto"/>
        <w:jc w:val="both"/>
      </w:pPr>
      <w:r>
        <w:t>Peut-on prévoir les prix de GLD et SLV à 5 et 10 séances mieux qu’en supposant que le prix reste inchangé ? Les réseaux LSTM et GRU font-ils mieux que les modèles classiques ?</w:t>
      </w:r>
    </w:p>
    <w:p w14:paraId="0ED0349E">
      <w:pPr>
        <w:pStyle w:val="18"/>
        <w:numPr>
          <w:ilvl w:val="0"/>
          <w:numId w:val="1"/>
        </w:numPr>
        <w:spacing w:after="60" w:line="264" w:lineRule="auto"/>
        <w:jc w:val="both"/>
      </w:pPr>
      <w:r>
        <w:t>Les deux métaux sont-ils liés : l’un aide-t-il à prévoir l’autre, et ont-ils un équilibre de long terme ?</w:t>
      </w:r>
    </w:p>
    <w:p w14:paraId="72C14FAA">
      <w:pPr>
        <w:pStyle w:val="18"/>
        <w:numPr>
          <w:ilvl w:val="0"/>
          <w:numId w:val="1"/>
        </w:numPr>
        <w:spacing w:after="60" w:line="264" w:lineRule="auto"/>
        <w:jc w:val="both"/>
      </w:pPr>
      <w:r>
        <w:t>Comment évolue leur volatilité, et le modèle GARCH donne-t-il des intervalles de prévision fiables ?</w:t>
      </w:r>
    </w:p>
    <w:p w14:paraId="54D53EBF">
      <w:pPr>
        <w:spacing w:after="120" w:line="276" w:lineRule="auto"/>
        <w:jc w:val="both"/>
      </w:pPr>
      <w:r>
        <w:t xml:space="preserve">Les calculs sont faits dans le notebook </w:t>
      </w:r>
      <w:r>
        <w:rPr>
          <w:rFonts w:ascii="Consolas" w:hAnsi="Consolas" w:eastAsia="Consolas" w:cs="Consolas"/>
          <w:sz w:val="20"/>
          <w:szCs w:val="20"/>
        </w:rPr>
        <w:t>notebooks/01_or_argent.ipynb</w:t>
      </w:r>
      <w:r>
        <w:t xml:space="preserve">. Les modèles classiques sont refaits en R dans </w:t>
      </w:r>
      <w:r>
        <w:rPr>
          <w:rFonts w:ascii="Consolas" w:hAnsi="Consolas" w:eastAsia="Consolas" w:cs="Consolas"/>
          <w:sz w:val="20"/>
          <w:szCs w:val="20"/>
        </w:rPr>
        <w:t>scripts_R/02_modeles_classiques.R</w:t>
      </w:r>
      <w:r>
        <w:t xml:space="preserve"> pour vérifier les résultats.</w:t>
      </w:r>
    </w:p>
    <w:p w14:paraId="6B8E7222">
      <w:pPr>
        <w:pStyle w:val="2"/>
        <w:keepNext/>
        <w:spacing w:before="360" w:after="200"/>
      </w:pPr>
      <w:r>
        <w:t>1. Collecte et préparation des données</w:t>
      </w:r>
    </w:p>
    <w:p w14:paraId="10964C35">
      <w:pPr>
        <w:pStyle w:val="3"/>
        <w:keepNext/>
      </w:pPr>
      <w:r>
        <w:t>1.1. Collecte</w:t>
      </w:r>
    </w:p>
    <w:p w14:paraId="31D8DAEF">
      <w:pPr>
        <w:spacing w:after="120" w:line="276" w:lineRule="auto"/>
        <w:jc w:val="both"/>
      </w:pPr>
      <w:r>
        <w:t xml:space="preserve">Les données sont téléchargées avec </w:t>
      </w:r>
      <w:r>
        <w:rPr>
          <w:rFonts w:ascii="Consolas" w:hAnsi="Consolas" w:eastAsia="Consolas" w:cs="Consolas"/>
          <w:sz w:val="20"/>
          <w:szCs w:val="20"/>
        </w:rPr>
        <w:t>yfinance</w:t>
      </w:r>
      <w:r>
        <w:t xml:space="preserve"> du 01/01/2010 au 31/12/2025. Pour chaque fonds, nous gardons les colonnes Open, High, Low, Close, Adj Close et Volume, enregistrées dans </w:t>
      </w:r>
      <w:r>
        <w:rPr>
          <w:rFonts w:ascii="Consolas" w:hAnsi="Consolas" w:eastAsia="Consolas" w:cs="Consolas"/>
          <w:sz w:val="20"/>
          <w:szCs w:val="20"/>
        </w:rPr>
        <w:t>data/raw/</w:t>
      </w:r>
      <w:r>
        <w:t>. Nous modélisons le prix de clôture ajusté.</w:t>
      </w:r>
    </w:p>
    <w:p w14:paraId="72AA394F">
      <w:pPr>
        <w:pStyle w:val="3"/>
        <w:keepNext/>
      </w:pPr>
      <w:r>
        <w:t>1.2. Contrôle de qualité et découpage</w:t>
      </w:r>
    </w:p>
    <w:p w14:paraId="00B7F548">
      <w:pPr>
        <w:keepNext/>
        <w:spacing w:before="160" w:after="80"/>
      </w:pPr>
      <w:r>
        <w:rPr>
          <w:b/>
          <w:bCs/>
          <w:color w:val="1F3864"/>
          <w:sz w:val="20"/>
          <w:szCs w:val="20"/>
        </w:rPr>
        <w:t xml:space="preserve">Tableau 2 : </w:t>
      </w:r>
      <w:r>
        <w:rPr>
          <w:color w:val="1F3864"/>
          <w:sz w:val="20"/>
          <w:szCs w:val="20"/>
        </w:rPr>
        <w:t>Contrôles de qualité et découpage temporel</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3855"/>
        <w:gridCol w:w="2892"/>
      </w:tblGrid>
      <w:tr w14:paraId="050B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9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9B75CCE">
            <w:pPr>
              <w:keepNext/>
              <w:spacing w:after="0" w:line="240" w:lineRule="auto"/>
              <w:jc w:val="left"/>
            </w:pPr>
            <w:r>
              <w:rPr>
                <w:b/>
                <w:bCs/>
                <w:color w:val="FFFFFF"/>
                <w:sz w:val="18"/>
                <w:szCs w:val="18"/>
              </w:rPr>
              <w:t>Contrôle</w:t>
            </w:r>
          </w:p>
        </w:tc>
        <w:tc>
          <w:tcPr>
            <w:tcW w:w="3855"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CCE6309">
            <w:pPr>
              <w:keepNext/>
              <w:spacing w:after="0" w:line="240" w:lineRule="auto"/>
              <w:jc w:val="center"/>
            </w:pPr>
            <w:r>
              <w:rPr>
                <w:b/>
                <w:bCs/>
                <w:color w:val="FFFFFF"/>
                <w:sz w:val="18"/>
                <w:szCs w:val="18"/>
              </w:rPr>
              <w:t>GLD</w:t>
            </w:r>
          </w:p>
        </w:tc>
        <w:tc>
          <w:tcPr>
            <w:tcW w:w="289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D66C70D">
            <w:pPr>
              <w:keepNext/>
              <w:spacing w:after="0" w:line="240" w:lineRule="auto"/>
              <w:jc w:val="center"/>
            </w:pPr>
            <w:r>
              <w:rPr>
                <w:b/>
                <w:bCs/>
                <w:color w:val="FFFFFF"/>
                <w:sz w:val="18"/>
                <w:szCs w:val="18"/>
              </w:rPr>
              <w:t>SLV</w:t>
            </w:r>
          </w:p>
        </w:tc>
      </w:tr>
      <w:tr w14:paraId="1835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C135635">
            <w:pPr>
              <w:keepNext/>
              <w:spacing w:after="0" w:line="240" w:lineRule="auto"/>
              <w:jc w:val="left"/>
            </w:pPr>
            <w:r>
              <w:rPr>
                <w:sz w:val="18"/>
                <w:szCs w:val="18"/>
              </w:rPr>
              <w:t>Nombre de lignes</w:t>
            </w:r>
          </w:p>
        </w:tc>
        <w:tc>
          <w:tcPr>
            <w:tcW w:w="385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E283F10">
            <w:pPr>
              <w:keepNext/>
              <w:spacing w:after="0" w:line="240" w:lineRule="auto"/>
              <w:jc w:val="center"/>
            </w:pPr>
            <w:r>
              <w:rPr>
                <w:sz w:val="18"/>
                <w:szCs w:val="18"/>
              </w:rPr>
              <w:t>4 024</w:t>
            </w:r>
          </w:p>
        </w:tc>
        <w:tc>
          <w:tcPr>
            <w:tcW w:w="289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95A44D5">
            <w:pPr>
              <w:keepNext/>
              <w:spacing w:after="0" w:line="240" w:lineRule="auto"/>
              <w:jc w:val="center"/>
            </w:pPr>
            <w:r>
              <w:rPr>
                <w:sz w:val="18"/>
                <w:szCs w:val="18"/>
              </w:rPr>
              <w:t>4 024</w:t>
            </w:r>
          </w:p>
        </w:tc>
      </w:tr>
      <w:tr w14:paraId="2BC9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8DCEBE8">
            <w:pPr>
              <w:keepNext/>
              <w:spacing w:after="0" w:line="240" w:lineRule="auto"/>
              <w:jc w:val="left"/>
            </w:pPr>
            <w:r>
              <w:rPr>
                <w:sz w:val="18"/>
                <w:szCs w:val="18"/>
              </w:rPr>
              <w:t>Dates dupliquées</w:t>
            </w:r>
          </w:p>
        </w:tc>
        <w:tc>
          <w:tcPr>
            <w:tcW w:w="385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F6A9743">
            <w:pPr>
              <w:keepNext/>
              <w:spacing w:after="0" w:line="240" w:lineRule="auto"/>
              <w:jc w:val="center"/>
            </w:pPr>
            <w:r>
              <w:rPr>
                <w:sz w:val="18"/>
                <w:szCs w:val="18"/>
              </w:rPr>
              <w:t>0</w:t>
            </w:r>
          </w:p>
        </w:tc>
        <w:tc>
          <w:tcPr>
            <w:tcW w:w="289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A0EB4A4">
            <w:pPr>
              <w:keepNext/>
              <w:spacing w:after="0" w:line="240" w:lineRule="auto"/>
              <w:jc w:val="center"/>
            </w:pPr>
            <w:r>
              <w:rPr>
                <w:sz w:val="18"/>
                <w:szCs w:val="18"/>
              </w:rPr>
              <w:t>0</w:t>
            </w:r>
          </w:p>
        </w:tc>
      </w:tr>
      <w:tr w14:paraId="2F5C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49F2699">
            <w:pPr>
              <w:keepNext/>
              <w:spacing w:after="0" w:line="240" w:lineRule="auto"/>
              <w:jc w:val="left"/>
            </w:pPr>
            <w:r>
              <w:rPr>
                <w:sz w:val="18"/>
                <w:szCs w:val="18"/>
              </w:rPr>
              <w:t>Valeurs manquantes</w:t>
            </w:r>
          </w:p>
        </w:tc>
        <w:tc>
          <w:tcPr>
            <w:tcW w:w="385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9A7D1E6">
            <w:pPr>
              <w:keepNext/>
              <w:spacing w:after="0" w:line="240" w:lineRule="auto"/>
              <w:jc w:val="center"/>
            </w:pPr>
            <w:r>
              <w:rPr>
                <w:sz w:val="18"/>
                <w:szCs w:val="18"/>
              </w:rPr>
              <w:t>0</w:t>
            </w:r>
          </w:p>
        </w:tc>
        <w:tc>
          <w:tcPr>
            <w:tcW w:w="289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9D04F01">
            <w:pPr>
              <w:keepNext/>
              <w:spacing w:after="0" w:line="240" w:lineRule="auto"/>
              <w:jc w:val="center"/>
            </w:pPr>
            <w:r>
              <w:rPr>
                <w:sz w:val="18"/>
                <w:szCs w:val="18"/>
              </w:rPr>
              <w:t>0</w:t>
            </w:r>
          </w:p>
        </w:tc>
      </w:tr>
      <w:tr w14:paraId="128A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FE5639F">
            <w:pPr>
              <w:keepNext/>
              <w:spacing w:after="0" w:line="240" w:lineRule="auto"/>
              <w:jc w:val="left"/>
            </w:pPr>
            <w:r>
              <w:rPr>
                <w:sz w:val="18"/>
                <w:szCs w:val="18"/>
              </w:rPr>
              <w:t>Prix nuls ou négatifs</w:t>
            </w:r>
          </w:p>
        </w:tc>
        <w:tc>
          <w:tcPr>
            <w:tcW w:w="385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278536B">
            <w:pPr>
              <w:keepNext/>
              <w:spacing w:after="0" w:line="240" w:lineRule="auto"/>
              <w:jc w:val="center"/>
            </w:pPr>
            <w:r>
              <w:rPr>
                <w:sz w:val="18"/>
                <w:szCs w:val="18"/>
              </w:rPr>
              <w:t>0</w:t>
            </w:r>
          </w:p>
        </w:tc>
        <w:tc>
          <w:tcPr>
            <w:tcW w:w="289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7212313">
            <w:pPr>
              <w:keepNext/>
              <w:spacing w:after="0" w:line="240" w:lineRule="auto"/>
              <w:jc w:val="center"/>
            </w:pPr>
            <w:r>
              <w:rPr>
                <w:sz w:val="18"/>
                <w:szCs w:val="18"/>
              </w:rPr>
              <w:t>0</w:t>
            </w:r>
          </w:p>
        </w:tc>
      </w:tr>
      <w:tr w14:paraId="06F4B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71AF6ED">
            <w:pPr>
              <w:keepNext/>
              <w:spacing w:after="0" w:line="240" w:lineRule="auto"/>
              <w:jc w:val="left"/>
            </w:pPr>
            <w:r>
              <w:rPr>
                <w:sz w:val="18"/>
                <w:szCs w:val="18"/>
              </w:rPr>
              <w:t>Apprentissage (90 %)</w:t>
            </w:r>
          </w:p>
        </w:tc>
        <w:tc>
          <w:tcPr>
            <w:tcW w:w="385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E8B7B0D">
            <w:pPr>
              <w:keepNext/>
              <w:spacing w:after="0" w:line="240" w:lineRule="auto"/>
              <w:jc w:val="center"/>
            </w:pPr>
            <w:r>
              <w:rPr>
                <w:sz w:val="18"/>
                <w:szCs w:val="18"/>
              </w:rPr>
              <w:t>3 621 séances, du 04/01/2010 au 22/05/2024</w:t>
            </w:r>
          </w:p>
        </w:tc>
        <w:tc>
          <w:tcPr>
            <w:tcW w:w="289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2AB7D40">
            <w:pPr>
              <w:keepNext/>
              <w:spacing w:after="0" w:line="240" w:lineRule="auto"/>
              <w:jc w:val="center"/>
            </w:pPr>
            <w:r>
              <w:rPr>
                <w:sz w:val="18"/>
                <w:szCs w:val="18"/>
              </w:rPr>
              <w:t>Mêmes dates</w:t>
            </w:r>
          </w:p>
        </w:tc>
      </w:tr>
      <w:tr w14:paraId="4130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A6F353F">
            <w:pPr>
              <w:keepNext w:val="0"/>
              <w:spacing w:after="0" w:line="240" w:lineRule="auto"/>
              <w:jc w:val="left"/>
            </w:pPr>
            <w:r>
              <w:rPr>
                <w:sz w:val="18"/>
                <w:szCs w:val="18"/>
              </w:rPr>
              <w:t>Test (10 %)</w:t>
            </w:r>
          </w:p>
        </w:tc>
        <w:tc>
          <w:tcPr>
            <w:tcW w:w="385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1C738C4">
            <w:pPr>
              <w:keepNext w:val="0"/>
              <w:spacing w:after="0" w:line="240" w:lineRule="auto"/>
              <w:jc w:val="center"/>
            </w:pPr>
            <w:r>
              <w:rPr>
                <w:sz w:val="18"/>
                <w:szCs w:val="18"/>
              </w:rPr>
              <w:t>403 séances, du 23/05/2024 au 31/12/2025</w:t>
            </w:r>
          </w:p>
        </w:tc>
        <w:tc>
          <w:tcPr>
            <w:tcW w:w="289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EBAE0A1">
            <w:pPr>
              <w:keepNext w:val="0"/>
              <w:spacing w:after="0" w:line="240" w:lineRule="auto"/>
              <w:jc w:val="center"/>
            </w:pPr>
            <w:r>
              <w:rPr>
                <w:sz w:val="18"/>
                <w:szCs w:val="18"/>
              </w:rPr>
              <w:t>Mêmes dates</w:t>
            </w:r>
          </w:p>
        </w:tc>
      </w:tr>
    </w:tbl>
    <w:p w14:paraId="048ED840">
      <w:pPr>
        <w:spacing w:before="0" w:after="80"/>
      </w:pPr>
    </w:p>
    <w:p w14:paraId="1F5FED87">
      <w:pPr>
        <w:spacing w:after="120" w:line="276" w:lineRule="auto"/>
        <w:jc w:val="both"/>
      </w:pPr>
      <w:r>
        <w:t xml:space="preserve">Les données sont complètes : aucune correction n’a été nécessaire. Les deux fonds ont exactement les mêmes dates. Le découpage est chronologique et la période de test n’est jamais utilisée pour choisir ou régler un modèle. Python et R lisent les mêmes fichiers </w:t>
      </w:r>
      <w:r>
        <w:rPr>
          <w:rFonts w:ascii="Consolas" w:hAnsi="Consolas" w:eastAsia="Consolas" w:cs="Consolas"/>
          <w:sz w:val="20"/>
          <w:szCs w:val="20"/>
        </w:rPr>
        <w:t>prix_train.csv</w:t>
      </w:r>
      <w:r>
        <w:t xml:space="preserve"> et </w:t>
      </w:r>
      <w:r>
        <w:rPr>
          <w:rFonts w:ascii="Consolas" w:hAnsi="Consolas" w:eastAsia="Consolas" w:cs="Consolas"/>
          <w:sz w:val="20"/>
          <w:szCs w:val="20"/>
        </w:rPr>
        <w:t>prix_test.csv</w:t>
      </w:r>
      <w:r>
        <w:t>.</w:t>
      </w:r>
    </w:p>
    <w:p w14:paraId="30DD7A21">
      <w:pPr>
        <w:pStyle w:val="3"/>
        <w:keepNext/>
      </w:pPr>
      <w:r>
        <w:t>1.3. Rendements</w:t>
      </w:r>
    </w:p>
    <w:p w14:paraId="3B38F829">
      <w:pPr>
        <w:spacing w:after="120" w:line="276" w:lineRule="auto"/>
        <w:jc w:val="both"/>
      </w:pPr>
      <w:r>
        <w:t>Les rendements logarithmiques en pourcentage sont calculés ainsi :</w:t>
      </w:r>
    </w:p>
    <w:p w14:paraId="2AC40A70">
      <w:pPr>
        <w:spacing w:before="60" w:after="120"/>
        <w:jc w:val="center"/>
      </w:pPr>
      <w:r>
        <w:rPr>
          <w:i/>
          <w:iCs/>
        </w:rPr>
        <w:t>r</w:t>
      </w:r>
      <w:r>
        <w:rPr>
          <w:i/>
          <w:iCs/>
          <w:vertAlign w:val="subscript"/>
        </w:rPr>
        <w:t>t</w:t>
      </w:r>
      <w:r>
        <w:t xml:space="preserve"> = 100 × ln(</w:t>
      </w:r>
      <w:r>
        <w:rPr>
          <w:i/>
          <w:iCs/>
        </w:rPr>
        <w:t>P</w:t>
      </w:r>
      <w:r>
        <w:rPr>
          <w:i/>
          <w:iCs/>
          <w:vertAlign w:val="subscript"/>
        </w:rPr>
        <w:t>t</w:t>
      </w:r>
      <w:r>
        <w:t xml:space="preserve"> / </w:t>
      </w:r>
      <w:r>
        <w:rPr>
          <w:i/>
          <w:iCs/>
        </w:rPr>
        <w:t>P</w:t>
      </w:r>
      <w:r>
        <w:rPr>
          <w:i/>
          <w:iCs/>
          <w:vertAlign w:val="subscript"/>
        </w:rPr>
        <w:t>t−1</w:t>
      </w:r>
      <w:r>
        <w:t>)</w:t>
      </w:r>
    </w:p>
    <w:p w14:paraId="358AA71B">
      <w:pPr>
        <w:spacing w:after="120" w:line="276" w:lineRule="auto"/>
        <w:jc w:val="both"/>
      </w:pPr>
      <w:r>
        <w:t>On obtient 3 620 rendements d’apprentissage par actif. Les log-prix servent aux tests de racine unitaire, à l’ARIMA et à la cointégration. Les rendements servent au VAR, au GARCH et aux réseaux.</w:t>
      </w:r>
    </w:p>
    <w:p w14:paraId="219E5B7E">
      <w:pPr>
        <w:pStyle w:val="2"/>
        <w:keepNext/>
        <w:spacing w:before="360" w:after="200"/>
      </w:pPr>
      <w:r>
        <w:t>2. Analyse exploratoire</w:t>
      </w:r>
    </w:p>
    <w:p w14:paraId="50F6C43C">
      <w:pPr>
        <w:spacing w:after="120" w:line="276" w:lineRule="auto"/>
        <w:jc w:val="both"/>
      </w:pPr>
      <w:r>
        <w:t>Toute l’analyse exploratoire est faite sur l’apprentissage seulement.</w:t>
      </w:r>
    </w:p>
    <w:p w14:paraId="060CFDA2">
      <w:pPr>
        <w:pStyle w:val="3"/>
        <w:keepNext/>
      </w:pPr>
      <w:r>
        <w:t>2.1. Évolution des prix</w:t>
      </w:r>
    </w:p>
    <w:p w14:paraId="74369037">
      <w:pPr>
        <w:keepNext/>
        <w:spacing w:before="80" w:after="40"/>
        <w:jc w:val="center"/>
      </w:pPr>
      <w:r>
        <w:drawing>
          <wp:inline distT="0" distB="0" distL="0" distR="0">
            <wp:extent cx="5810250" cy="23717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0"/>
                    <a:srcRect/>
                    <a:stretch>
                      <a:fillRect/>
                    </a:stretch>
                  </pic:blipFill>
                  <pic:spPr>
                    <a:xfrm>
                      <a:off x="0" y="0"/>
                      <a:ext cx="5810250" cy="2371725"/>
                    </a:xfrm>
                    <a:prstGeom prst="rect">
                      <a:avLst/>
                    </a:prstGeom>
                  </pic:spPr>
                </pic:pic>
              </a:graphicData>
            </a:graphic>
          </wp:inline>
        </w:drawing>
      </w:r>
    </w:p>
    <w:p w14:paraId="23D04986">
      <w:pPr>
        <w:spacing w:before="40" w:after="160"/>
        <w:jc w:val="center"/>
      </w:pPr>
      <w:r>
        <w:rPr>
          <w:b/>
          <w:bCs/>
          <w:color w:val="1F3864"/>
          <w:sz w:val="19"/>
          <w:szCs w:val="19"/>
        </w:rPr>
        <w:t xml:space="preserve">Figure 2 : </w:t>
      </w:r>
      <w:r>
        <w:rPr>
          <w:color w:val="1F3864"/>
          <w:sz w:val="19"/>
          <w:szCs w:val="19"/>
        </w:rPr>
        <w:t>Prix de GLD et SLV en base 100</w:t>
      </w:r>
    </w:p>
    <w:p w14:paraId="70E8B1D0">
      <w:pPr>
        <w:spacing w:after="120" w:line="276" w:lineRule="auto"/>
        <w:jc w:val="both"/>
      </w:pPr>
      <w:r>
        <w:t>Les deux fonds suivent les mêmes grandes phases, mais SLV amplifie chaque mouvement et aucun des deux ne revient vers un niveau moyen fixe.</w:t>
      </w:r>
    </w:p>
    <w:p w14:paraId="3FE028BB">
      <w:pPr>
        <w:pStyle w:val="3"/>
        <w:keepNext/>
      </w:pPr>
      <w:r>
        <w:t>2.2. Rendements</w:t>
      </w:r>
    </w:p>
    <w:p w14:paraId="1FA2D490">
      <w:pPr>
        <w:keepNext/>
        <w:spacing w:before="80" w:after="40"/>
        <w:jc w:val="center"/>
      </w:pPr>
      <w:r>
        <w:drawing>
          <wp:inline distT="0" distB="0" distL="0" distR="0">
            <wp:extent cx="5810250" cy="33528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srcRect/>
                    <a:stretch>
                      <a:fillRect/>
                    </a:stretch>
                  </pic:blipFill>
                  <pic:spPr>
                    <a:xfrm>
                      <a:off x="0" y="0"/>
                      <a:ext cx="5810250" cy="3352800"/>
                    </a:xfrm>
                    <a:prstGeom prst="rect">
                      <a:avLst/>
                    </a:prstGeom>
                  </pic:spPr>
                </pic:pic>
              </a:graphicData>
            </a:graphic>
          </wp:inline>
        </w:drawing>
      </w:r>
    </w:p>
    <w:p w14:paraId="575BA530">
      <w:pPr>
        <w:spacing w:before="40" w:after="160"/>
        <w:jc w:val="center"/>
      </w:pPr>
      <w:r>
        <w:rPr>
          <w:b/>
          <w:bCs/>
          <w:color w:val="1F3864"/>
          <w:sz w:val="19"/>
          <w:szCs w:val="19"/>
        </w:rPr>
        <w:t xml:space="preserve">Figure 3 : </w:t>
      </w:r>
      <w:r>
        <w:rPr>
          <w:color w:val="1F3864"/>
          <w:sz w:val="19"/>
          <w:szCs w:val="19"/>
        </w:rPr>
        <w:t>Rendements logarithmiques quotidiens (%)</w:t>
      </w:r>
    </w:p>
    <w:p w14:paraId="33EB839C">
      <w:pPr>
        <w:spacing w:after="120" w:line="276" w:lineRule="auto"/>
        <w:jc w:val="both"/>
      </w:pPr>
      <w:r>
        <w:t>Les rendements varient autour de zéro, avec des périodes agitées (2011, 2013, 2020) et des périodes calmes.</w:t>
      </w:r>
    </w:p>
    <w:p w14:paraId="0A01A009">
      <w:pPr>
        <w:keepNext/>
        <w:spacing w:before="160" w:after="80"/>
      </w:pPr>
      <w:r>
        <w:rPr>
          <w:b/>
          <w:bCs/>
          <w:color w:val="1F3864"/>
          <w:sz w:val="20"/>
          <w:szCs w:val="20"/>
        </w:rPr>
        <w:t xml:space="preserve">Tableau 3 : </w:t>
      </w:r>
      <w:r>
        <w:rPr>
          <w:color w:val="1F3864"/>
          <w:sz w:val="20"/>
          <w:szCs w:val="20"/>
        </w:rPr>
        <w:t>Statistiques descriptives des rendements (%)</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7"/>
        <w:gridCol w:w="1253"/>
        <w:gridCol w:w="1349"/>
        <w:gridCol w:w="1349"/>
        <w:gridCol w:w="1349"/>
        <w:gridCol w:w="1446"/>
        <w:gridCol w:w="1735"/>
      </w:tblGrid>
      <w:tr w14:paraId="1201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5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366F984">
            <w:pPr>
              <w:keepNext/>
              <w:spacing w:after="0" w:line="240" w:lineRule="auto"/>
              <w:jc w:val="left"/>
            </w:pPr>
            <w:r>
              <w:rPr>
                <w:b/>
                <w:bCs/>
                <w:color w:val="FFFFFF"/>
                <w:sz w:val="18"/>
                <w:szCs w:val="18"/>
              </w:rPr>
              <w:t>Actif</w:t>
            </w:r>
          </w:p>
        </w:tc>
        <w:tc>
          <w:tcPr>
            <w:tcW w:w="1253"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B5CA85B">
            <w:pPr>
              <w:keepNext/>
              <w:spacing w:after="0" w:line="240" w:lineRule="auto"/>
              <w:jc w:val="center"/>
            </w:pPr>
            <w:r>
              <w:rPr>
                <w:b/>
                <w:bCs/>
                <w:color w:val="FFFFFF"/>
                <w:sz w:val="18"/>
                <w:szCs w:val="18"/>
              </w:rPr>
              <w:t>Moyenne</w:t>
            </w:r>
          </w:p>
        </w:tc>
        <w:tc>
          <w:tcPr>
            <w:tcW w:w="134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12F56AB">
            <w:pPr>
              <w:keepNext/>
              <w:spacing w:after="0" w:line="240" w:lineRule="auto"/>
              <w:jc w:val="center"/>
            </w:pPr>
            <w:r>
              <w:rPr>
                <w:b/>
                <w:bCs/>
                <w:color w:val="FFFFFF"/>
                <w:sz w:val="18"/>
                <w:szCs w:val="18"/>
              </w:rPr>
              <w:t>Écart-type</w:t>
            </w:r>
          </w:p>
        </w:tc>
        <w:tc>
          <w:tcPr>
            <w:tcW w:w="134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9191A9D">
            <w:pPr>
              <w:keepNext/>
              <w:spacing w:after="0" w:line="240" w:lineRule="auto"/>
              <w:jc w:val="center"/>
            </w:pPr>
            <w:r>
              <w:rPr>
                <w:b/>
                <w:bCs/>
                <w:color w:val="FFFFFF"/>
                <w:sz w:val="18"/>
                <w:szCs w:val="18"/>
              </w:rPr>
              <w:t>Minimum</w:t>
            </w:r>
          </w:p>
        </w:tc>
        <w:tc>
          <w:tcPr>
            <w:tcW w:w="134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86A536E">
            <w:pPr>
              <w:keepNext/>
              <w:spacing w:after="0" w:line="240" w:lineRule="auto"/>
              <w:jc w:val="center"/>
            </w:pPr>
            <w:r>
              <w:rPr>
                <w:b/>
                <w:bCs/>
                <w:color w:val="FFFFFF"/>
                <w:sz w:val="18"/>
                <w:szCs w:val="18"/>
              </w:rPr>
              <w:t>Maximum</w:t>
            </w:r>
          </w:p>
        </w:tc>
        <w:tc>
          <w:tcPr>
            <w:tcW w:w="144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6D18ED7">
            <w:pPr>
              <w:keepNext/>
              <w:spacing w:after="0" w:line="240" w:lineRule="auto"/>
              <w:jc w:val="center"/>
            </w:pPr>
            <w:r>
              <w:rPr>
                <w:b/>
                <w:bCs/>
                <w:color w:val="FFFFFF"/>
                <w:sz w:val="18"/>
                <w:szCs w:val="18"/>
              </w:rPr>
              <w:t>Asymétrie</w:t>
            </w:r>
          </w:p>
        </w:tc>
        <w:tc>
          <w:tcPr>
            <w:tcW w:w="1735"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BAE66E4">
            <w:pPr>
              <w:keepNext/>
              <w:spacing w:after="0" w:line="240" w:lineRule="auto"/>
              <w:jc w:val="center"/>
            </w:pPr>
            <w:r>
              <w:rPr>
                <w:b/>
                <w:bCs/>
                <w:color w:val="FFFFFF"/>
                <w:sz w:val="18"/>
                <w:szCs w:val="18"/>
              </w:rPr>
              <w:t>Excès de kurtosis</w:t>
            </w:r>
          </w:p>
        </w:tc>
      </w:tr>
      <w:tr w14:paraId="0FA9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8580316">
            <w:pPr>
              <w:keepNext/>
              <w:spacing w:after="0" w:line="240" w:lineRule="auto"/>
              <w:jc w:val="left"/>
            </w:pPr>
            <w:r>
              <w:rPr>
                <w:sz w:val="18"/>
                <w:szCs w:val="18"/>
              </w:rPr>
              <w:t>GLD</w:t>
            </w:r>
          </w:p>
        </w:tc>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26B5083">
            <w:pPr>
              <w:keepNext/>
              <w:spacing w:after="0" w:line="240" w:lineRule="auto"/>
              <w:jc w:val="center"/>
            </w:pPr>
            <w:r>
              <w:rPr>
                <w:sz w:val="18"/>
                <w:szCs w:val="18"/>
              </w:rPr>
              <w:t>0,0192</w:t>
            </w:r>
          </w:p>
        </w:tc>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7008A4E">
            <w:pPr>
              <w:keepNext/>
              <w:spacing w:after="0" w:line="240" w:lineRule="auto"/>
              <w:jc w:val="center"/>
            </w:pPr>
            <w:r>
              <w:rPr>
                <w:sz w:val="18"/>
                <w:szCs w:val="18"/>
              </w:rPr>
              <w:t>0,9773</w:t>
            </w:r>
          </w:p>
        </w:tc>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5AC44DA">
            <w:pPr>
              <w:keepNext/>
              <w:spacing w:after="0" w:line="240" w:lineRule="auto"/>
              <w:jc w:val="center"/>
            </w:pPr>
            <w:r>
              <w:rPr>
                <w:sz w:val="18"/>
                <w:szCs w:val="18"/>
              </w:rPr>
              <w:t>−9,19</w:t>
            </w:r>
          </w:p>
        </w:tc>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FFF3ED5">
            <w:pPr>
              <w:keepNext/>
              <w:spacing w:after="0" w:line="240" w:lineRule="auto"/>
              <w:jc w:val="center"/>
            </w:pPr>
            <w:r>
              <w:rPr>
                <w:sz w:val="18"/>
                <w:szCs w:val="18"/>
              </w:rPr>
              <w:t>4,79</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B5204F4">
            <w:pPr>
              <w:keepNext/>
              <w:spacing w:after="0" w:line="240" w:lineRule="auto"/>
              <w:jc w:val="center"/>
            </w:pPr>
            <w:r>
              <w:rPr>
                <w:sz w:val="18"/>
                <w:szCs w:val="18"/>
              </w:rPr>
              <w:t>−0,501</w:t>
            </w:r>
          </w:p>
        </w:tc>
        <w:tc>
          <w:tcPr>
            <w:tcW w:w="173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DCA3625">
            <w:pPr>
              <w:keepNext/>
              <w:spacing w:after="0" w:line="240" w:lineRule="auto"/>
              <w:jc w:val="center"/>
            </w:pPr>
            <w:r>
              <w:rPr>
                <w:sz w:val="18"/>
                <w:szCs w:val="18"/>
              </w:rPr>
              <w:t>4,996</w:t>
            </w:r>
          </w:p>
        </w:tc>
      </w:tr>
      <w:tr w14:paraId="0F8E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0088573">
            <w:pPr>
              <w:keepNext w:val="0"/>
              <w:spacing w:after="0" w:line="240" w:lineRule="auto"/>
              <w:jc w:val="left"/>
            </w:pPr>
            <w:r>
              <w:rPr>
                <w:sz w:val="18"/>
                <w:szCs w:val="18"/>
              </w:rPr>
              <w:t>SLV</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DCB0EFB">
            <w:pPr>
              <w:keepNext w:val="0"/>
              <w:spacing w:after="0" w:line="240" w:lineRule="auto"/>
              <w:jc w:val="center"/>
            </w:pPr>
            <w:r>
              <w:rPr>
                <w:sz w:val="18"/>
                <w:szCs w:val="18"/>
              </w:rPr>
              <w:t>0,0136</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B491593">
            <w:pPr>
              <w:keepNext w:val="0"/>
              <w:spacing w:after="0" w:line="240" w:lineRule="auto"/>
              <w:jc w:val="center"/>
            </w:pPr>
            <w:r>
              <w:rPr>
                <w:sz w:val="18"/>
                <w:szCs w:val="18"/>
              </w:rPr>
              <w:t>1,8208</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7F4FCDC">
            <w:pPr>
              <w:keepNext w:val="0"/>
              <w:spacing w:after="0" w:line="240" w:lineRule="auto"/>
              <w:jc w:val="center"/>
            </w:pPr>
            <w:r>
              <w:rPr>
                <w:sz w:val="18"/>
                <w:szCs w:val="18"/>
              </w:rPr>
              <w:t>−15,25</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1A72646">
            <w:pPr>
              <w:keepNext w:val="0"/>
              <w:spacing w:after="0" w:line="240" w:lineRule="auto"/>
              <w:jc w:val="center"/>
            </w:pPr>
            <w:r>
              <w:rPr>
                <w:sz w:val="18"/>
                <w:szCs w:val="18"/>
              </w:rPr>
              <w:t>8,75</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A9FED2C">
            <w:pPr>
              <w:keepNext w:val="0"/>
              <w:spacing w:after="0" w:line="240" w:lineRule="auto"/>
              <w:jc w:val="center"/>
            </w:pPr>
            <w:r>
              <w:rPr>
                <w:sz w:val="18"/>
                <w:szCs w:val="18"/>
              </w:rPr>
              <w:t>−0,717</w:t>
            </w:r>
          </w:p>
        </w:tc>
        <w:tc>
          <w:tcPr>
            <w:tcW w:w="173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865323D">
            <w:pPr>
              <w:keepNext w:val="0"/>
              <w:spacing w:after="0" w:line="240" w:lineRule="auto"/>
              <w:jc w:val="center"/>
            </w:pPr>
            <w:r>
              <w:rPr>
                <w:sz w:val="18"/>
                <w:szCs w:val="18"/>
              </w:rPr>
              <w:t>7,080</w:t>
            </w:r>
          </w:p>
        </w:tc>
      </w:tr>
    </w:tbl>
    <w:p w14:paraId="6466D2BF">
      <w:pPr>
        <w:spacing w:before="0" w:after="80"/>
      </w:pPr>
    </w:p>
    <w:p w14:paraId="1814B09B">
      <w:pPr>
        <w:spacing w:after="120" w:line="276" w:lineRule="auto"/>
        <w:jc w:val="both"/>
      </w:pPr>
      <w:r>
        <w:t>SLV est presque deux fois plus volatil que GLD (1,82 % contre 0,98 % par séance). Les deux distributions ont une asymétrie négative et des queues épaisses : les fortes baisses sont plus fréquentes qu’avec une loi normale. La corrélation entre les deux rendements est de 0,7907.</w:t>
      </w:r>
    </w:p>
    <w:p w14:paraId="0AB376FC">
      <w:pPr>
        <w:pStyle w:val="3"/>
        <w:keepNext/>
      </w:pPr>
      <w:r>
        <w:t>2.3. Stationnarité</w:t>
      </w:r>
    </w:p>
    <w:p w14:paraId="376EF214">
      <w:pPr>
        <w:spacing w:after="120" w:line="276" w:lineRule="auto"/>
        <w:jc w:val="both"/>
      </w:pPr>
      <w:r>
        <w:t>Le test ADF a pour hypothèse nulle la présence d’une racine unitaire, et le test KPSS la stationnarité. Les log-prix sont testés avec constante (c) et avec constante et tendance (ct).</w:t>
      </w:r>
    </w:p>
    <w:p w14:paraId="078179C0">
      <w:pPr>
        <w:keepNext/>
        <w:spacing w:before="160" w:after="80"/>
      </w:pPr>
      <w:r>
        <w:rPr>
          <w:b/>
          <w:bCs/>
          <w:color w:val="1F3864"/>
          <w:sz w:val="20"/>
          <w:szCs w:val="20"/>
        </w:rPr>
        <w:t xml:space="preserve">Tableau 4 : </w:t>
      </w:r>
      <w:r>
        <w:rPr>
          <w:color w:val="1F3864"/>
          <w:sz w:val="20"/>
          <w:szCs w:val="20"/>
        </w:rPr>
        <w:t>Tests ADF et KPSS (Python, avec contrôle en R)</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1"/>
        <w:gridCol w:w="1157"/>
        <w:gridCol w:w="675"/>
        <w:gridCol w:w="1060"/>
        <w:gridCol w:w="867"/>
        <w:gridCol w:w="1060"/>
        <w:gridCol w:w="867"/>
        <w:gridCol w:w="1542"/>
        <w:gridCol w:w="1639"/>
      </w:tblGrid>
      <w:tr w14:paraId="6261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7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EE4172F">
            <w:pPr>
              <w:keepNext/>
              <w:spacing w:after="0" w:line="240" w:lineRule="auto"/>
              <w:jc w:val="left"/>
            </w:pPr>
            <w:r>
              <w:rPr>
                <w:b/>
                <w:bCs/>
                <w:color w:val="FFFFFF"/>
                <w:sz w:val="18"/>
                <w:szCs w:val="18"/>
              </w:rPr>
              <w:t>Actif</w:t>
            </w:r>
          </w:p>
        </w:tc>
        <w:tc>
          <w:tcPr>
            <w:tcW w:w="115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020282B">
            <w:pPr>
              <w:keepNext/>
              <w:spacing w:after="0" w:line="240" w:lineRule="auto"/>
              <w:jc w:val="left"/>
            </w:pPr>
            <w:r>
              <w:rPr>
                <w:b/>
                <w:bCs/>
                <w:color w:val="FFFFFF"/>
                <w:sz w:val="18"/>
                <w:szCs w:val="18"/>
              </w:rPr>
              <w:t>Série</w:t>
            </w:r>
          </w:p>
        </w:tc>
        <w:tc>
          <w:tcPr>
            <w:tcW w:w="675"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4E6A40D">
            <w:pPr>
              <w:keepNext/>
              <w:spacing w:after="0" w:line="240" w:lineRule="auto"/>
              <w:jc w:val="center"/>
            </w:pPr>
            <w:r>
              <w:rPr>
                <w:b/>
                <w:bCs/>
                <w:color w:val="FFFFFF"/>
                <w:sz w:val="18"/>
                <w:szCs w:val="18"/>
              </w:rPr>
              <w:t>Spéc.</w:t>
            </w:r>
          </w:p>
        </w:tc>
        <w:tc>
          <w:tcPr>
            <w:tcW w:w="106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CC8E86D">
            <w:pPr>
              <w:keepNext/>
              <w:spacing w:after="0" w:line="240" w:lineRule="auto"/>
              <w:jc w:val="center"/>
            </w:pPr>
            <w:r>
              <w:rPr>
                <w:b/>
                <w:bCs/>
                <w:color w:val="FFFFFF"/>
                <w:sz w:val="18"/>
                <w:szCs w:val="18"/>
              </w:rPr>
              <w:t>ADF stat.</w:t>
            </w:r>
          </w:p>
        </w:tc>
        <w:tc>
          <w:tcPr>
            <w:tcW w:w="86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680B29D">
            <w:pPr>
              <w:keepNext/>
              <w:spacing w:after="0" w:line="240" w:lineRule="auto"/>
              <w:jc w:val="center"/>
            </w:pPr>
            <w:r>
              <w:rPr>
                <w:b/>
                <w:bCs/>
                <w:color w:val="FFFFFF"/>
                <w:sz w:val="18"/>
                <w:szCs w:val="18"/>
              </w:rPr>
              <w:t>ADF p</w:t>
            </w:r>
          </w:p>
        </w:tc>
        <w:tc>
          <w:tcPr>
            <w:tcW w:w="106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D1D7F93">
            <w:pPr>
              <w:keepNext/>
              <w:spacing w:after="0" w:line="240" w:lineRule="auto"/>
              <w:jc w:val="center"/>
            </w:pPr>
            <w:r>
              <w:rPr>
                <w:b/>
                <w:bCs/>
                <w:color w:val="FFFFFF"/>
                <w:sz w:val="18"/>
                <w:szCs w:val="18"/>
              </w:rPr>
              <w:t>KPSS stat.</w:t>
            </w:r>
          </w:p>
        </w:tc>
        <w:tc>
          <w:tcPr>
            <w:tcW w:w="86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1D4B826">
            <w:pPr>
              <w:keepNext/>
              <w:spacing w:after="0" w:line="240" w:lineRule="auto"/>
              <w:jc w:val="center"/>
            </w:pPr>
            <w:r>
              <w:rPr>
                <w:b/>
                <w:bCs/>
                <w:color w:val="FFFFFF"/>
                <w:sz w:val="18"/>
                <w:szCs w:val="18"/>
              </w:rPr>
              <w:t>KPSS p</w:t>
            </w:r>
          </w:p>
        </w:tc>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7DEACC4">
            <w:pPr>
              <w:keepNext/>
              <w:spacing w:after="0" w:line="240" w:lineRule="auto"/>
              <w:jc w:val="left"/>
            </w:pPr>
            <w:r>
              <w:rPr>
                <w:b/>
                <w:bCs/>
                <w:color w:val="FFFFFF"/>
                <w:sz w:val="18"/>
                <w:szCs w:val="18"/>
              </w:rPr>
              <w:t>Conclusion</w:t>
            </w:r>
          </w:p>
        </w:tc>
        <w:tc>
          <w:tcPr>
            <w:tcW w:w="163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6355574">
            <w:pPr>
              <w:keepNext/>
              <w:spacing w:after="0" w:line="240" w:lineRule="auto"/>
              <w:jc w:val="center"/>
            </w:pPr>
            <w:r>
              <w:rPr>
                <w:b/>
                <w:bCs/>
                <w:color w:val="FFFFFF"/>
                <w:sz w:val="18"/>
                <w:szCs w:val="18"/>
              </w:rPr>
              <w:t>R : ADF p / KPSS p</w:t>
            </w:r>
          </w:p>
        </w:tc>
      </w:tr>
      <w:tr w14:paraId="73C7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47FC315">
            <w:pPr>
              <w:keepNext/>
              <w:spacing w:after="0" w:line="240" w:lineRule="auto"/>
              <w:jc w:val="left"/>
            </w:pPr>
            <w:r>
              <w:rPr>
                <w:sz w:val="18"/>
                <w:szCs w:val="18"/>
              </w:rPr>
              <w:t>GLD</w:t>
            </w:r>
          </w:p>
        </w:tc>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8880673">
            <w:pPr>
              <w:keepNext/>
              <w:spacing w:after="0" w:line="240" w:lineRule="auto"/>
              <w:jc w:val="left"/>
            </w:pPr>
            <w:r>
              <w:rPr>
                <w:sz w:val="18"/>
                <w:szCs w:val="18"/>
              </w:rPr>
              <w:t>Log-prix</w:t>
            </w:r>
          </w:p>
        </w:tc>
        <w:tc>
          <w:tcPr>
            <w:tcW w:w="67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8FE50A2">
            <w:pPr>
              <w:keepNext/>
              <w:spacing w:after="0" w:line="240" w:lineRule="auto"/>
              <w:jc w:val="center"/>
            </w:pPr>
            <w:r>
              <w:rPr>
                <w:sz w:val="18"/>
                <w:szCs w:val="18"/>
              </w:rPr>
              <w:t>c</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642E280">
            <w:pPr>
              <w:keepNext/>
              <w:spacing w:after="0" w:line="240" w:lineRule="auto"/>
              <w:jc w:val="center"/>
            </w:pPr>
            <w:r>
              <w:rPr>
                <w:sz w:val="18"/>
                <w:szCs w:val="18"/>
              </w:rPr>
              <w:t>−0,97</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3B26CF2">
            <w:pPr>
              <w:keepNext/>
              <w:spacing w:after="0" w:line="240" w:lineRule="auto"/>
              <w:jc w:val="center"/>
            </w:pPr>
            <w:r>
              <w:rPr>
                <w:sz w:val="18"/>
                <w:szCs w:val="18"/>
              </w:rPr>
              <w:t>0,764</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0EA8B93">
            <w:pPr>
              <w:keepNext/>
              <w:spacing w:after="0" w:line="240" w:lineRule="auto"/>
              <w:jc w:val="center"/>
            </w:pPr>
            <w:r>
              <w:rPr>
                <w:sz w:val="18"/>
                <w:szCs w:val="18"/>
              </w:rPr>
              <w:t>3,439</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95059B2">
            <w:pPr>
              <w:keepNext/>
              <w:spacing w:after="0" w:line="240" w:lineRule="auto"/>
              <w:jc w:val="center"/>
            </w:pPr>
            <w:r>
              <w:rPr>
                <w:sz w:val="18"/>
                <w:szCs w:val="18"/>
              </w:rPr>
              <w:t>≤ 0,01</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75C7EDA">
            <w:pPr>
              <w:keepNext/>
              <w:spacing w:after="0" w:line="240" w:lineRule="auto"/>
              <w:jc w:val="left"/>
            </w:pPr>
            <w:r>
              <w:rPr>
                <w:sz w:val="18"/>
                <w:szCs w:val="18"/>
              </w:rPr>
              <w:t>Non stationnaire</w:t>
            </w:r>
          </w:p>
        </w:tc>
        <w:tc>
          <w:tcPr>
            <w:tcW w:w="163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89AF12F">
            <w:pPr>
              <w:keepNext/>
              <w:spacing w:after="0" w:line="240" w:lineRule="auto"/>
              <w:jc w:val="center"/>
            </w:pPr>
            <w:r>
              <w:rPr>
                <w:sz w:val="18"/>
                <w:szCs w:val="18"/>
              </w:rPr>
              <w:t>0,84 / ≤ 0,01</w:t>
            </w:r>
          </w:p>
        </w:tc>
      </w:tr>
      <w:tr w14:paraId="0AA6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A982AD1">
            <w:pPr>
              <w:keepNext/>
              <w:spacing w:after="0" w:line="240" w:lineRule="auto"/>
              <w:jc w:val="left"/>
            </w:pPr>
            <w:r>
              <w:rPr>
                <w:sz w:val="18"/>
                <w:szCs w:val="18"/>
              </w:rPr>
              <w:t>GLD</w:t>
            </w:r>
          </w:p>
        </w:tc>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8BFC5DF">
            <w:pPr>
              <w:keepNext/>
              <w:spacing w:after="0" w:line="240" w:lineRule="auto"/>
              <w:jc w:val="left"/>
            </w:pPr>
            <w:r>
              <w:rPr>
                <w:sz w:val="18"/>
                <w:szCs w:val="18"/>
              </w:rPr>
              <w:t>Log-prix</w:t>
            </w:r>
          </w:p>
        </w:tc>
        <w:tc>
          <w:tcPr>
            <w:tcW w:w="67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661D910">
            <w:pPr>
              <w:keepNext/>
              <w:spacing w:after="0" w:line="240" w:lineRule="auto"/>
              <w:jc w:val="center"/>
            </w:pPr>
            <w:r>
              <w:rPr>
                <w:sz w:val="18"/>
                <w:szCs w:val="18"/>
              </w:rPr>
              <w:t>ct</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724A6B9">
            <w:pPr>
              <w:keepNext/>
              <w:spacing w:after="0" w:line="240" w:lineRule="auto"/>
              <w:jc w:val="center"/>
            </w:pPr>
            <w:r>
              <w:rPr>
                <w:sz w:val="18"/>
                <w:szCs w:val="18"/>
              </w:rPr>
              <w:t>−1,46</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3982648">
            <w:pPr>
              <w:keepNext/>
              <w:spacing w:after="0" w:line="240" w:lineRule="auto"/>
              <w:jc w:val="center"/>
            </w:pPr>
            <w:r>
              <w:rPr>
                <w:sz w:val="18"/>
                <w:szCs w:val="18"/>
              </w:rPr>
              <w:t>0,841</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1500ED8">
            <w:pPr>
              <w:keepNext/>
              <w:spacing w:after="0" w:line="240" w:lineRule="auto"/>
              <w:jc w:val="center"/>
            </w:pPr>
            <w:r>
              <w:rPr>
                <w:sz w:val="18"/>
                <w:szCs w:val="18"/>
              </w:rPr>
              <w:t>1,536</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8655CE7">
            <w:pPr>
              <w:keepNext/>
              <w:spacing w:after="0" w:line="240" w:lineRule="auto"/>
              <w:jc w:val="center"/>
            </w:pPr>
            <w:r>
              <w:rPr>
                <w:sz w:val="18"/>
                <w:szCs w:val="18"/>
              </w:rPr>
              <w:t>≤ 0,01</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197890A">
            <w:pPr>
              <w:keepNext/>
              <w:spacing w:after="0" w:line="240" w:lineRule="auto"/>
              <w:jc w:val="left"/>
            </w:pPr>
            <w:r>
              <w:rPr>
                <w:sz w:val="18"/>
                <w:szCs w:val="18"/>
              </w:rPr>
              <w:t>Non stationnaire</w:t>
            </w:r>
          </w:p>
        </w:tc>
        <w:tc>
          <w:tcPr>
            <w:tcW w:w="163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C7D45E4">
            <w:pPr>
              <w:keepNext/>
              <w:spacing w:after="0" w:line="240" w:lineRule="auto"/>
              <w:jc w:val="center"/>
            </w:pPr>
          </w:p>
        </w:tc>
      </w:tr>
      <w:tr w14:paraId="5B98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148E32A">
            <w:pPr>
              <w:keepNext/>
              <w:spacing w:after="0" w:line="240" w:lineRule="auto"/>
              <w:jc w:val="left"/>
            </w:pPr>
            <w:r>
              <w:rPr>
                <w:sz w:val="18"/>
                <w:szCs w:val="18"/>
              </w:rPr>
              <w:t>GLD</w:t>
            </w:r>
          </w:p>
        </w:tc>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57EE3BB">
            <w:pPr>
              <w:keepNext/>
              <w:spacing w:after="0" w:line="240" w:lineRule="auto"/>
              <w:jc w:val="left"/>
            </w:pPr>
            <w:r>
              <w:rPr>
                <w:sz w:val="18"/>
                <w:szCs w:val="18"/>
              </w:rPr>
              <w:t>Rendement</w:t>
            </w:r>
          </w:p>
        </w:tc>
        <w:tc>
          <w:tcPr>
            <w:tcW w:w="67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03A9DFE">
            <w:pPr>
              <w:keepNext/>
              <w:spacing w:after="0" w:line="240" w:lineRule="auto"/>
              <w:jc w:val="center"/>
            </w:pPr>
            <w:r>
              <w:rPr>
                <w:sz w:val="18"/>
                <w:szCs w:val="18"/>
              </w:rPr>
              <w:t>c</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F25E5FA">
            <w:pPr>
              <w:keepNext/>
              <w:spacing w:after="0" w:line="240" w:lineRule="auto"/>
              <w:jc w:val="center"/>
            </w:pPr>
            <w:r>
              <w:rPr>
                <w:sz w:val="18"/>
                <w:szCs w:val="18"/>
              </w:rPr>
              <w:t>−60,61</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C666E39">
            <w:pPr>
              <w:keepNext/>
              <w:spacing w:after="0" w:line="240" w:lineRule="auto"/>
              <w:jc w:val="center"/>
            </w:pPr>
            <w:r>
              <w:rPr>
                <w:sz w:val="18"/>
                <w:szCs w:val="18"/>
              </w:rPr>
              <w:t>&lt; 0,0001</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EFB71D9">
            <w:pPr>
              <w:keepNext/>
              <w:spacing w:after="0" w:line="240" w:lineRule="auto"/>
              <w:jc w:val="center"/>
            </w:pPr>
            <w:r>
              <w:rPr>
                <w:sz w:val="18"/>
                <w:szCs w:val="18"/>
              </w:rPr>
              <w:t>0,138</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4F95444">
            <w:pPr>
              <w:keepNext/>
              <w:spacing w:after="0" w:line="240" w:lineRule="auto"/>
              <w:jc w:val="center"/>
            </w:pPr>
            <w:r>
              <w:rPr>
                <w:sz w:val="18"/>
                <w:szCs w:val="18"/>
              </w:rPr>
              <w:t>≥ 0,10</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F63FA1C">
            <w:pPr>
              <w:keepNext/>
              <w:spacing w:after="0" w:line="240" w:lineRule="auto"/>
              <w:jc w:val="left"/>
            </w:pPr>
            <w:r>
              <w:rPr>
                <w:sz w:val="18"/>
                <w:szCs w:val="18"/>
              </w:rPr>
              <w:t>Stationnaire</w:t>
            </w:r>
          </w:p>
        </w:tc>
        <w:tc>
          <w:tcPr>
            <w:tcW w:w="163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204BB74">
            <w:pPr>
              <w:keepNext/>
              <w:spacing w:after="0" w:line="240" w:lineRule="auto"/>
              <w:jc w:val="center"/>
            </w:pPr>
            <w:r>
              <w:rPr>
                <w:sz w:val="18"/>
                <w:szCs w:val="18"/>
              </w:rPr>
              <w:t>0,01 / ≥ 0,10</w:t>
            </w:r>
          </w:p>
        </w:tc>
      </w:tr>
      <w:tr w14:paraId="6F90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8C3A27E">
            <w:pPr>
              <w:keepNext/>
              <w:spacing w:after="0" w:line="240" w:lineRule="auto"/>
              <w:jc w:val="left"/>
            </w:pPr>
            <w:r>
              <w:rPr>
                <w:sz w:val="18"/>
                <w:szCs w:val="18"/>
              </w:rPr>
              <w:t>SLV</w:t>
            </w:r>
          </w:p>
        </w:tc>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DA4616E">
            <w:pPr>
              <w:keepNext/>
              <w:spacing w:after="0" w:line="240" w:lineRule="auto"/>
              <w:jc w:val="left"/>
            </w:pPr>
            <w:r>
              <w:rPr>
                <w:sz w:val="18"/>
                <w:szCs w:val="18"/>
              </w:rPr>
              <w:t>Log-prix</w:t>
            </w:r>
          </w:p>
        </w:tc>
        <w:tc>
          <w:tcPr>
            <w:tcW w:w="67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1748355">
            <w:pPr>
              <w:keepNext/>
              <w:spacing w:after="0" w:line="240" w:lineRule="auto"/>
              <w:jc w:val="center"/>
            </w:pPr>
            <w:r>
              <w:rPr>
                <w:sz w:val="18"/>
                <w:szCs w:val="18"/>
              </w:rPr>
              <w:t>c</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F9E1897">
            <w:pPr>
              <w:keepNext/>
              <w:spacing w:after="0" w:line="240" w:lineRule="auto"/>
              <w:jc w:val="center"/>
            </w:pPr>
            <w:r>
              <w:rPr>
                <w:sz w:val="18"/>
                <w:szCs w:val="18"/>
              </w:rPr>
              <w:t>−1,85</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61089CD">
            <w:pPr>
              <w:keepNext/>
              <w:spacing w:after="0" w:line="240" w:lineRule="auto"/>
              <w:jc w:val="center"/>
            </w:pPr>
            <w:r>
              <w:rPr>
                <w:sz w:val="18"/>
                <w:szCs w:val="18"/>
              </w:rPr>
              <w:t>0,356</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A949690">
            <w:pPr>
              <w:keepNext/>
              <w:spacing w:after="0" w:line="240" w:lineRule="auto"/>
              <w:jc w:val="center"/>
            </w:pPr>
            <w:r>
              <w:rPr>
                <w:sz w:val="18"/>
                <w:szCs w:val="18"/>
              </w:rPr>
              <w:t>1,970</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98F1F73">
            <w:pPr>
              <w:keepNext/>
              <w:spacing w:after="0" w:line="240" w:lineRule="auto"/>
              <w:jc w:val="center"/>
            </w:pPr>
            <w:r>
              <w:rPr>
                <w:sz w:val="18"/>
                <w:szCs w:val="18"/>
              </w:rPr>
              <w:t>≤ 0,01</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7FC316E">
            <w:pPr>
              <w:keepNext/>
              <w:spacing w:after="0" w:line="240" w:lineRule="auto"/>
              <w:jc w:val="left"/>
            </w:pPr>
            <w:r>
              <w:rPr>
                <w:sz w:val="18"/>
                <w:szCs w:val="18"/>
              </w:rPr>
              <w:t>Non stationnaire</w:t>
            </w:r>
          </w:p>
        </w:tc>
        <w:tc>
          <w:tcPr>
            <w:tcW w:w="163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A104285">
            <w:pPr>
              <w:keepNext/>
              <w:spacing w:after="0" w:line="240" w:lineRule="auto"/>
              <w:jc w:val="center"/>
            </w:pPr>
            <w:r>
              <w:rPr>
                <w:sz w:val="18"/>
                <w:szCs w:val="18"/>
              </w:rPr>
              <w:t>0,64 / ≤ 0,01</w:t>
            </w:r>
          </w:p>
        </w:tc>
      </w:tr>
      <w:tr w14:paraId="29CD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B7F7902">
            <w:pPr>
              <w:keepNext/>
              <w:spacing w:after="0" w:line="240" w:lineRule="auto"/>
              <w:jc w:val="left"/>
            </w:pPr>
            <w:r>
              <w:rPr>
                <w:sz w:val="18"/>
                <w:szCs w:val="18"/>
              </w:rPr>
              <w:t>SLV</w:t>
            </w:r>
          </w:p>
        </w:tc>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DB894B9">
            <w:pPr>
              <w:keepNext/>
              <w:spacing w:after="0" w:line="240" w:lineRule="auto"/>
              <w:jc w:val="left"/>
            </w:pPr>
            <w:r>
              <w:rPr>
                <w:sz w:val="18"/>
                <w:szCs w:val="18"/>
              </w:rPr>
              <w:t>Log-prix</w:t>
            </w:r>
          </w:p>
        </w:tc>
        <w:tc>
          <w:tcPr>
            <w:tcW w:w="67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8570B8D">
            <w:pPr>
              <w:keepNext/>
              <w:spacing w:after="0" w:line="240" w:lineRule="auto"/>
              <w:jc w:val="center"/>
            </w:pPr>
            <w:r>
              <w:rPr>
                <w:sz w:val="18"/>
                <w:szCs w:val="18"/>
              </w:rPr>
              <w:t>ct</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51D2D8B">
            <w:pPr>
              <w:keepNext/>
              <w:spacing w:after="0" w:line="240" w:lineRule="auto"/>
              <w:jc w:val="center"/>
            </w:pPr>
            <w:r>
              <w:rPr>
                <w:sz w:val="18"/>
                <w:szCs w:val="18"/>
              </w:rPr>
              <w:t>−1,82</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882CEE4">
            <w:pPr>
              <w:keepNext/>
              <w:spacing w:after="0" w:line="240" w:lineRule="auto"/>
              <w:jc w:val="center"/>
            </w:pPr>
            <w:r>
              <w:rPr>
                <w:sz w:val="18"/>
                <w:szCs w:val="18"/>
              </w:rPr>
              <w:t>0,693</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576B05F">
            <w:pPr>
              <w:keepNext/>
              <w:spacing w:after="0" w:line="240" w:lineRule="auto"/>
              <w:jc w:val="center"/>
            </w:pPr>
            <w:r>
              <w:rPr>
                <w:sz w:val="18"/>
                <w:szCs w:val="18"/>
              </w:rPr>
              <w:t>1,309</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F029D64">
            <w:pPr>
              <w:keepNext/>
              <w:spacing w:after="0" w:line="240" w:lineRule="auto"/>
              <w:jc w:val="center"/>
            </w:pPr>
            <w:r>
              <w:rPr>
                <w:sz w:val="18"/>
                <w:szCs w:val="18"/>
              </w:rPr>
              <w:t>≤ 0,01</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06BF793">
            <w:pPr>
              <w:keepNext/>
              <w:spacing w:after="0" w:line="240" w:lineRule="auto"/>
              <w:jc w:val="left"/>
            </w:pPr>
            <w:r>
              <w:rPr>
                <w:sz w:val="18"/>
                <w:szCs w:val="18"/>
              </w:rPr>
              <w:t>Non stationnaire</w:t>
            </w:r>
          </w:p>
        </w:tc>
        <w:tc>
          <w:tcPr>
            <w:tcW w:w="163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1035E0C">
            <w:pPr>
              <w:keepNext/>
              <w:spacing w:after="0" w:line="240" w:lineRule="auto"/>
              <w:jc w:val="center"/>
            </w:pPr>
          </w:p>
        </w:tc>
      </w:tr>
      <w:tr w14:paraId="5B4E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F24D4EF">
            <w:pPr>
              <w:keepNext w:val="0"/>
              <w:spacing w:after="0" w:line="240" w:lineRule="auto"/>
              <w:jc w:val="left"/>
            </w:pPr>
            <w:r>
              <w:rPr>
                <w:sz w:val="18"/>
                <w:szCs w:val="18"/>
              </w:rPr>
              <w:t>SLV</w:t>
            </w:r>
          </w:p>
        </w:tc>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771EFBF">
            <w:pPr>
              <w:keepNext w:val="0"/>
              <w:spacing w:after="0" w:line="240" w:lineRule="auto"/>
              <w:jc w:val="left"/>
            </w:pPr>
            <w:r>
              <w:rPr>
                <w:sz w:val="18"/>
                <w:szCs w:val="18"/>
              </w:rPr>
              <w:t>Rendement</w:t>
            </w:r>
          </w:p>
        </w:tc>
        <w:tc>
          <w:tcPr>
            <w:tcW w:w="67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EEDF99A">
            <w:pPr>
              <w:keepNext w:val="0"/>
              <w:spacing w:after="0" w:line="240" w:lineRule="auto"/>
              <w:jc w:val="center"/>
            </w:pPr>
            <w:r>
              <w:rPr>
                <w:sz w:val="18"/>
                <w:szCs w:val="18"/>
              </w:rPr>
              <w:t>c</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EA170CB">
            <w:pPr>
              <w:keepNext w:val="0"/>
              <w:spacing w:after="0" w:line="240" w:lineRule="auto"/>
              <w:jc w:val="center"/>
            </w:pPr>
            <w:r>
              <w:rPr>
                <w:sz w:val="18"/>
                <w:szCs w:val="18"/>
              </w:rPr>
              <w:t>−59,03</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7DA4DB9">
            <w:pPr>
              <w:keepNext w:val="0"/>
              <w:spacing w:after="0" w:line="240" w:lineRule="auto"/>
              <w:jc w:val="center"/>
            </w:pPr>
            <w:r>
              <w:rPr>
                <w:sz w:val="18"/>
                <w:szCs w:val="18"/>
              </w:rPr>
              <w:t>&lt; 0,0001</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9FEA5D0">
            <w:pPr>
              <w:keepNext w:val="0"/>
              <w:spacing w:after="0" w:line="240" w:lineRule="auto"/>
              <w:jc w:val="center"/>
            </w:pPr>
            <w:r>
              <w:rPr>
                <w:sz w:val="18"/>
                <w:szCs w:val="18"/>
              </w:rPr>
              <w:t>0,101</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92BC675">
            <w:pPr>
              <w:keepNext w:val="0"/>
              <w:spacing w:after="0" w:line="240" w:lineRule="auto"/>
              <w:jc w:val="center"/>
            </w:pPr>
            <w:r>
              <w:rPr>
                <w:sz w:val="18"/>
                <w:szCs w:val="18"/>
              </w:rPr>
              <w:t>≥ 0,10</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FFA353D">
            <w:pPr>
              <w:keepNext w:val="0"/>
              <w:spacing w:after="0" w:line="240" w:lineRule="auto"/>
              <w:jc w:val="left"/>
            </w:pPr>
            <w:r>
              <w:rPr>
                <w:sz w:val="18"/>
                <w:szCs w:val="18"/>
              </w:rPr>
              <w:t>Stationnaire</w:t>
            </w:r>
          </w:p>
        </w:tc>
        <w:tc>
          <w:tcPr>
            <w:tcW w:w="163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7D58601">
            <w:pPr>
              <w:keepNext w:val="0"/>
              <w:spacing w:after="0" w:line="240" w:lineRule="auto"/>
              <w:jc w:val="center"/>
            </w:pPr>
            <w:r>
              <w:rPr>
                <w:sz w:val="18"/>
                <w:szCs w:val="18"/>
              </w:rPr>
              <w:t>0,01 / ≥ 0,10</w:t>
            </w:r>
          </w:p>
        </w:tc>
      </w:tr>
    </w:tbl>
    <w:p w14:paraId="3755D579">
      <w:pPr>
        <w:spacing w:before="0" w:after="80"/>
      </w:pPr>
    </w:p>
    <w:p w14:paraId="30F5D59E">
      <w:pPr>
        <w:spacing w:after="120" w:line="276" w:lineRule="auto"/>
        <w:jc w:val="both"/>
      </w:pPr>
      <w:r>
        <w:t>Les log-prix ne sont pas stationnaires et les rendements le sont, en Python comme en R. Les log-prix sont donc intégrés d’ordre 1, ce qui justifie d = 1 dans l’ARIMA.</w:t>
      </w:r>
    </w:p>
    <w:p w14:paraId="06F5F62C">
      <w:pPr>
        <w:pStyle w:val="3"/>
        <w:keepNext/>
      </w:pPr>
      <w:r>
        <w:t>2.4. Autocorrélations</w:t>
      </w:r>
    </w:p>
    <w:p w14:paraId="383A429C">
      <w:pPr>
        <w:keepNext/>
        <w:spacing w:before="60" w:after="0"/>
        <w:jc w:val="center"/>
      </w:pPr>
      <w:r>
        <w:rPr>
          <w:b/>
          <w:bCs/>
          <w:color w:val="1F3864"/>
          <w:sz w:val="18"/>
          <w:szCs w:val="18"/>
        </w:rPr>
        <w:t>GLD</w:t>
      </w:r>
    </w:p>
    <w:p w14:paraId="7A611D8A">
      <w:pPr>
        <w:keepNext/>
        <w:spacing w:before="80" w:after="40"/>
        <w:jc w:val="center"/>
      </w:pPr>
      <w:r>
        <w:drawing>
          <wp:inline distT="0" distB="0" distL="0" distR="0">
            <wp:extent cx="4476750" cy="29622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2"/>
                    <a:srcRect/>
                    <a:stretch>
                      <a:fillRect/>
                    </a:stretch>
                  </pic:blipFill>
                  <pic:spPr>
                    <a:xfrm>
                      <a:off x="0" y="0"/>
                      <a:ext cx="4476750" cy="2962275"/>
                    </a:xfrm>
                    <a:prstGeom prst="rect">
                      <a:avLst/>
                    </a:prstGeom>
                  </pic:spPr>
                </pic:pic>
              </a:graphicData>
            </a:graphic>
          </wp:inline>
        </w:drawing>
      </w:r>
    </w:p>
    <w:p w14:paraId="36898BFA">
      <w:pPr>
        <w:keepNext/>
        <w:spacing w:before="60" w:after="0"/>
        <w:jc w:val="center"/>
      </w:pPr>
      <w:r>
        <w:rPr>
          <w:b/>
          <w:bCs/>
          <w:color w:val="1F3864"/>
          <w:sz w:val="18"/>
          <w:szCs w:val="18"/>
        </w:rPr>
        <w:t>SLV</w:t>
      </w:r>
    </w:p>
    <w:p w14:paraId="60831F03">
      <w:pPr>
        <w:keepNext/>
        <w:spacing w:before="80" w:after="40"/>
        <w:jc w:val="center"/>
      </w:pPr>
      <w:r>
        <w:drawing>
          <wp:inline distT="0" distB="0" distL="0" distR="0">
            <wp:extent cx="4476750" cy="29622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3"/>
                    <a:srcRect/>
                    <a:stretch>
                      <a:fillRect/>
                    </a:stretch>
                  </pic:blipFill>
                  <pic:spPr>
                    <a:xfrm>
                      <a:off x="0" y="0"/>
                      <a:ext cx="4476750" cy="2962275"/>
                    </a:xfrm>
                    <a:prstGeom prst="rect">
                      <a:avLst/>
                    </a:prstGeom>
                  </pic:spPr>
                </pic:pic>
              </a:graphicData>
            </a:graphic>
          </wp:inline>
        </w:drawing>
      </w:r>
    </w:p>
    <w:p w14:paraId="5C068EE0">
      <w:pPr>
        <w:spacing w:before="40" w:after="160"/>
        <w:jc w:val="center"/>
      </w:pPr>
      <w:r>
        <w:rPr>
          <w:b/>
          <w:bCs/>
          <w:color w:val="1F3864"/>
          <w:sz w:val="19"/>
          <w:szCs w:val="19"/>
        </w:rPr>
        <w:t xml:space="preserve">Figure 4 : </w:t>
      </w:r>
      <w:r>
        <w:rPr>
          <w:color w:val="1F3864"/>
          <w:sz w:val="19"/>
          <w:szCs w:val="19"/>
        </w:rPr>
        <w:t>ACF et PACF des log-prix (en haut) et des rendements (en bas)</w:t>
      </w:r>
    </w:p>
    <w:p w14:paraId="255C21D3">
      <w:pPr>
        <w:spacing w:after="120" w:line="276" w:lineRule="auto"/>
        <w:jc w:val="both"/>
      </w:pPr>
      <w:r>
        <w:t>L’ACF des log-prix décroît très lentement alors que celle des rendements est presque nulle, ce qui est typique d’une marche aléatoire.</w:t>
      </w:r>
    </w:p>
    <w:p w14:paraId="296C2988">
      <w:pPr>
        <w:spacing w:after="120" w:line="276" w:lineRule="auto"/>
        <w:jc w:val="both"/>
      </w:pPr>
      <w:r>
        <w:t>Aucun des dix premiers retards n’est significatif pour GLD. Pour SLV, seule la PACF au retard 10 l’est légèrement, ce qui peut être dû au hasard. Le premier modèle candidat est donc ARIMA(0,1,0).</w:t>
      </w:r>
    </w:p>
    <w:p w14:paraId="6736DCB4">
      <w:pPr>
        <w:pStyle w:val="3"/>
        <w:keepNext/>
      </w:pPr>
      <w:r>
        <w:t>2.5. Valeurs extrêmes</w:t>
      </w:r>
    </w:p>
    <w:p w14:paraId="7DF86474">
      <w:pPr>
        <w:spacing w:after="120" w:line="276" w:lineRule="auto"/>
        <w:jc w:val="both"/>
      </w:pPr>
      <w:r>
        <w:t>La règle de l’écart interquartile signale 170 rendements extrêmes pour GLD (4,70 %) et 229 pour SLV (6,33 %). Les plus fortes variations sont des baisses : −9,19 % pour GLD le 15/04/2013 et −15,25 % pour SLV le 23/09/2011. Trois dates sont communes aux deux actifs : 23/09/2011, 15/04/2013 et 11/08/2020. Ces valeurs sont réelles, donc nous les gardons. Elles justifient l’usage d’une loi de Student dans le GARCH.</w:t>
      </w:r>
    </w:p>
    <w:p w14:paraId="31613D1C">
      <w:pPr>
        <w:pStyle w:val="3"/>
        <w:keepNext/>
      </w:pPr>
      <w:r>
        <w:t>2.6. Saisonnalité</w:t>
      </w:r>
    </w:p>
    <w:p w14:paraId="53379F99">
      <w:pPr>
        <w:keepNext/>
        <w:spacing w:before="60" w:after="0"/>
        <w:jc w:val="center"/>
      </w:pPr>
      <w:r>
        <w:rPr>
          <w:b/>
          <w:bCs/>
          <w:color w:val="1F3864"/>
          <w:sz w:val="18"/>
          <w:szCs w:val="18"/>
        </w:rPr>
        <w:t>GLD</w:t>
      </w:r>
    </w:p>
    <w:p w14:paraId="16B99D8F">
      <w:pPr>
        <w:keepNext/>
        <w:spacing w:before="80" w:after="40"/>
        <w:jc w:val="center"/>
      </w:pPr>
      <w:r>
        <w:drawing>
          <wp:inline distT="0" distB="0" distL="0" distR="0">
            <wp:extent cx="4476750" cy="30861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4"/>
                    <a:srcRect/>
                    <a:stretch>
                      <a:fillRect/>
                    </a:stretch>
                  </pic:blipFill>
                  <pic:spPr>
                    <a:xfrm>
                      <a:off x="0" y="0"/>
                      <a:ext cx="4476750" cy="3086100"/>
                    </a:xfrm>
                    <a:prstGeom prst="rect">
                      <a:avLst/>
                    </a:prstGeom>
                  </pic:spPr>
                </pic:pic>
              </a:graphicData>
            </a:graphic>
          </wp:inline>
        </w:drawing>
      </w:r>
    </w:p>
    <w:p w14:paraId="6AB3F459">
      <w:pPr>
        <w:keepNext/>
        <w:spacing w:before="60" w:after="0"/>
        <w:jc w:val="center"/>
      </w:pPr>
      <w:r>
        <w:rPr>
          <w:b/>
          <w:bCs/>
          <w:color w:val="1F3864"/>
          <w:sz w:val="18"/>
          <w:szCs w:val="18"/>
        </w:rPr>
        <w:t>SLV</w:t>
      </w:r>
    </w:p>
    <w:p w14:paraId="0C2BECA6">
      <w:pPr>
        <w:keepNext/>
        <w:spacing w:before="80" w:after="40"/>
        <w:jc w:val="center"/>
      </w:pPr>
      <w:r>
        <w:drawing>
          <wp:inline distT="0" distB="0" distL="0" distR="0">
            <wp:extent cx="4476750" cy="30861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5"/>
                    <a:srcRect/>
                    <a:stretch>
                      <a:fillRect/>
                    </a:stretch>
                  </pic:blipFill>
                  <pic:spPr>
                    <a:xfrm>
                      <a:off x="0" y="0"/>
                      <a:ext cx="4476750" cy="3086100"/>
                    </a:xfrm>
                    <a:prstGeom prst="rect">
                      <a:avLst/>
                    </a:prstGeom>
                  </pic:spPr>
                </pic:pic>
              </a:graphicData>
            </a:graphic>
          </wp:inline>
        </w:drawing>
      </w:r>
    </w:p>
    <w:p w14:paraId="3D8A725F">
      <w:pPr>
        <w:spacing w:before="40" w:after="160"/>
        <w:jc w:val="center"/>
      </w:pPr>
      <w:r>
        <w:rPr>
          <w:b/>
          <w:bCs/>
          <w:color w:val="1F3864"/>
          <w:sz w:val="19"/>
          <w:szCs w:val="19"/>
        </w:rPr>
        <w:t xml:space="preserve">Figure 5 : </w:t>
      </w:r>
      <w:r>
        <w:rPr>
          <w:color w:val="1F3864"/>
          <w:sz w:val="19"/>
          <w:szCs w:val="19"/>
        </w:rPr>
        <w:t>Décomposition STL des log-prix mensuels (période de 12 mois)</w:t>
      </w:r>
    </w:p>
    <w:p w14:paraId="6B88BF0A">
      <w:pPr>
        <w:spacing w:after="120" w:line="276" w:lineRule="auto"/>
        <w:jc w:val="both"/>
      </w:pPr>
      <w:r>
        <w:t>La tendance domine et la composante saisonnière est faible et change d’une année à l’autre.</w:t>
      </w:r>
    </w:p>
    <w:p w14:paraId="64FD2BE9">
      <w:pPr>
        <w:spacing w:after="120" w:line="276" w:lineRule="auto"/>
        <w:jc w:val="both"/>
      </w:pPr>
      <w:r>
        <w:t>L’écart-type de la composante saisonnière (0,026 pour GLD et 0,044 pour SLV) est même plus faible que celui du résidu (0,045 et 0,098). L’analyse ne fournit pas de preuve suffisante d’une saisonnalité stable, donc nous n’utilisons pas de SARIMA.</w:t>
      </w:r>
    </w:p>
    <w:p w14:paraId="46CC32A2">
      <w:pPr>
        <w:pStyle w:val="2"/>
        <w:keepNext/>
        <w:spacing w:before="360" w:after="200"/>
      </w:pPr>
      <w:r>
        <w:t>3. Modèles classiques</w:t>
      </w:r>
    </w:p>
    <w:p w14:paraId="266D7AD8">
      <w:pPr>
        <w:pStyle w:val="3"/>
        <w:keepNext/>
      </w:pPr>
      <w:r>
        <w:t>3.1. ARIMA</w:t>
      </w:r>
    </w:p>
    <w:p w14:paraId="4B7EF424">
      <w:pPr>
        <w:spacing w:after="120" w:line="276" w:lineRule="auto"/>
        <w:jc w:val="both"/>
      </w:pPr>
      <w:r>
        <w:t>Huit modèles ARIMA de petit ordre, avec et sans dérive, sont estimés sur les log-prix. Une recherche automatique (</w:t>
      </w:r>
      <w:r>
        <w:rPr>
          <w:rFonts w:ascii="Consolas" w:hAnsi="Consolas" w:eastAsia="Consolas" w:cs="Consolas"/>
          <w:sz w:val="20"/>
          <w:szCs w:val="20"/>
        </w:rPr>
        <w:t>auto_arima</w:t>
      </w:r>
      <w:r>
        <w:t>) sert de contrôle.</w:t>
      </w:r>
    </w:p>
    <w:p w14:paraId="338A0226">
      <w:pPr>
        <w:keepNext/>
        <w:spacing w:before="160" w:after="80"/>
      </w:pPr>
      <w:r>
        <w:rPr>
          <w:b/>
          <w:bCs/>
          <w:color w:val="1F3864"/>
          <w:sz w:val="20"/>
          <w:szCs w:val="20"/>
        </w:rPr>
        <w:t xml:space="preserve">Tableau 5 : </w:t>
      </w:r>
      <w:r>
        <w:rPr>
          <w:color w:val="1F3864"/>
          <w:sz w:val="20"/>
          <w:szCs w:val="20"/>
        </w:rPr>
        <w:t>Comparaison des modèles ARIMA (ligne surlignée : modèle retenu)</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0"/>
        <w:gridCol w:w="1157"/>
        <w:gridCol w:w="1542"/>
        <w:gridCol w:w="1542"/>
        <w:gridCol w:w="1638"/>
        <w:gridCol w:w="1639"/>
      </w:tblGrid>
      <w:tr w14:paraId="327F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C42DC34">
            <w:pPr>
              <w:keepNext/>
              <w:spacing w:after="0" w:line="240" w:lineRule="auto"/>
              <w:jc w:val="left"/>
            </w:pPr>
            <w:r>
              <w:rPr>
                <w:b/>
                <w:bCs/>
                <w:color w:val="FFFFFF"/>
                <w:sz w:val="18"/>
                <w:szCs w:val="18"/>
              </w:rPr>
              <w:t>Modèle</w:t>
            </w:r>
          </w:p>
        </w:tc>
        <w:tc>
          <w:tcPr>
            <w:tcW w:w="115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5B9794F">
            <w:pPr>
              <w:keepNext/>
              <w:spacing w:after="0" w:line="240" w:lineRule="auto"/>
              <w:jc w:val="center"/>
            </w:pPr>
            <w:r>
              <w:rPr>
                <w:b/>
                <w:bCs/>
                <w:color w:val="FFFFFF"/>
                <w:sz w:val="18"/>
                <w:szCs w:val="18"/>
              </w:rPr>
              <w:t>Dérive</w:t>
            </w:r>
          </w:p>
        </w:tc>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939BFDB">
            <w:pPr>
              <w:keepNext/>
              <w:spacing w:after="0" w:line="240" w:lineRule="auto"/>
              <w:jc w:val="center"/>
            </w:pPr>
            <w:r>
              <w:rPr>
                <w:b/>
                <w:bCs/>
                <w:color w:val="FFFFFF"/>
                <w:sz w:val="18"/>
                <w:szCs w:val="18"/>
              </w:rPr>
              <w:t>AIC GLD</w:t>
            </w:r>
          </w:p>
        </w:tc>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18B95E8">
            <w:pPr>
              <w:keepNext/>
              <w:spacing w:after="0" w:line="240" w:lineRule="auto"/>
              <w:jc w:val="center"/>
            </w:pPr>
            <w:r>
              <w:rPr>
                <w:b/>
                <w:bCs/>
                <w:color w:val="FFFFFF"/>
                <w:sz w:val="18"/>
                <w:szCs w:val="18"/>
              </w:rPr>
              <w:t>BIC GLD</w:t>
            </w:r>
          </w:p>
        </w:tc>
        <w:tc>
          <w:tcPr>
            <w:tcW w:w="163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76B648A">
            <w:pPr>
              <w:keepNext/>
              <w:spacing w:after="0" w:line="240" w:lineRule="auto"/>
              <w:jc w:val="center"/>
            </w:pPr>
            <w:r>
              <w:rPr>
                <w:b/>
                <w:bCs/>
                <w:color w:val="FFFFFF"/>
                <w:sz w:val="18"/>
                <w:szCs w:val="18"/>
              </w:rPr>
              <w:t>AIC SLV</w:t>
            </w:r>
          </w:p>
        </w:tc>
        <w:tc>
          <w:tcPr>
            <w:tcW w:w="163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73256FC">
            <w:pPr>
              <w:keepNext/>
              <w:spacing w:after="0" w:line="240" w:lineRule="auto"/>
              <w:jc w:val="center"/>
            </w:pPr>
            <w:r>
              <w:rPr>
                <w:b/>
                <w:bCs/>
                <w:color w:val="FFFFFF"/>
                <w:sz w:val="18"/>
                <w:szCs w:val="18"/>
              </w:rPr>
              <w:t>BIC SLV</w:t>
            </w:r>
          </w:p>
        </w:tc>
      </w:tr>
      <w:tr w14:paraId="1EF6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32D1272D">
            <w:pPr>
              <w:keepNext/>
              <w:spacing w:after="0" w:line="240" w:lineRule="auto"/>
              <w:jc w:val="left"/>
            </w:pPr>
            <w:r>
              <w:rPr>
                <w:sz w:val="18"/>
                <w:szCs w:val="18"/>
              </w:rPr>
              <w:t>ARIMA(0,1,0)</w:t>
            </w:r>
          </w:p>
        </w:tc>
        <w:tc>
          <w:tcPr>
            <w:tcW w:w="1157"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035FAE49">
            <w:pPr>
              <w:keepNext/>
              <w:spacing w:after="0" w:line="240" w:lineRule="auto"/>
              <w:jc w:val="center"/>
            </w:pPr>
            <w:r>
              <w:rPr>
                <w:sz w:val="18"/>
                <w:szCs w:val="18"/>
              </w:rPr>
              <w:t>non</w:t>
            </w:r>
          </w:p>
        </w:tc>
        <w:tc>
          <w:tcPr>
            <w:tcW w:w="1542"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39FF43EF">
            <w:pPr>
              <w:keepNext/>
              <w:spacing w:after="0" w:line="240" w:lineRule="auto"/>
              <w:jc w:val="center"/>
            </w:pPr>
            <w:r>
              <w:rPr>
                <w:sz w:val="18"/>
                <w:szCs w:val="18"/>
              </w:rPr>
              <w:t>−23 232,4</w:t>
            </w:r>
          </w:p>
        </w:tc>
        <w:tc>
          <w:tcPr>
            <w:tcW w:w="1542"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6742033">
            <w:pPr>
              <w:keepNext/>
              <w:spacing w:after="0" w:line="240" w:lineRule="auto"/>
              <w:jc w:val="center"/>
            </w:pPr>
            <w:r>
              <w:rPr>
                <w:sz w:val="18"/>
                <w:szCs w:val="18"/>
              </w:rPr>
              <w:t>−23 226,2</w:t>
            </w:r>
          </w:p>
        </w:tc>
        <w:tc>
          <w:tcPr>
            <w:tcW w:w="1638"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185EC803">
            <w:pPr>
              <w:keepNext/>
              <w:spacing w:after="0" w:line="240" w:lineRule="auto"/>
              <w:jc w:val="center"/>
            </w:pPr>
            <w:r>
              <w:rPr>
                <w:sz w:val="18"/>
                <w:szCs w:val="18"/>
              </w:rPr>
              <w:t>−18 728,3</w:t>
            </w:r>
          </w:p>
        </w:tc>
        <w:tc>
          <w:tcPr>
            <w:tcW w:w="1639"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E4AA98D">
            <w:pPr>
              <w:keepNext/>
              <w:spacing w:after="0" w:line="240" w:lineRule="auto"/>
              <w:jc w:val="center"/>
            </w:pPr>
            <w:r>
              <w:rPr>
                <w:sz w:val="18"/>
                <w:szCs w:val="18"/>
              </w:rPr>
              <w:t>−18 722,1</w:t>
            </w:r>
          </w:p>
        </w:tc>
      </w:tr>
      <w:tr w14:paraId="7DE1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77ACF3D">
            <w:pPr>
              <w:keepNext/>
              <w:spacing w:after="0" w:line="240" w:lineRule="auto"/>
              <w:jc w:val="left"/>
            </w:pPr>
            <w:r>
              <w:rPr>
                <w:sz w:val="18"/>
                <w:szCs w:val="18"/>
              </w:rPr>
              <w:t>ARIMA(0,1,0)</w:t>
            </w:r>
          </w:p>
        </w:tc>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444C35E">
            <w:pPr>
              <w:keepNext/>
              <w:spacing w:after="0" w:line="240" w:lineRule="auto"/>
              <w:jc w:val="center"/>
            </w:pPr>
            <w:r>
              <w:rPr>
                <w:sz w:val="18"/>
                <w:szCs w:val="18"/>
              </w:rPr>
              <w:t>oui</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60B8537">
            <w:pPr>
              <w:keepNext/>
              <w:spacing w:after="0" w:line="240" w:lineRule="auto"/>
              <w:jc w:val="center"/>
            </w:pPr>
            <w:r>
              <w:rPr>
                <w:sz w:val="18"/>
                <w:szCs w:val="18"/>
              </w:rPr>
              <w:t>−23 231,8</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25FC276">
            <w:pPr>
              <w:keepNext/>
              <w:spacing w:after="0" w:line="240" w:lineRule="auto"/>
              <w:jc w:val="center"/>
            </w:pPr>
            <w:r>
              <w:rPr>
                <w:sz w:val="18"/>
                <w:szCs w:val="18"/>
              </w:rPr>
              <w:t>−23 219,4</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16BAB7B">
            <w:pPr>
              <w:keepNext/>
              <w:spacing w:after="0" w:line="240" w:lineRule="auto"/>
              <w:jc w:val="center"/>
            </w:pPr>
            <w:r>
              <w:rPr>
                <w:sz w:val="18"/>
                <w:szCs w:val="18"/>
              </w:rPr>
              <w:t>−18 726,5</w:t>
            </w:r>
          </w:p>
        </w:tc>
        <w:tc>
          <w:tcPr>
            <w:tcW w:w="163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672DF61">
            <w:pPr>
              <w:keepNext/>
              <w:spacing w:after="0" w:line="240" w:lineRule="auto"/>
              <w:jc w:val="center"/>
            </w:pPr>
            <w:r>
              <w:rPr>
                <w:sz w:val="18"/>
                <w:szCs w:val="18"/>
              </w:rPr>
              <w:t>−18 714,1</w:t>
            </w:r>
          </w:p>
        </w:tc>
      </w:tr>
      <w:tr w14:paraId="3245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956BC5B">
            <w:pPr>
              <w:keepNext/>
              <w:spacing w:after="0" w:line="240" w:lineRule="auto"/>
              <w:jc w:val="left"/>
            </w:pPr>
            <w:r>
              <w:rPr>
                <w:sz w:val="18"/>
                <w:szCs w:val="18"/>
              </w:rPr>
              <w:t>ARIMA(1,1,0)</w:t>
            </w:r>
          </w:p>
        </w:tc>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33229DE">
            <w:pPr>
              <w:keepNext/>
              <w:spacing w:after="0" w:line="240" w:lineRule="auto"/>
              <w:jc w:val="center"/>
            </w:pPr>
            <w:r>
              <w:rPr>
                <w:sz w:val="18"/>
                <w:szCs w:val="18"/>
              </w:rPr>
              <w:t>non</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1528F07">
            <w:pPr>
              <w:keepNext/>
              <w:spacing w:after="0" w:line="240" w:lineRule="auto"/>
              <w:jc w:val="center"/>
            </w:pPr>
            <w:r>
              <w:rPr>
                <w:sz w:val="18"/>
                <w:szCs w:val="18"/>
              </w:rPr>
              <w:t>−23 230,7</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DA6FA28">
            <w:pPr>
              <w:keepNext/>
              <w:spacing w:after="0" w:line="240" w:lineRule="auto"/>
              <w:jc w:val="center"/>
            </w:pPr>
            <w:r>
              <w:rPr>
                <w:sz w:val="18"/>
                <w:szCs w:val="18"/>
              </w:rPr>
              <w:t>−23 218,3</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A177FBD">
            <w:pPr>
              <w:keepNext/>
              <w:spacing w:after="0" w:line="240" w:lineRule="auto"/>
              <w:jc w:val="center"/>
            </w:pPr>
            <w:r>
              <w:rPr>
                <w:sz w:val="18"/>
                <w:szCs w:val="18"/>
              </w:rPr>
              <w:t>−18 727,5</w:t>
            </w:r>
          </w:p>
        </w:tc>
        <w:tc>
          <w:tcPr>
            <w:tcW w:w="163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79142EB">
            <w:pPr>
              <w:keepNext/>
              <w:spacing w:after="0" w:line="240" w:lineRule="auto"/>
              <w:jc w:val="center"/>
            </w:pPr>
            <w:r>
              <w:rPr>
                <w:sz w:val="18"/>
                <w:szCs w:val="18"/>
              </w:rPr>
              <w:t>−18 715,1</w:t>
            </w:r>
          </w:p>
        </w:tc>
      </w:tr>
      <w:tr w14:paraId="310E0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5E01667">
            <w:pPr>
              <w:keepNext/>
              <w:spacing w:after="0" w:line="240" w:lineRule="auto"/>
              <w:jc w:val="left"/>
            </w:pPr>
            <w:r>
              <w:rPr>
                <w:sz w:val="18"/>
                <w:szCs w:val="18"/>
              </w:rPr>
              <w:t>ARIMA(1,1,0)</w:t>
            </w:r>
          </w:p>
        </w:tc>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6CF84C6">
            <w:pPr>
              <w:keepNext/>
              <w:spacing w:after="0" w:line="240" w:lineRule="auto"/>
              <w:jc w:val="center"/>
            </w:pPr>
            <w:r>
              <w:rPr>
                <w:sz w:val="18"/>
                <w:szCs w:val="18"/>
              </w:rPr>
              <w:t>oui</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2C4F9CA">
            <w:pPr>
              <w:keepNext/>
              <w:spacing w:after="0" w:line="240" w:lineRule="auto"/>
              <w:jc w:val="center"/>
            </w:pPr>
            <w:r>
              <w:rPr>
                <w:sz w:val="18"/>
                <w:szCs w:val="18"/>
              </w:rPr>
              <w:t>−23 230,1</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756C5FD">
            <w:pPr>
              <w:keepNext/>
              <w:spacing w:after="0" w:line="240" w:lineRule="auto"/>
              <w:jc w:val="center"/>
            </w:pPr>
            <w:r>
              <w:rPr>
                <w:sz w:val="18"/>
                <w:szCs w:val="18"/>
              </w:rPr>
              <w:t>−23 211,5</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3EBC2D5">
            <w:pPr>
              <w:keepNext/>
              <w:spacing w:after="0" w:line="240" w:lineRule="auto"/>
              <w:jc w:val="center"/>
            </w:pPr>
            <w:r>
              <w:rPr>
                <w:sz w:val="18"/>
                <w:szCs w:val="18"/>
              </w:rPr>
              <w:t>−18 725,7</w:t>
            </w:r>
          </w:p>
        </w:tc>
        <w:tc>
          <w:tcPr>
            <w:tcW w:w="163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6B9CE7E">
            <w:pPr>
              <w:keepNext/>
              <w:spacing w:after="0" w:line="240" w:lineRule="auto"/>
              <w:jc w:val="center"/>
            </w:pPr>
            <w:r>
              <w:rPr>
                <w:sz w:val="18"/>
                <w:szCs w:val="18"/>
              </w:rPr>
              <w:t>−18 707,1</w:t>
            </w:r>
          </w:p>
        </w:tc>
      </w:tr>
      <w:tr w14:paraId="4338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CC3B4B2">
            <w:pPr>
              <w:keepNext/>
              <w:spacing w:after="0" w:line="240" w:lineRule="auto"/>
              <w:jc w:val="left"/>
            </w:pPr>
            <w:r>
              <w:rPr>
                <w:sz w:val="18"/>
                <w:szCs w:val="18"/>
              </w:rPr>
              <w:t>ARIMA(0,1,1)</w:t>
            </w:r>
          </w:p>
        </w:tc>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59B0D31">
            <w:pPr>
              <w:keepNext/>
              <w:spacing w:after="0" w:line="240" w:lineRule="auto"/>
              <w:jc w:val="center"/>
            </w:pPr>
            <w:r>
              <w:rPr>
                <w:sz w:val="18"/>
                <w:szCs w:val="18"/>
              </w:rPr>
              <w:t>non</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4466B87">
            <w:pPr>
              <w:keepNext/>
              <w:spacing w:after="0" w:line="240" w:lineRule="auto"/>
              <w:jc w:val="center"/>
            </w:pPr>
            <w:r>
              <w:rPr>
                <w:sz w:val="18"/>
                <w:szCs w:val="18"/>
              </w:rPr>
              <w:t>−23 230,7</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591A98A">
            <w:pPr>
              <w:keepNext/>
              <w:spacing w:after="0" w:line="240" w:lineRule="auto"/>
              <w:jc w:val="center"/>
            </w:pPr>
            <w:r>
              <w:rPr>
                <w:sz w:val="18"/>
                <w:szCs w:val="18"/>
              </w:rPr>
              <w:t>−23 218,3</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D471728">
            <w:pPr>
              <w:keepNext/>
              <w:spacing w:after="0" w:line="240" w:lineRule="auto"/>
              <w:jc w:val="center"/>
            </w:pPr>
            <w:r>
              <w:rPr>
                <w:sz w:val="18"/>
                <w:szCs w:val="18"/>
              </w:rPr>
              <w:t>−18 727,5</w:t>
            </w:r>
          </w:p>
        </w:tc>
        <w:tc>
          <w:tcPr>
            <w:tcW w:w="163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A0A73AE">
            <w:pPr>
              <w:keepNext/>
              <w:spacing w:after="0" w:line="240" w:lineRule="auto"/>
              <w:jc w:val="center"/>
            </w:pPr>
            <w:r>
              <w:rPr>
                <w:sz w:val="18"/>
                <w:szCs w:val="18"/>
              </w:rPr>
              <w:t>−18 715,1</w:t>
            </w:r>
          </w:p>
        </w:tc>
      </w:tr>
      <w:tr w14:paraId="5B37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C1E8E40">
            <w:pPr>
              <w:keepNext/>
              <w:spacing w:after="0" w:line="240" w:lineRule="auto"/>
              <w:jc w:val="left"/>
            </w:pPr>
            <w:r>
              <w:rPr>
                <w:sz w:val="18"/>
                <w:szCs w:val="18"/>
              </w:rPr>
              <w:t>ARIMA(0,1,1)</w:t>
            </w:r>
          </w:p>
        </w:tc>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D8A28F2">
            <w:pPr>
              <w:keepNext/>
              <w:spacing w:after="0" w:line="240" w:lineRule="auto"/>
              <w:jc w:val="center"/>
            </w:pPr>
            <w:r>
              <w:rPr>
                <w:sz w:val="18"/>
                <w:szCs w:val="18"/>
              </w:rPr>
              <w:t>oui</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38078FE">
            <w:pPr>
              <w:keepNext/>
              <w:spacing w:after="0" w:line="240" w:lineRule="auto"/>
              <w:jc w:val="center"/>
            </w:pPr>
            <w:r>
              <w:rPr>
                <w:sz w:val="18"/>
                <w:szCs w:val="18"/>
              </w:rPr>
              <w:t>−23 230,1</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C032C59">
            <w:pPr>
              <w:keepNext/>
              <w:spacing w:after="0" w:line="240" w:lineRule="auto"/>
              <w:jc w:val="center"/>
            </w:pPr>
            <w:r>
              <w:rPr>
                <w:sz w:val="18"/>
                <w:szCs w:val="18"/>
              </w:rPr>
              <w:t>−23 211,5</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C7B5BD7">
            <w:pPr>
              <w:keepNext/>
              <w:spacing w:after="0" w:line="240" w:lineRule="auto"/>
              <w:jc w:val="center"/>
            </w:pPr>
            <w:r>
              <w:rPr>
                <w:sz w:val="18"/>
                <w:szCs w:val="18"/>
              </w:rPr>
              <w:t>−18 725,7</w:t>
            </w:r>
          </w:p>
        </w:tc>
        <w:tc>
          <w:tcPr>
            <w:tcW w:w="163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572F527">
            <w:pPr>
              <w:keepNext/>
              <w:spacing w:after="0" w:line="240" w:lineRule="auto"/>
              <w:jc w:val="center"/>
            </w:pPr>
            <w:r>
              <w:rPr>
                <w:sz w:val="18"/>
                <w:szCs w:val="18"/>
              </w:rPr>
              <w:t>−18 707,1</w:t>
            </w:r>
          </w:p>
        </w:tc>
      </w:tr>
      <w:tr w14:paraId="1EC4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6AC0965">
            <w:pPr>
              <w:keepNext/>
              <w:spacing w:after="0" w:line="240" w:lineRule="auto"/>
              <w:jc w:val="left"/>
            </w:pPr>
            <w:r>
              <w:rPr>
                <w:sz w:val="18"/>
                <w:szCs w:val="18"/>
              </w:rPr>
              <w:t>ARIMA(1,1,1)</w:t>
            </w:r>
          </w:p>
        </w:tc>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7C8DD8C">
            <w:pPr>
              <w:keepNext/>
              <w:spacing w:after="0" w:line="240" w:lineRule="auto"/>
              <w:jc w:val="center"/>
            </w:pPr>
            <w:r>
              <w:rPr>
                <w:sz w:val="18"/>
                <w:szCs w:val="18"/>
              </w:rPr>
              <w:t>non</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BE5C546">
            <w:pPr>
              <w:keepNext/>
              <w:spacing w:after="0" w:line="240" w:lineRule="auto"/>
              <w:jc w:val="center"/>
            </w:pPr>
            <w:r>
              <w:rPr>
                <w:sz w:val="18"/>
                <w:szCs w:val="18"/>
              </w:rPr>
              <w:t>−23 228,2</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614463B">
            <w:pPr>
              <w:keepNext/>
              <w:spacing w:after="0" w:line="240" w:lineRule="auto"/>
              <w:jc w:val="center"/>
            </w:pPr>
            <w:r>
              <w:rPr>
                <w:sz w:val="18"/>
                <w:szCs w:val="18"/>
              </w:rPr>
              <w:t>−23 209,6</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2E2B42E">
            <w:pPr>
              <w:keepNext/>
              <w:spacing w:after="0" w:line="240" w:lineRule="auto"/>
              <w:jc w:val="center"/>
            </w:pPr>
            <w:r>
              <w:rPr>
                <w:sz w:val="18"/>
                <w:szCs w:val="18"/>
              </w:rPr>
              <w:t>−18 724,6</w:t>
            </w:r>
          </w:p>
        </w:tc>
        <w:tc>
          <w:tcPr>
            <w:tcW w:w="163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64B35A3">
            <w:pPr>
              <w:keepNext/>
              <w:spacing w:after="0" w:line="240" w:lineRule="auto"/>
              <w:jc w:val="center"/>
            </w:pPr>
            <w:r>
              <w:rPr>
                <w:sz w:val="18"/>
                <w:szCs w:val="18"/>
              </w:rPr>
              <w:t>−18 706,0</w:t>
            </w:r>
          </w:p>
        </w:tc>
      </w:tr>
      <w:tr w14:paraId="7E34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983EB47">
            <w:pPr>
              <w:keepNext w:val="0"/>
              <w:spacing w:after="0" w:line="240" w:lineRule="auto"/>
              <w:jc w:val="left"/>
            </w:pPr>
            <w:r>
              <w:rPr>
                <w:sz w:val="18"/>
                <w:szCs w:val="18"/>
              </w:rPr>
              <w:t>ARIMA(1,1,1)</w:t>
            </w:r>
          </w:p>
        </w:tc>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C4C5FCD">
            <w:pPr>
              <w:keepNext w:val="0"/>
              <w:spacing w:after="0" w:line="240" w:lineRule="auto"/>
              <w:jc w:val="center"/>
            </w:pPr>
            <w:r>
              <w:rPr>
                <w:sz w:val="18"/>
                <w:szCs w:val="18"/>
              </w:rPr>
              <w:t>oui</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08D8903">
            <w:pPr>
              <w:keepNext w:val="0"/>
              <w:spacing w:after="0" w:line="240" w:lineRule="auto"/>
              <w:jc w:val="center"/>
            </w:pPr>
            <w:r>
              <w:rPr>
                <w:sz w:val="18"/>
                <w:szCs w:val="18"/>
              </w:rPr>
              <w:t>−23 227,6</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F2029C9">
            <w:pPr>
              <w:keepNext w:val="0"/>
              <w:spacing w:after="0" w:line="240" w:lineRule="auto"/>
              <w:jc w:val="center"/>
            </w:pPr>
            <w:r>
              <w:rPr>
                <w:sz w:val="18"/>
                <w:szCs w:val="18"/>
              </w:rPr>
              <w:t>−23 202,9</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7AFE275">
            <w:pPr>
              <w:keepNext w:val="0"/>
              <w:spacing w:after="0" w:line="240" w:lineRule="auto"/>
              <w:jc w:val="center"/>
            </w:pPr>
            <w:r>
              <w:rPr>
                <w:sz w:val="18"/>
                <w:szCs w:val="18"/>
              </w:rPr>
              <w:t>−18 722,8</w:t>
            </w:r>
          </w:p>
        </w:tc>
        <w:tc>
          <w:tcPr>
            <w:tcW w:w="163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D6FFCD2">
            <w:pPr>
              <w:keepNext w:val="0"/>
              <w:spacing w:after="0" w:line="240" w:lineRule="auto"/>
              <w:jc w:val="center"/>
            </w:pPr>
            <w:r>
              <w:rPr>
                <w:sz w:val="18"/>
                <w:szCs w:val="18"/>
              </w:rPr>
              <w:t>−18 698,0</w:t>
            </w:r>
          </w:p>
        </w:tc>
      </w:tr>
    </w:tbl>
    <w:p w14:paraId="3F2048CF">
      <w:pPr>
        <w:spacing w:before="0" w:after="80"/>
      </w:pPr>
    </w:p>
    <w:p w14:paraId="4732835E">
      <w:pPr>
        <w:spacing w:after="120" w:line="276" w:lineRule="auto"/>
        <w:jc w:val="both"/>
      </w:pPr>
      <w:r>
        <w:t>ARIMA(0,1,0) sans dérive a le plus petit AIC et le plus petit BIC pour les deux actifs, et la recherche automatique choisit le même modèle. C’est une marche aléatoire : la prévision est toujours le dernier prix connu.</w:t>
      </w:r>
    </w:p>
    <w:p w14:paraId="03D183DA">
      <w:pPr>
        <w:keepNext/>
        <w:spacing w:before="160" w:after="80"/>
      </w:pPr>
      <w:r>
        <w:rPr>
          <w:b/>
          <w:bCs/>
          <w:color w:val="1F3864"/>
          <w:sz w:val="20"/>
          <w:szCs w:val="20"/>
        </w:rPr>
        <w:t xml:space="preserve">Tableau 6 : </w:t>
      </w:r>
      <w:r>
        <w:rPr>
          <w:color w:val="1F3864"/>
          <w:sz w:val="20"/>
          <w:szCs w:val="20"/>
        </w:rPr>
        <w:t>Diagnostic des résidus de ARIMA(0,1,0)</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2024"/>
        <w:gridCol w:w="2024"/>
        <w:gridCol w:w="2024"/>
        <w:gridCol w:w="2024"/>
      </w:tblGrid>
      <w:tr w14:paraId="7874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82B73A8">
            <w:pPr>
              <w:keepNext/>
              <w:spacing w:after="0" w:line="240" w:lineRule="auto"/>
              <w:jc w:val="left"/>
            </w:pPr>
            <w:r>
              <w:rPr>
                <w:b/>
                <w:bCs/>
                <w:color w:val="FFFFFF"/>
                <w:sz w:val="18"/>
                <w:szCs w:val="18"/>
              </w:rPr>
              <w:t>Actif</w:t>
            </w:r>
          </w:p>
        </w:tc>
        <w:tc>
          <w:tcPr>
            <w:tcW w:w="202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C0762CB">
            <w:pPr>
              <w:keepNext/>
              <w:spacing w:after="0" w:line="240" w:lineRule="auto"/>
              <w:jc w:val="center"/>
            </w:pPr>
            <w:r>
              <w:rPr>
                <w:b/>
                <w:bCs/>
                <w:color w:val="FFFFFF"/>
                <w:sz w:val="18"/>
                <w:szCs w:val="18"/>
              </w:rPr>
              <w:t>Ljung–Box p (10)</w:t>
            </w:r>
          </w:p>
        </w:tc>
        <w:tc>
          <w:tcPr>
            <w:tcW w:w="202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59266D6">
            <w:pPr>
              <w:keepNext/>
              <w:spacing w:after="0" w:line="240" w:lineRule="auto"/>
              <w:jc w:val="center"/>
            </w:pPr>
            <w:r>
              <w:rPr>
                <w:b/>
                <w:bCs/>
                <w:color w:val="FFFFFF"/>
                <w:sz w:val="18"/>
                <w:szCs w:val="18"/>
              </w:rPr>
              <w:t>Ljung–Box p (20)</w:t>
            </w:r>
          </w:p>
        </w:tc>
        <w:tc>
          <w:tcPr>
            <w:tcW w:w="202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9FC743F">
            <w:pPr>
              <w:keepNext/>
              <w:spacing w:after="0" w:line="240" w:lineRule="auto"/>
              <w:jc w:val="center"/>
            </w:pPr>
            <w:r>
              <w:rPr>
                <w:b/>
                <w:bCs/>
                <w:color w:val="FFFFFF"/>
                <w:sz w:val="18"/>
                <w:szCs w:val="18"/>
              </w:rPr>
              <w:t>Jarque–Bera p</w:t>
            </w:r>
          </w:p>
        </w:tc>
        <w:tc>
          <w:tcPr>
            <w:tcW w:w="202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C361826">
            <w:pPr>
              <w:keepNext/>
              <w:spacing w:after="0" w:line="240" w:lineRule="auto"/>
              <w:jc w:val="center"/>
            </w:pPr>
            <w:r>
              <w:rPr>
                <w:b/>
                <w:bCs/>
                <w:color w:val="FFFFFF"/>
                <w:sz w:val="18"/>
                <w:szCs w:val="18"/>
              </w:rPr>
              <w:t>ARCH-LM p (10)</w:t>
            </w:r>
          </w:p>
        </w:tc>
      </w:tr>
      <w:tr w14:paraId="1FA3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E90CF6A">
            <w:pPr>
              <w:keepNext/>
              <w:spacing w:after="0" w:line="240" w:lineRule="auto"/>
              <w:jc w:val="left"/>
            </w:pPr>
            <w:r>
              <w:rPr>
                <w:sz w:val="18"/>
                <w:szCs w:val="18"/>
              </w:rPr>
              <w:t>GLD</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6E52175">
            <w:pPr>
              <w:keepNext/>
              <w:spacing w:after="0" w:line="240" w:lineRule="auto"/>
              <w:jc w:val="center"/>
            </w:pPr>
            <w:r>
              <w:rPr>
                <w:sz w:val="18"/>
                <w:szCs w:val="18"/>
              </w:rPr>
              <w:t>0,6708</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860E34C">
            <w:pPr>
              <w:keepNext/>
              <w:spacing w:after="0" w:line="240" w:lineRule="auto"/>
              <w:jc w:val="center"/>
            </w:pPr>
            <w:r>
              <w:rPr>
                <w:sz w:val="18"/>
                <w:szCs w:val="18"/>
              </w:rPr>
              <w:t>0,7343</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9D7F6A2">
            <w:pPr>
              <w:keepNext/>
              <w:spacing w:after="0" w:line="240" w:lineRule="auto"/>
              <w:jc w:val="center"/>
            </w:pPr>
            <w:r>
              <w:rPr>
                <w:sz w:val="18"/>
                <w:szCs w:val="18"/>
              </w:rPr>
              <w:t>&lt; 0,0001</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D441B32">
            <w:pPr>
              <w:keepNext/>
              <w:spacing w:after="0" w:line="240" w:lineRule="auto"/>
              <w:jc w:val="center"/>
            </w:pPr>
            <w:r>
              <w:rPr>
                <w:sz w:val="18"/>
                <w:szCs w:val="18"/>
              </w:rPr>
              <w:t>&lt; 0,0001</w:t>
            </w:r>
          </w:p>
        </w:tc>
      </w:tr>
      <w:tr w14:paraId="1850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3A83DEE">
            <w:pPr>
              <w:keepNext w:val="0"/>
              <w:spacing w:after="0" w:line="240" w:lineRule="auto"/>
              <w:jc w:val="left"/>
            </w:pPr>
            <w:r>
              <w:rPr>
                <w:sz w:val="18"/>
                <w:szCs w:val="18"/>
              </w:rPr>
              <w:t>SLV</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8102A50">
            <w:pPr>
              <w:keepNext w:val="0"/>
              <w:spacing w:after="0" w:line="240" w:lineRule="auto"/>
              <w:jc w:val="center"/>
            </w:pPr>
            <w:r>
              <w:rPr>
                <w:sz w:val="18"/>
                <w:szCs w:val="18"/>
              </w:rPr>
              <w:t>0,4142</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8A6CD4B">
            <w:pPr>
              <w:keepNext w:val="0"/>
              <w:spacing w:after="0" w:line="240" w:lineRule="auto"/>
              <w:jc w:val="center"/>
            </w:pPr>
            <w:r>
              <w:rPr>
                <w:sz w:val="18"/>
                <w:szCs w:val="18"/>
              </w:rPr>
              <w:t>0,0487</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D02A11C">
            <w:pPr>
              <w:keepNext w:val="0"/>
              <w:spacing w:after="0" w:line="240" w:lineRule="auto"/>
              <w:jc w:val="center"/>
            </w:pPr>
            <w:r>
              <w:rPr>
                <w:sz w:val="18"/>
                <w:szCs w:val="18"/>
              </w:rPr>
              <w:t>&lt; 0,0001</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57DE10D">
            <w:pPr>
              <w:keepNext w:val="0"/>
              <w:spacing w:after="0" w:line="240" w:lineRule="auto"/>
              <w:jc w:val="center"/>
            </w:pPr>
            <w:r>
              <w:rPr>
                <w:sz w:val="18"/>
                <w:szCs w:val="18"/>
              </w:rPr>
              <w:t>&lt; 0,0001</w:t>
            </w:r>
          </w:p>
        </w:tc>
      </w:tr>
    </w:tbl>
    <w:p w14:paraId="7FC9D89E">
      <w:pPr>
        <w:spacing w:before="0" w:after="80"/>
      </w:pPr>
    </w:p>
    <w:p w14:paraId="1585CFD9">
      <w:pPr>
        <w:keepNext/>
        <w:spacing w:before="60" w:after="0"/>
        <w:jc w:val="center"/>
      </w:pPr>
      <w:r>
        <w:rPr>
          <w:b/>
          <w:bCs/>
          <w:color w:val="1F3864"/>
          <w:sz w:val="18"/>
          <w:szCs w:val="18"/>
        </w:rPr>
        <w:t>GLD</w:t>
      </w:r>
    </w:p>
    <w:p w14:paraId="36BA2947">
      <w:pPr>
        <w:keepNext/>
        <w:spacing w:before="80" w:after="40"/>
        <w:jc w:val="center"/>
      </w:pPr>
      <w:r>
        <w:drawing>
          <wp:inline distT="0" distB="0" distL="0" distR="0">
            <wp:extent cx="4476750" cy="29813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16"/>
                    <a:srcRect/>
                    <a:stretch>
                      <a:fillRect/>
                    </a:stretch>
                  </pic:blipFill>
                  <pic:spPr>
                    <a:xfrm>
                      <a:off x="0" y="0"/>
                      <a:ext cx="4476750" cy="2981325"/>
                    </a:xfrm>
                    <a:prstGeom prst="rect">
                      <a:avLst/>
                    </a:prstGeom>
                  </pic:spPr>
                </pic:pic>
              </a:graphicData>
            </a:graphic>
          </wp:inline>
        </w:drawing>
      </w:r>
    </w:p>
    <w:p w14:paraId="2F0ED018">
      <w:pPr>
        <w:keepNext/>
        <w:spacing w:before="60" w:after="0"/>
        <w:jc w:val="center"/>
      </w:pPr>
      <w:r>
        <w:rPr>
          <w:b/>
          <w:bCs/>
          <w:color w:val="1F3864"/>
          <w:sz w:val="18"/>
          <w:szCs w:val="18"/>
        </w:rPr>
        <w:t>SLV</w:t>
      </w:r>
    </w:p>
    <w:p w14:paraId="018DEE96">
      <w:pPr>
        <w:keepNext/>
        <w:spacing w:before="80" w:after="40"/>
        <w:jc w:val="center"/>
      </w:pPr>
      <w:r>
        <w:drawing>
          <wp:inline distT="0" distB="0" distL="0" distR="0">
            <wp:extent cx="4476750" cy="29813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a:blip r:embed="rId17"/>
                    <a:srcRect/>
                    <a:stretch>
                      <a:fillRect/>
                    </a:stretch>
                  </pic:blipFill>
                  <pic:spPr>
                    <a:xfrm>
                      <a:off x="0" y="0"/>
                      <a:ext cx="4476750" cy="2981325"/>
                    </a:xfrm>
                    <a:prstGeom prst="rect">
                      <a:avLst/>
                    </a:prstGeom>
                  </pic:spPr>
                </pic:pic>
              </a:graphicData>
            </a:graphic>
          </wp:inline>
        </w:drawing>
      </w:r>
    </w:p>
    <w:p w14:paraId="795A61E7">
      <w:pPr>
        <w:spacing w:before="40" w:after="160"/>
        <w:jc w:val="center"/>
      </w:pPr>
      <w:r>
        <w:rPr>
          <w:b/>
          <w:bCs/>
          <w:color w:val="1F3864"/>
          <w:sz w:val="19"/>
          <w:szCs w:val="19"/>
        </w:rPr>
        <w:t xml:space="preserve">Figure 6 : </w:t>
      </w:r>
      <w:r>
        <w:rPr>
          <w:color w:val="1F3864"/>
          <w:sz w:val="19"/>
          <w:szCs w:val="19"/>
        </w:rPr>
        <w:t>Résidus de ARIMA(0,1,0) en R</w:t>
      </w:r>
    </w:p>
    <w:p w14:paraId="7682F62F">
      <w:pPr>
        <w:spacing w:after="120" w:line="276" w:lineRule="auto"/>
        <w:jc w:val="both"/>
      </w:pPr>
      <w:r>
        <w:t>L’autocorrélation résiduelle est faible, mais Ljung–Box détecte une dépendance pour SLV à 20 retards. L’ACF des carrés est significative et le QQ-plot montre des queues épaisses.</w:t>
      </w:r>
    </w:p>
    <w:p w14:paraId="366BC855">
      <w:pPr>
        <w:spacing w:after="120" w:line="276" w:lineRule="auto"/>
        <w:jc w:val="both"/>
      </w:pPr>
      <w:r>
        <w:t>Pour SLV, Ljung–Box rejette de peu à 20 retards (p = 0,0487). La normalité et l’absence d’effet ARCH sont rejetées pour les deux actifs. Le modèle décrit bien la moyenne, mais pas la variance : il faut un GARCH.</w:t>
      </w:r>
    </w:p>
    <w:p w14:paraId="4C045C95">
      <w:pPr>
        <w:pStyle w:val="3"/>
        <w:keepNext/>
      </w:pPr>
      <w:r>
        <w:t>3.2. VAR et causalité de Granger</w:t>
      </w:r>
    </w:p>
    <w:p w14:paraId="7A59701C">
      <w:pPr>
        <w:keepNext/>
        <w:spacing w:before="160" w:after="80"/>
      </w:pPr>
      <w:r>
        <w:rPr>
          <w:b/>
          <w:bCs/>
          <w:color w:val="1F3864"/>
          <w:sz w:val="20"/>
          <w:szCs w:val="20"/>
        </w:rPr>
        <w:t xml:space="preserve">Tableau 7 : </w:t>
      </w:r>
      <w:r>
        <w:rPr>
          <w:color w:val="1F3864"/>
          <w:sz w:val="20"/>
          <w:szCs w:val="20"/>
        </w:rPr>
        <w:t>Choix du nombre de retards du VAR (extrait)</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2024"/>
        <w:gridCol w:w="2024"/>
        <w:gridCol w:w="2024"/>
        <w:gridCol w:w="2024"/>
      </w:tblGrid>
      <w:tr w14:paraId="6306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BC7737C">
            <w:pPr>
              <w:keepNext/>
              <w:spacing w:after="0" w:line="240" w:lineRule="auto"/>
              <w:jc w:val="left"/>
            </w:pPr>
            <w:r>
              <w:rPr>
                <w:b/>
                <w:bCs/>
                <w:color w:val="FFFFFF"/>
                <w:sz w:val="18"/>
                <w:szCs w:val="18"/>
              </w:rPr>
              <w:t>Retards</w:t>
            </w:r>
          </w:p>
        </w:tc>
        <w:tc>
          <w:tcPr>
            <w:tcW w:w="202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7B4B699">
            <w:pPr>
              <w:keepNext/>
              <w:spacing w:after="0" w:line="240" w:lineRule="auto"/>
              <w:jc w:val="center"/>
            </w:pPr>
            <w:r>
              <w:rPr>
                <w:b/>
                <w:bCs/>
                <w:color w:val="FFFFFF"/>
                <w:sz w:val="18"/>
                <w:szCs w:val="18"/>
              </w:rPr>
              <w:t>AIC</w:t>
            </w:r>
          </w:p>
        </w:tc>
        <w:tc>
          <w:tcPr>
            <w:tcW w:w="202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8782246">
            <w:pPr>
              <w:keepNext/>
              <w:spacing w:after="0" w:line="240" w:lineRule="auto"/>
              <w:jc w:val="center"/>
            </w:pPr>
            <w:r>
              <w:rPr>
                <w:b/>
                <w:bCs/>
                <w:color w:val="FFFFFF"/>
                <w:sz w:val="18"/>
                <w:szCs w:val="18"/>
              </w:rPr>
              <w:t>BIC</w:t>
            </w:r>
          </w:p>
        </w:tc>
        <w:tc>
          <w:tcPr>
            <w:tcW w:w="202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500FA46">
            <w:pPr>
              <w:keepNext/>
              <w:spacing w:after="0" w:line="240" w:lineRule="auto"/>
              <w:jc w:val="center"/>
            </w:pPr>
            <w:r>
              <w:rPr>
                <w:b/>
                <w:bCs/>
                <w:color w:val="FFFFFF"/>
                <w:sz w:val="18"/>
                <w:szCs w:val="18"/>
              </w:rPr>
              <w:t>HQIC</w:t>
            </w:r>
          </w:p>
        </w:tc>
        <w:tc>
          <w:tcPr>
            <w:tcW w:w="202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FE17180">
            <w:pPr>
              <w:keepNext/>
              <w:spacing w:after="0" w:line="240" w:lineRule="auto"/>
              <w:jc w:val="center"/>
            </w:pPr>
            <w:r>
              <w:rPr>
                <w:b/>
                <w:bCs/>
                <w:color w:val="FFFFFF"/>
                <w:sz w:val="18"/>
                <w:szCs w:val="18"/>
              </w:rPr>
              <w:t>FPE</w:t>
            </w:r>
          </w:p>
        </w:tc>
      </w:tr>
      <w:tr w14:paraId="6345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5EE7904D">
            <w:pPr>
              <w:keepNext/>
              <w:spacing w:after="0" w:line="240" w:lineRule="auto"/>
              <w:jc w:val="left"/>
            </w:pPr>
            <w:r>
              <w:rPr>
                <w:sz w:val="18"/>
                <w:szCs w:val="18"/>
              </w:rPr>
              <w:t>0</w:t>
            </w:r>
          </w:p>
        </w:tc>
        <w:tc>
          <w:tcPr>
            <w:tcW w:w="2024"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5D89D0CE">
            <w:pPr>
              <w:keepNext/>
              <w:spacing w:after="0" w:line="240" w:lineRule="auto"/>
              <w:jc w:val="center"/>
            </w:pPr>
            <w:r>
              <w:rPr>
                <w:sz w:val="18"/>
                <w:szCs w:val="18"/>
              </w:rPr>
              <w:t>0,17124</w:t>
            </w:r>
          </w:p>
        </w:tc>
        <w:tc>
          <w:tcPr>
            <w:tcW w:w="2024"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56B77F32">
            <w:pPr>
              <w:keepNext/>
              <w:spacing w:after="0" w:line="240" w:lineRule="auto"/>
              <w:jc w:val="center"/>
            </w:pPr>
            <w:r>
              <w:rPr>
                <w:sz w:val="18"/>
                <w:szCs w:val="18"/>
              </w:rPr>
              <w:t>0,17467</w:t>
            </w:r>
          </w:p>
        </w:tc>
        <w:tc>
          <w:tcPr>
            <w:tcW w:w="2024"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49F6E47B">
            <w:pPr>
              <w:keepNext/>
              <w:spacing w:after="0" w:line="240" w:lineRule="auto"/>
              <w:jc w:val="center"/>
            </w:pPr>
            <w:r>
              <w:rPr>
                <w:sz w:val="18"/>
                <w:szCs w:val="18"/>
              </w:rPr>
              <w:t>0,17246</w:t>
            </w:r>
          </w:p>
        </w:tc>
        <w:tc>
          <w:tcPr>
            <w:tcW w:w="2024"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4ECB0594">
            <w:pPr>
              <w:keepNext/>
              <w:spacing w:after="0" w:line="240" w:lineRule="auto"/>
              <w:jc w:val="center"/>
            </w:pPr>
            <w:r>
              <w:rPr>
                <w:sz w:val="18"/>
                <w:szCs w:val="18"/>
              </w:rPr>
              <w:t>1,18677</w:t>
            </w:r>
          </w:p>
        </w:tc>
      </w:tr>
      <w:tr w14:paraId="7AB0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A8828DD">
            <w:pPr>
              <w:keepNext/>
              <w:spacing w:after="0" w:line="240" w:lineRule="auto"/>
              <w:jc w:val="left"/>
            </w:pPr>
            <w:r>
              <w:rPr>
                <w:sz w:val="18"/>
                <w:szCs w:val="18"/>
              </w:rPr>
              <w:t>1</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CC89295">
            <w:pPr>
              <w:keepNext/>
              <w:spacing w:after="0" w:line="240" w:lineRule="auto"/>
              <w:jc w:val="center"/>
            </w:pPr>
            <w:r>
              <w:rPr>
                <w:sz w:val="18"/>
                <w:szCs w:val="18"/>
              </w:rPr>
              <w:t>0,17168</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0DF9B71">
            <w:pPr>
              <w:keepNext/>
              <w:spacing w:after="0" w:line="240" w:lineRule="auto"/>
              <w:jc w:val="center"/>
            </w:pPr>
            <w:r>
              <w:rPr>
                <w:sz w:val="18"/>
                <w:szCs w:val="18"/>
              </w:rPr>
              <w:t>0,18197</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1C0BDC6">
            <w:pPr>
              <w:keepNext/>
              <w:spacing w:after="0" w:line="240" w:lineRule="auto"/>
              <w:jc w:val="center"/>
            </w:pPr>
            <w:r>
              <w:rPr>
                <w:sz w:val="18"/>
                <w:szCs w:val="18"/>
              </w:rPr>
              <w:t>0,17535</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F7E7E80">
            <w:pPr>
              <w:keepNext/>
              <w:spacing w:after="0" w:line="240" w:lineRule="auto"/>
              <w:jc w:val="center"/>
            </w:pPr>
            <w:r>
              <w:rPr>
                <w:sz w:val="18"/>
                <w:szCs w:val="18"/>
              </w:rPr>
              <w:t>1,18730</w:t>
            </w:r>
          </w:p>
        </w:tc>
      </w:tr>
      <w:tr w14:paraId="4006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2EA58E6">
            <w:pPr>
              <w:keepNext/>
              <w:spacing w:after="0" w:line="240" w:lineRule="auto"/>
              <w:jc w:val="left"/>
            </w:pPr>
            <w:r>
              <w:rPr>
                <w:sz w:val="18"/>
                <w:szCs w:val="18"/>
              </w:rPr>
              <w:t>2</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BC7506E">
            <w:pPr>
              <w:keepNext/>
              <w:spacing w:after="0" w:line="240" w:lineRule="auto"/>
              <w:jc w:val="center"/>
            </w:pPr>
            <w:r>
              <w:rPr>
                <w:sz w:val="18"/>
                <w:szCs w:val="18"/>
              </w:rPr>
              <w:t>0,17282</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397DDBF">
            <w:pPr>
              <w:keepNext/>
              <w:spacing w:after="0" w:line="240" w:lineRule="auto"/>
              <w:jc w:val="center"/>
            </w:pPr>
            <w:r>
              <w:rPr>
                <w:sz w:val="18"/>
                <w:szCs w:val="18"/>
              </w:rPr>
              <w:t>0,18998</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FA83321">
            <w:pPr>
              <w:keepNext/>
              <w:spacing w:after="0" w:line="240" w:lineRule="auto"/>
              <w:jc w:val="center"/>
            </w:pPr>
            <w:r>
              <w:rPr>
                <w:sz w:val="18"/>
                <w:szCs w:val="18"/>
              </w:rPr>
              <w:t>0,17894</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F21503B">
            <w:pPr>
              <w:keepNext/>
              <w:spacing w:after="0" w:line="240" w:lineRule="auto"/>
              <w:jc w:val="center"/>
            </w:pPr>
            <w:r>
              <w:rPr>
                <w:sz w:val="18"/>
                <w:szCs w:val="18"/>
              </w:rPr>
              <w:t>1,18866</w:t>
            </w:r>
          </w:p>
        </w:tc>
      </w:tr>
      <w:tr w14:paraId="28C2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362F34B">
            <w:pPr>
              <w:keepNext/>
              <w:spacing w:after="0" w:line="240" w:lineRule="auto"/>
              <w:jc w:val="left"/>
            </w:pPr>
            <w:r>
              <w:rPr>
                <w:sz w:val="18"/>
                <w:szCs w:val="18"/>
              </w:rPr>
              <w:t>3</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270F2C6">
            <w:pPr>
              <w:keepNext/>
              <w:spacing w:after="0" w:line="240" w:lineRule="auto"/>
              <w:jc w:val="center"/>
            </w:pPr>
            <w:r>
              <w:rPr>
                <w:sz w:val="18"/>
                <w:szCs w:val="18"/>
              </w:rPr>
              <w:t>0,17386</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6D9308D">
            <w:pPr>
              <w:keepNext/>
              <w:spacing w:after="0" w:line="240" w:lineRule="auto"/>
              <w:jc w:val="center"/>
            </w:pPr>
            <w:r>
              <w:rPr>
                <w:sz w:val="18"/>
                <w:szCs w:val="18"/>
              </w:rPr>
              <w:t>0,19787</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AD048D0">
            <w:pPr>
              <w:keepNext/>
              <w:spacing w:after="0" w:line="240" w:lineRule="auto"/>
              <w:jc w:val="center"/>
            </w:pPr>
            <w:r>
              <w:rPr>
                <w:sz w:val="18"/>
                <w:szCs w:val="18"/>
              </w:rPr>
              <w:t>0,18242</w:t>
            </w:r>
          </w:p>
        </w:tc>
        <w:tc>
          <w:tcPr>
            <w:tcW w:w="202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C90A016">
            <w:pPr>
              <w:keepNext/>
              <w:spacing w:after="0" w:line="240" w:lineRule="auto"/>
              <w:jc w:val="center"/>
            </w:pPr>
            <w:r>
              <w:rPr>
                <w:sz w:val="18"/>
                <w:szCs w:val="18"/>
              </w:rPr>
              <w:t>1,18989</w:t>
            </w:r>
          </w:p>
        </w:tc>
      </w:tr>
      <w:tr w14:paraId="554B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0EAFD27">
            <w:pPr>
              <w:keepNext w:val="0"/>
              <w:spacing w:after="0" w:line="240" w:lineRule="auto"/>
              <w:jc w:val="left"/>
            </w:pPr>
            <w:r>
              <w:rPr>
                <w:sz w:val="18"/>
                <w:szCs w:val="18"/>
              </w:rPr>
              <w:t>10</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856963B">
            <w:pPr>
              <w:keepNext w:val="0"/>
              <w:spacing w:after="0" w:line="240" w:lineRule="auto"/>
              <w:jc w:val="center"/>
            </w:pPr>
            <w:r>
              <w:rPr>
                <w:sz w:val="18"/>
                <w:szCs w:val="18"/>
              </w:rPr>
              <w:t>0,17814</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FDE1522">
            <w:pPr>
              <w:keepNext w:val="0"/>
              <w:spacing w:after="0" w:line="240" w:lineRule="auto"/>
              <w:jc w:val="center"/>
            </w:pPr>
            <w:r>
              <w:rPr>
                <w:sz w:val="18"/>
                <w:szCs w:val="18"/>
              </w:rPr>
              <w:t>0,25017</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7BDB84F">
            <w:pPr>
              <w:keepNext w:val="0"/>
              <w:spacing w:after="0" w:line="240" w:lineRule="auto"/>
              <w:jc w:val="center"/>
            </w:pPr>
            <w:r>
              <w:rPr>
                <w:sz w:val="18"/>
                <w:szCs w:val="18"/>
              </w:rPr>
              <w:t>0,20380</w:t>
            </w:r>
          </w:p>
        </w:tc>
        <w:tc>
          <w:tcPr>
            <w:tcW w:w="202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4569B8F">
            <w:pPr>
              <w:keepNext w:val="0"/>
              <w:spacing w:after="0" w:line="240" w:lineRule="auto"/>
              <w:jc w:val="center"/>
            </w:pPr>
            <w:r>
              <w:rPr>
                <w:sz w:val="18"/>
                <w:szCs w:val="18"/>
              </w:rPr>
              <w:t>1,19499</w:t>
            </w:r>
          </w:p>
        </w:tc>
      </w:tr>
    </w:tbl>
    <w:p w14:paraId="57199569">
      <w:pPr>
        <w:spacing w:before="0" w:after="80"/>
      </w:pPr>
    </w:p>
    <w:p w14:paraId="3C367D2D">
      <w:pPr>
        <w:spacing w:after="120" w:line="276" w:lineRule="auto"/>
        <w:jc w:val="both"/>
      </w:pPr>
      <w:r>
        <w:t>Les quatre critères choisissent VAR(0). Ce modèle prévoit simplement le rendement moyen de l’apprentissage (0,0192 % pour GLD et 0,0136 % pour SLV). En prix, c’est une marche aléatoire avec dérive.</w:t>
      </w:r>
    </w:p>
    <w:p w14:paraId="72714191">
      <w:pPr>
        <w:spacing w:after="120" w:line="276" w:lineRule="auto"/>
        <w:jc w:val="both"/>
      </w:pPr>
      <w:r>
        <w:t>Un VAR(1) est estimé pour tester la causalité de Granger. Aucun coefficient retardé n’est significatif. Avec un retard, l’absence de causalité n’est pas rejetée au seuil de 5 %, dans les deux sens : SLV vers GLD (p = 0,6889) et GLD vers SLV (p = 0,6726). Les deux métaux bougent ensemble le même jour, mais rien n’indique que l’un aide à prévoir l’autre.</w:t>
      </w:r>
    </w:p>
    <w:p w14:paraId="406B09EA">
      <w:pPr>
        <w:spacing w:after="120" w:line="276" w:lineRule="auto"/>
        <w:jc w:val="both"/>
      </w:pPr>
      <w:r>
        <w:t>Les résidus des deux VAR restent autocorrélés à 20 retards (p ≈ 0,01), non normaux et avec des effets ARCH.</w:t>
      </w:r>
    </w:p>
    <w:p w14:paraId="07F66C8B">
      <w:pPr>
        <w:pStyle w:val="3"/>
        <w:keepNext/>
      </w:pPr>
      <w:r>
        <w:t>3.3. Cointégration</w:t>
      </w:r>
    </w:p>
    <w:p w14:paraId="15FD1330">
      <w:pPr>
        <w:keepNext/>
        <w:spacing w:before="160" w:after="80"/>
      </w:pPr>
      <w:r>
        <w:rPr>
          <w:b/>
          <w:bCs/>
          <w:color w:val="1F3864"/>
          <w:sz w:val="20"/>
          <w:szCs w:val="20"/>
        </w:rPr>
        <w:t xml:space="preserve">Tableau 8 : </w:t>
      </w:r>
      <w:r>
        <w:rPr>
          <w:color w:val="1F3864"/>
          <w:sz w:val="20"/>
          <w:szCs w:val="20"/>
        </w:rPr>
        <w:t>Tests de cointégration sur les log-prix</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2120"/>
        <w:gridCol w:w="1253"/>
        <w:gridCol w:w="1638"/>
        <w:gridCol w:w="1060"/>
        <w:gridCol w:w="2025"/>
      </w:tblGrid>
      <w:tr w14:paraId="59DC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1284936">
            <w:pPr>
              <w:keepNext/>
              <w:spacing w:after="0" w:line="240" w:lineRule="auto"/>
              <w:jc w:val="left"/>
            </w:pPr>
            <w:r>
              <w:rPr>
                <w:b/>
                <w:bCs/>
                <w:color w:val="FFFFFF"/>
                <w:sz w:val="18"/>
                <w:szCs w:val="18"/>
              </w:rPr>
              <w:t>Test</w:t>
            </w:r>
          </w:p>
        </w:tc>
        <w:tc>
          <w:tcPr>
            <w:tcW w:w="21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D9D0078">
            <w:pPr>
              <w:keepNext/>
              <w:spacing w:after="0" w:line="240" w:lineRule="auto"/>
              <w:jc w:val="left"/>
            </w:pPr>
            <w:r>
              <w:rPr>
                <w:b/>
                <w:bCs/>
                <w:color w:val="FFFFFF"/>
                <w:sz w:val="18"/>
                <w:szCs w:val="18"/>
              </w:rPr>
              <w:t>Hypothèse</w:t>
            </w:r>
          </w:p>
        </w:tc>
        <w:tc>
          <w:tcPr>
            <w:tcW w:w="1253"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BCC4CBA">
            <w:pPr>
              <w:keepNext/>
              <w:spacing w:after="0" w:line="240" w:lineRule="auto"/>
              <w:jc w:val="center"/>
            </w:pPr>
            <w:r>
              <w:rPr>
                <w:b/>
                <w:bCs/>
                <w:color w:val="FFFFFF"/>
                <w:sz w:val="18"/>
                <w:szCs w:val="18"/>
              </w:rPr>
              <w:t>Statistique</w:t>
            </w:r>
          </w:p>
        </w:tc>
        <w:tc>
          <w:tcPr>
            <w:tcW w:w="163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2CF3719">
            <w:pPr>
              <w:keepNext/>
              <w:spacing w:after="0" w:line="240" w:lineRule="auto"/>
              <w:jc w:val="center"/>
            </w:pPr>
            <w:r>
              <w:rPr>
                <w:b/>
                <w:bCs/>
                <w:color w:val="FFFFFF"/>
                <w:sz w:val="18"/>
                <w:szCs w:val="18"/>
              </w:rPr>
              <w:t>Valeur critique 5 %</w:t>
            </w:r>
          </w:p>
        </w:tc>
        <w:tc>
          <w:tcPr>
            <w:tcW w:w="106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B55CEED">
            <w:pPr>
              <w:keepNext/>
              <w:spacing w:after="0" w:line="240" w:lineRule="auto"/>
              <w:jc w:val="center"/>
            </w:pPr>
            <w:r>
              <w:rPr>
                <w:b/>
                <w:bCs/>
                <w:color w:val="FFFFFF"/>
                <w:sz w:val="18"/>
                <w:szCs w:val="18"/>
              </w:rPr>
              <w:t>p-value</w:t>
            </w:r>
          </w:p>
        </w:tc>
        <w:tc>
          <w:tcPr>
            <w:tcW w:w="2025"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EAF0D4F">
            <w:pPr>
              <w:keepNext/>
              <w:spacing w:after="0" w:line="240" w:lineRule="auto"/>
              <w:jc w:val="left"/>
            </w:pPr>
            <w:r>
              <w:rPr>
                <w:b/>
                <w:bCs/>
                <w:color w:val="FFFFFF"/>
                <w:sz w:val="18"/>
                <w:szCs w:val="18"/>
              </w:rPr>
              <w:t>Décision</w:t>
            </w:r>
          </w:p>
        </w:tc>
      </w:tr>
      <w:tr w14:paraId="5D62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651E6EA">
            <w:pPr>
              <w:keepNext/>
              <w:spacing w:after="0" w:line="240" w:lineRule="auto"/>
              <w:jc w:val="left"/>
            </w:pPr>
            <w:r>
              <w:rPr>
                <w:sz w:val="18"/>
                <w:szCs w:val="18"/>
              </w:rPr>
              <w:t>Engle–Granger</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935098B">
            <w:pPr>
              <w:keepNext/>
              <w:spacing w:after="0" w:line="240" w:lineRule="auto"/>
              <w:jc w:val="left"/>
            </w:pPr>
            <w:r>
              <w:rPr>
                <w:sz w:val="18"/>
                <w:szCs w:val="18"/>
              </w:rPr>
              <w:t>GLD expliqué par SLV</w:t>
            </w:r>
          </w:p>
        </w:tc>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0C72C40">
            <w:pPr>
              <w:keepNext/>
              <w:spacing w:after="0" w:line="240" w:lineRule="auto"/>
              <w:jc w:val="center"/>
            </w:pPr>
            <w:r>
              <w:rPr>
                <w:sz w:val="18"/>
                <w:szCs w:val="18"/>
              </w:rPr>
              <w:t>−0,660</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6A2063B">
            <w:pPr>
              <w:keepNext/>
              <w:spacing w:after="0" w:line="240" w:lineRule="auto"/>
              <w:jc w:val="center"/>
            </w:pPr>
            <w:r>
              <w:rPr>
                <w:sz w:val="18"/>
                <w:szCs w:val="18"/>
              </w:rPr>
              <w:t>−3,338</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C9E9712">
            <w:pPr>
              <w:keepNext/>
              <w:spacing w:after="0" w:line="240" w:lineRule="auto"/>
              <w:jc w:val="center"/>
            </w:pPr>
            <w:r>
              <w:rPr>
                <w:sz w:val="18"/>
                <w:szCs w:val="18"/>
              </w:rPr>
              <w:t>0,9508</w:t>
            </w:r>
          </w:p>
        </w:tc>
        <w:tc>
          <w:tcPr>
            <w:tcW w:w="202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D372AAC">
            <w:pPr>
              <w:keepNext/>
              <w:spacing w:after="0" w:line="240" w:lineRule="auto"/>
              <w:jc w:val="left"/>
            </w:pPr>
            <w:r>
              <w:rPr>
                <w:sz w:val="18"/>
                <w:szCs w:val="18"/>
              </w:rPr>
              <w:t>Pas de cointégration</w:t>
            </w:r>
          </w:p>
        </w:tc>
      </w:tr>
      <w:tr w14:paraId="53ED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ADBB8DA">
            <w:pPr>
              <w:keepNext/>
              <w:spacing w:after="0" w:line="240" w:lineRule="auto"/>
              <w:jc w:val="left"/>
            </w:pPr>
            <w:r>
              <w:rPr>
                <w:sz w:val="18"/>
                <w:szCs w:val="18"/>
              </w:rPr>
              <w:t>Engle–Granger</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5DCFDD7">
            <w:pPr>
              <w:keepNext/>
              <w:spacing w:after="0" w:line="240" w:lineRule="auto"/>
              <w:jc w:val="left"/>
            </w:pPr>
            <w:r>
              <w:rPr>
                <w:sz w:val="18"/>
                <w:szCs w:val="18"/>
              </w:rPr>
              <w:t>SLV expliqué par GLD</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9981A1C">
            <w:pPr>
              <w:keepNext/>
              <w:spacing w:after="0" w:line="240" w:lineRule="auto"/>
              <w:jc w:val="center"/>
            </w:pPr>
            <w:r>
              <w:rPr>
                <w:sz w:val="18"/>
                <w:szCs w:val="18"/>
              </w:rPr>
              <w:t>−1,792</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A2EF21E">
            <w:pPr>
              <w:keepNext/>
              <w:spacing w:after="0" w:line="240" w:lineRule="auto"/>
              <w:jc w:val="center"/>
            </w:pPr>
            <w:r>
              <w:rPr>
                <w:sz w:val="18"/>
                <w:szCs w:val="18"/>
              </w:rPr>
              <w:t>−3,338</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40C9166">
            <w:pPr>
              <w:keepNext/>
              <w:spacing w:after="0" w:line="240" w:lineRule="auto"/>
              <w:jc w:val="center"/>
            </w:pPr>
            <w:r>
              <w:rPr>
                <w:sz w:val="18"/>
                <w:szCs w:val="18"/>
              </w:rPr>
              <w:t>0,6334</w:t>
            </w:r>
          </w:p>
        </w:tc>
        <w:tc>
          <w:tcPr>
            <w:tcW w:w="202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F79864F">
            <w:pPr>
              <w:keepNext/>
              <w:spacing w:after="0" w:line="240" w:lineRule="auto"/>
              <w:jc w:val="left"/>
            </w:pPr>
            <w:r>
              <w:rPr>
                <w:sz w:val="18"/>
                <w:szCs w:val="18"/>
              </w:rPr>
              <w:t>Pas de cointégration</w:t>
            </w:r>
          </w:p>
        </w:tc>
      </w:tr>
      <w:tr w14:paraId="66C3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AC553E1">
            <w:pPr>
              <w:keepNext/>
              <w:spacing w:after="0" w:line="240" w:lineRule="auto"/>
              <w:jc w:val="left"/>
            </w:pPr>
            <w:r>
              <w:rPr>
                <w:sz w:val="18"/>
                <w:szCs w:val="18"/>
              </w:rPr>
              <w:t>Johansen (R)</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826ED78">
            <w:pPr>
              <w:keepNext/>
              <w:spacing w:after="0" w:line="240" w:lineRule="auto"/>
              <w:jc w:val="left"/>
            </w:pPr>
            <w:r>
              <w:rPr>
                <w:sz w:val="18"/>
                <w:szCs w:val="18"/>
              </w:rPr>
              <w:t>r = 0</w:t>
            </w:r>
          </w:p>
        </w:tc>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307E2B7">
            <w:pPr>
              <w:keepNext/>
              <w:spacing w:after="0" w:line="240" w:lineRule="auto"/>
              <w:jc w:val="center"/>
            </w:pPr>
            <w:r>
              <w:rPr>
                <w:sz w:val="18"/>
                <w:szCs w:val="18"/>
              </w:rPr>
              <w:t>7,14</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FC530B9">
            <w:pPr>
              <w:keepNext/>
              <w:spacing w:after="0" w:line="240" w:lineRule="auto"/>
              <w:jc w:val="center"/>
            </w:pPr>
            <w:r>
              <w:rPr>
                <w:sz w:val="18"/>
                <w:szCs w:val="18"/>
              </w:rPr>
              <w:t>19,96</w:t>
            </w:r>
          </w:p>
        </w:tc>
        <w:tc>
          <w:tcPr>
            <w:tcW w:w="106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B2DAE9C">
            <w:pPr>
              <w:keepNext/>
              <w:spacing w:after="0" w:line="240" w:lineRule="auto"/>
              <w:jc w:val="center"/>
            </w:pPr>
          </w:p>
        </w:tc>
        <w:tc>
          <w:tcPr>
            <w:tcW w:w="202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3E2ED71">
            <w:pPr>
              <w:keepNext/>
              <w:spacing w:after="0" w:line="240" w:lineRule="auto"/>
              <w:jc w:val="left"/>
            </w:pPr>
            <w:r>
              <w:rPr>
                <w:sz w:val="18"/>
                <w:szCs w:val="18"/>
              </w:rPr>
              <w:t>Pas de cointégration</w:t>
            </w:r>
          </w:p>
        </w:tc>
      </w:tr>
      <w:tr w14:paraId="2E3A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D595550">
            <w:pPr>
              <w:keepNext w:val="0"/>
              <w:spacing w:after="0" w:line="240" w:lineRule="auto"/>
              <w:jc w:val="left"/>
            </w:pPr>
            <w:r>
              <w:rPr>
                <w:sz w:val="18"/>
                <w:szCs w:val="18"/>
              </w:rPr>
              <w:t>Johansen (R)</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3BAA4F5">
            <w:pPr>
              <w:keepNext w:val="0"/>
              <w:spacing w:after="0" w:line="240" w:lineRule="auto"/>
              <w:jc w:val="left"/>
            </w:pPr>
            <w:r>
              <w:rPr>
                <w:sz w:val="18"/>
                <w:szCs w:val="18"/>
              </w:rPr>
              <w:t>r &lt;= 1</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9667A1F">
            <w:pPr>
              <w:keepNext w:val="0"/>
              <w:spacing w:after="0" w:line="240" w:lineRule="auto"/>
              <w:jc w:val="center"/>
            </w:pPr>
            <w:r>
              <w:rPr>
                <w:sz w:val="18"/>
                <w:szCs w:val="18"/>
              </w:rPr>
              <w:t>2,41</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459494C">
            <w:pPr>
              <w:keepNext w:val="0"/>
              <w:spacing w:after="0" w:line="240" w:lineRule="auto"/>
              <w:jc w:val="center"/>
            </w:pPr>
            <w:r>
              <w:rPr>
                <w:sz w:val="18"/>
                <w:szCs w:val="18"/>
              </w:rPr>
              <w:t>9,24</w:t>
            </w:r>
          </w:p>
        </w:tc>
        <w:tc>
          <w:tcPr>
            <w:tcW w:w="106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4040560">
            <w:pPr>
              <w:keepNext w:val="0"/>
              <w:spacing w:after="0" w:line="240" w:lineRule="auto"/>
              <w:jc w:val="center"/>
            </w:pPr>
          </w:p>
        </w:tc>
        <w:tc>
          <w:tcPr>
            <w:tcW w:w="202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982A26A">
            <w:pPr>
              <w:keepNext w:val="0"/>
              <w:spacing w:after="0" w:line="240" w:lineRule="auto"/>
              <w:jc w:val="left"/>
            </w:pPr>
            <w:r>
              <w:rPr>
                <w:sz w:val="18"/>
                <w:szCs w:val="18"/>
              </w:rPr>
              <w:t>Pas de cointégration</w:t>
            </w:r>
          </w:p>
        </w:tc>
      </w:tr>
    </w:tbl>
    <w:p w14:paraId="053296BF">
      <w:pPr>
        <w:spacing w:before="0" w:after="80"/>
      </w:pPr>
    </w:p>
    <w:p w14:paraId="72CBB109">
      <w:pPr>
        <w:spacing w:after="120" w:line="276" w:lineRule="auto"/>
        <w:jc w:val="both"/>
      </w:pPr>
      <w:r>
        <w:t>Avec les spécifications retenues, les deux tests ne détectent pas de cointégration entre les log-prix. Nous n’estimons donc pas de VECM.</w:t>
      </w:r>
    </w:p>
    <w:p w14:paraId="4A9467DB">
      <w:pPr>
        <w:pStyle w:val="3"/>
        <w:keepNext/>
      </w:pPr>
      <w:r>
        <w:t>3.4. Volatilité : GARCH</w:t>
      </w:r>
    </w:p>
    <w:p w14:paraId="7B0ABDBC">
      <w:pPr>
        <w:spacing w:after="120" w:line="276" w:lineRule="auto"/>
        <w:jc w:val="both"/>
      </w:pPr>
      <w:r>
        <w:t>Comme les résidus ont des effets ARCH, nous estimons un GARCH(1,1) sur les rendements, avec une moyenne nulle et une loi de Student pour les queues épaisses :</w:t>
      </w:r>
    </w:p>
    <w:p w14:paraId="4B5DF7D1">
      <w:pPr>
        <w:spacing w:before="60" w:after="120"/>
        <w:jc w:val="center"/>
      </w:pPr>
      <w:r>
        <w:rPr>
          <w:i/>
          <w:iCs/>
        </w:rPr>
        <w:t>r</w:t>
      </w:r>
      <w:r>
        <w:t xml:space="preserve">ₜ = σₜ </w:t>
      </w:r>
      <w:r>
        <w:rPr>
          <w:i/>
          <w:iCs/>
        </w:rPr>
        <w:t>z</w:t>
      </w:r>
      <w:r>
        <w:t xml:space="preserve">ₜ,   σₜ² = ω + α </w:t>
      </w:r>
      <w:r>
        <w:rPr>
          <w:i/>
          <w:iCs/>
        </w:rPr>
        <w:t>r</w:t>
      </w:r>
      <w:r>
        <w:t xml:space="preserve">ₜ₋₁² + β σₜ₋₁²,   </w:t>
      </w:r>
      <w:r>
        <w:rPr>
          <w:i/>
          <w:iCs/>
        </w:rPr>
        <w:t>z</w:t>
      </w:r>
      <w:r>
        <w:t>ₜ suit une loi de Student</w:t>
      </w:r>
    </w:p>
    <w:p w14:paraId="07BD535A">
      <w:pPr>
        <w:keepNext/>
        <w:spacing w:before="160" w:after="80"/>
      </w:pPr>
      <w:r>
        <w:rPr>
          <w:b/>
          <w:bCs/>
          <w:color w:val="1F3864"/>
          <w:sz w:val="20"/>
          <w:szCs w:val="20"/>
        </w:rPr>
        <w:t xml:space="preserve">Tableau 9 : </w:t>
      </w:r>
      <w:r>
        <w:rPr>
          <w:color w:val="1F3864"/>
          <w:sz w:val="20"/>
          <w:szCs w:val="20"/>
        </w:rPr>
        <w:t>Paramètres du GARCH(1,1) Student en Python et en R</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7"/>
        <w:gridCol w:w="1349"/>
        <w:gridCol w:w="1446"/>
        <w:gridCol w:w="1446"/>
        <w:gridCol w:w="1446"/>
        <w:gridCol w:w="1446"/>
        <w:gridCol w:w="1348"/>
      </w:tblGrid>
      <w:tr w14:paraId="2E37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5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AD2FF7F">
            <w:pPr>
              <w:keepNext/>
              <w:spacing w:after="0" w:line="240" w:lineRule="auto"/>
              <w:jc w:val="left"/>
            </w:pPr>
            <w:r>
              <w:rPr>
                <w:b/>
                <w:bCs/>
                <w:color w:val="FFFFFF"/>
                <w:sz w:val="18"/>
                <w:szCs w:val="18"/>
              </w:rPr>
              <w:t>Actif</w:t>
            </w:r>
          </w:p>
        </w:tc>
        <w:tc>
          <w:tcPr>
            <w:tcW w:w="134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90E1C6A">
            <w:pPr>
              <w:keepNext/>
              <w:spacing w:after="0" w:line="240" w:lineRule="auto"/>
              <w:jc w:val="center"/>
            </w:pPr>
            <w:r>
              <w:rPr>
                <w:b/>
                <w:bCs/>
                <w:color w:val="FFFFFF"/>
                <w:sz w:val="18"/>
                <w:szCs w:val="18"/>
              </w:rPr>
              <w:t>Logiciel</w:t>
            </w:r>
          </w:p>
        </w:tc>
        <w:tc>
          <w:tcPr>
            <w:tcW w:w="144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3778550">
            <w:pPr>
              <w:keepNext/>
              <w:spacing w:after="0" w:line="240" w:lineRule="auto"/>
              <w:jc w:val="center"/>
            </w:pPr>
            <w:r>
              <w:rPr>
                <w:b/>
                <w:bCs/>
                <w:color w:val="FFFFFF"/>
                <w:sz w:val="18"/>
                <w:szCs w:val="18"/>
              </w:rPr>
              <w:t>ω</w:t>
            </w:r>
          </w:p>
        </w:tc>
        <w:tc>
          <w:tcPr>
            <w:tcW w:w="144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363A71C">
            <w:pPr>
              <w:keepNext/>
              <w:spacing w:after="0" w:line="240" w:lineRule="auto"/>
              <w:jc w:val="center"/>
            </w:pPr>
            <w:r>
              <w:rPr>
                <w:b/>
                <w:bCs/>
                <w:color w:val="FFFFFF"/>
                <w:sz w:val="18"/>
                <w:szCs w:val="18"/>
              </w:rPr>
              <w:t>α</w:t>
            </w:r>
          </w:p>
        </w:tc>
        <w:tc>
          <w:tcPr>
            <w:tcW w:w="144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2803D40">
            <w:pPr>
              <w:keepNext/>
              <w:spacing w:after="0" w:line="240" w:lineRule="auto"/>
              <w:jc w:val="center"/>
            </w:pPr>
            <w:r>
              <w:rPr>
                <w:b/>
                <w:bCs/>
                <w:color w:val="FFFFFF"/>
                <w:sz w:val="18"/>
                <w:szCs w:val="18"/>
              </w:rPr>
              <w:t>β</w:t>
            </w:r>
          </w:p>
        </w:tc>
        <w:tc>
          <w:tcPr>
            <w:tcW w:w="144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F4E2CFA">
            <w:pPr>
              <w:keepNext/>
              <w:spacing w:after="0" w:line="240" w:lineRule="auto"/>
              <w:jc w:val="center"/>
            </w:pPr>
            <w:r>
              <w:rPr>
                <w:b/>
                <w:bCs/>
                <w:color w:val="FFFFFF"/>
                <w:sz w:val="18"/>
                <w:szCs w:val="18"/>
              </w:rPr>
              <w:t>α + β</w:t>
            </w:r>
          </w:p>
        </w:tc>
        <w:tc>
          <w:tcPr>
            <w:tcW w:w="134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AD78A10">
            <w:pPr>
              <w:keepNext/>
              <w:spacing w:after="0" w:line="240" w:lineRule="auto"/>
              <w:jc w:val="center"/>
            </w:pPr>
            <w:r>
              <w:rPr>
                <w:b/>
                <w:bCs/>
                <w:color w:val="FFFFFF"/>
                <w:sz w:val="18"/>
                <w:szCs w:val="18"/>
              </w:rPr>
              <w:t>ν (Student)</w:t>
            </w:r>
          </w:p>
        </w:tc>
      </w:tr>
      <w:tr w14:paraId="18F7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1DBA31F">
            <w:pPr>
              <w:keepNext/>
              <w:spacing w:after="0" w:line="240" w:lineRule="auto"/>
              <w:jc w:val="left"/>
            </w:pPr>
            <w:r>
              <w:rPr>
                <w:sz w:val="18"/>
                <w:szCs w:val="18"/>
              </w:rPr>
              <w:t>GLD</w:t>
            </w:r>
          </w:p>
        </w:tc>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7B61C77">
            <w:pPr>
              <w:keepNext/>
              <w:spacing w:after="0" w:line="240" w:lineRule="auto"/>
              <w:jc w:val="center"/>
            </w:pPr>
            <w:r>
              <w:rPr>
                <w:sz w:val="18"/>
                <w:szCs w:val="18"/>
              </w:rPr>
              <w:t>Python</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754EA3C">
            <w:pPr>
              <w:keepNext/>
              <w:spacing w:after="0" w:line="240" w:lineRule="auto"/>
              <w:jc w:val="center"/>
            </w:pPr>
            <w:r>
              <w:rPr>
                <w:sz w:val="18"/>
                <w:szCs w:val="18"/>
              </w:rPr>
              <w:t>0,0115</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4F38926">
            <w:pPr>
              <w:keepNext/>
              <w:spacing w:after="0" w:line="240" w:lineRule="auto"/>
              <w:jc w:val="center"/>
            </w:pPr>
            <w:r>
              <w:rPr>
                <w:sz w:val="18"/>
                <w:szCs w:val="18"/>
              </w:rPr>
              <w:t>0,0414</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E7923BD">
            <w:pPr>
              <w:keepNext/>
              <w:spacing w:after="0" w:line="240" w:lineRule="auto"/>
              <w:jc w:val="center"/>
            </w:pPr>
            <w:r>
              <w:rPr>
                <w:sz w:val="18"/>
                <w:szCs w:val="18"/>
              </w:rPr>
              <w:t>0,9477</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E4E49ED">
            <w:pPr>
              <w:keepNext/>
              <w:spacing w:after="0" w:line="240" w:lineRule="auto"/>
              <w:jc w:val="center"/>
            </w:pPr>
            <w:r>
              <w:rPr>
                <w:sz w:val="18"/>
                <w:szCs w:val="18"/>
              </w:rPr>
              <w:t>0,9891</w:t>
            </w:r>
          </w:p>
        </w:tc>
        <w:tc>
          <w:tcPr>
            <w:tcW w:w="134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BF36B8F">
            <w:pPr>
              <w:keepNext/>
              <w:spacing w:after="0" w:line="240" w:lineRule="auto"/>
              <w:jc w:val="center"/>
            </w:pPr>
            <w:r>
              <w:rPr>
                <w:sz w:val="18"/>
                <w:szCs w:val="18"/>
              </w:rPr>
              <w:t>4,89</w:t>
            </w:r>
          </w:p>
        </w:tc>
      </w:tr>
      <w:tr w14:paraId="240F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F12FEFA">
            <w:pPr>
              <w:keepNext/>
              <w:spacing w:after="0" w:line="240" w:lineRule="auto"/>
              <w:jc w:val="left"/>
            </w:pPr>
            <w:r>
              <w:rPr>
                <w:sz w:val="18"/>
                <w:szCs w:val="18"/>
              </w:rPr>
              <w:t>GLD</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65D2CA1">
            <w:pPr>
              <w:keepNext/>
              <w:spacing w:after="0" w:line="240" w:lineRule="auto"/>
              <w:jc w:val="center"/>
            </w:pPr>
            <w:r>
              <w:rPr>
                <w:sz w:val="18"/>
                <w:szCs w:val="18"/>
              </w:rPr>
              <w:t>R</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854E0C9">
            <w:pPr>
              <w:keepNext/>
              <w:spacing w:after="0" w:line="240" w:lineRule="auto"/>
              <w:jc w:val="center"/>
            </w:pPr>
            <w:r>
              <w:rPr>
                <w:sz w:val="18"/>
                <w:szCs w:val="18"/>
              </w:rPr>
              <w:t>0,0116</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7AF1B05">
            <w:pPr>
              <w:keepNext/>
              <w:spacing w:after="0" w:line="240" w:lineRule="auto"/>
              <w:jc w:val="center"/>
            </w:pPr>
            <w:r>
              <w:rPr>
                <w:sz w:val="18"/>
                <w:szCs w:val="18"/>
              </w:rPr>
              <w:t>0,0419</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2E8D17B">
            <w:pPr>
              <w:keepNext/>
              <w:spacing w:after="0" w:line="240" w:lineRule="auto"/>
              <w:jc w:val="center"/>
            </w:pPr>
            <w:r>
              <w:rPr>
                <w:sz w:val="18"/>
                <w:szCs w:val="18"/>
              </w:rPr>
              <w:t>0,9472</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D77AB5A">
            <w:pPr>
              <w:keepNext/>
              <w:spacing w:after="0" w:line="240" w:lineRule="auto"/>
              <w:jc w:val="center"/>
            </w:pPr>
            <w:r>
              <w:rPr>
                <w:sz w:val="18"/>
                <w:szCs w:val="18"/>
              </w:rPr>
              <w:t>0,9890</w:t>
            </w:r>
          </w:p>
        </w:tc>
        <w:tc>
          <w:tcPr>
            <w:tcW w:w="134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5580AEA">
            <w:pPr>
              <w:keepNext/>
              <w:spacing w:after="0" w:line="240" w:lineRule="auto"/>
              <w:jc w:val="center"/>
            </w:pPr>
            <w:r>
              <w:rPr>
                <w:sz w:val="18"/>
                <w:szCs w:val="18"/>
              </w:rPr>
              <w:t>4,90</w:t>
            </w:r>
          </w:p>
        </w:tc>
      </w:tr>
      <w:tr w14:paraId="7B6A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E6CCB25">
            <w:pPr>
              <w:keepNext/>
              <w:spacing w:after="0" w:line="240" w:lineRule="auto"/>
              <w:jc w:val="left"/>
            </w:pPr>
            <w:r>
              <w:rPr>
                <w:sz w:val="18"/>
                <w:szCs w:val="18"/>
              </w:rPr>
              <w:t>SLV</w:t>
            </w:r>
          </w:p>
        </w:tc>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19EF26E">
            <w:pPr>
              <w:keepNext/>
              <w:spacing w:after="0" w:line="240" w:lineRule="auto"/>
              <w:jc w:val="center"/>
            </w:pPr>
            <w:r>
              <w:rPr>
                <w:sz w:val="18"/>
                <w:szCs w:val="18"/>
              </w:rPr>
              <w:t>Python</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A50C91C">
            <w:pPr>
              <w:keepNext/>
              <w:spacing w:after="0" w:line="240" w:lineRule="auto"/>
              <w:jc w:val="center"/>
            </w:pPr>
            <w:r>
              <w:rPr>
                <w:sz w:val="18"/>
                <w:szCs w:val="18"/>
              </w:rPr>
              <w:t>0,0179</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07F6361">
            <w:pPr>
              <w:keepNext/>
              <w:spacing w:after="0" w:line="240" w:lineRule="auto"/>
              <w:jc w:val="center"/>
            </w:pPr>
            <w:r>
              <w:rPr>
                <w:sz w:val="18"/>
                <w:szCs w:val="18"/>
              </w:rPr>
              <w:t>0,0335</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9F83054">
            <w:pPr>
              <w:keepNext/>
              <w:spacing w:after="0" w:line="240" w:lineRule="auto"/>
              <w:jc w:val="center"/>
            </w:pPr>
            <w:r>
              <w:rPr>
                <w:sz w:val="18"/>
                <w:szCs w:val="18"/>
              </w:rPr>
              <w:t>0,9630</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D0CE6F3">
            <w:pPr>
              <w:keepNext/>
              <w:spacing w:after="0" w:line="240" w:lineRule="auto"/>
              <w:jc w:val="center"/>
            </w:pPr>
            <w:r>
              <w:rPr>
                <w:sz w:val="18"/>
                <w:szCs w:val="18"/>
              </w:rPr>
              <w:t>0,9965</w:t>
            </w:r>
          </w:p>
        </w:tc>
        <w:tc>
          <w:tcPr>
            <w:tcW w:w="134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A207B1A">
            <w:pPr>
              <w:keepNext/>
              <w:spacing w:after="0" w:line="240" w:lineRule="auto"/>
              <w:jc w:val="center"/>
            </w:pPr>
            <w:r>
              <w:rPr>
                <w:sz w:val="18"/>
                <w:szCs w:val="18"/>
              </w:rPr>
              <w:t>4,12</w:t>
            </w:r>
          </w:p>
        </w:tc>
      </w:tr>
      <w:tr w14:paraId="226D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22B9E8B">
            <w:pPr>
              <w:keepNext w:val="0"/>
              <w:spacing w:after="0" w:line="240" w:lineRule="auto"/>
              <w:jc w:val="left"/>
            </w:pPr>
            <w:r>
              <w:rPr>
                <w:sz w:val="18"/>
                <w:szCs w:val="18"/>
              </w:rPr>
              <w:t>SLV</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74F1E33">
            <w:pPr>
              <w:keepNext w:val="0"/>
              <w:spacing w:after="0" w:line="240" w:lineRule="auto"/>
              <w:jc w:val="center"/>
            </w:pPr>
            <w:r>
              <w:rPr>
                <w:sz w:val="18"/>
                <w:szCs w:val="18"/>
              </w:rPr>
              <w:t>R</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6D5C169">
            <w:pPr>
              <w:keepNext w:val="0"/>
              <w:spacing w:after="0" w:line="240" w:lineRule="auto"/>
              <w:jc w:val="center"/>
            </w:pPr>
            <w:r>
              <w:rPr>
                <w:sz w:val="18"/>
                <w:szCs w:val="18"/>
              </w:rPr>
              <w:t>0,0179</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75F9707">
            <w:pPr>
              <w:keepNext w:val="0"/>
              <w:spacing w:after="0" w:line="240" w:lineRule="auto"/>
              <w:jc w:val="center"/>
            </w:pPr>
            <w:r>
              <w:rPr>
                <w:sz w:val="18"/>
                <w:szCs w:val="18"/>
              </w:rPr>
              <w:t>0,0337</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D4D8CBF">
            <w:pPr>
              <w:keepNext w:val="0"/>
              <w:spacing w:after="0" w:line="240" w:lineRule="auto"/>
              <w:jc w:val="center"/>
            </w:pPr>
            <w:r>
              <w:rPr>
                <w:sz w:val="18"/>
                <w:szCs w:val="18"/>
              </w:rPr>
              <w:t>0,9628</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8625EBB">
            <w:pPr>
              <w:keepNext w:val="0"/>
              <w:spacing w:after="0" w:line="240" w:lineRule="auto"/>
              <w:jc w:val="center"/>
            </w:pPr>
            <w:r>
              <w:rPr>
                <w:sz w:val="18"/>
                <w:szCs w:val="18"/>
              </w:rPr>
              <w:t>0,9965</w:t>
            </w:r>
          </w:p>
        </w:tc>
        <w:tc>
          <w:tcPr>
            <w:tcW w:w="134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15531C7">
            <w:pPr>
              <w:keepNext w:val="0"/>
              <w:spacing w:after="0" w:line="240" w:lineRule="auto"/>
              <w:jc w:val="center"/>
            </w:pPr>
            <w:r>
              <w:rPr>
                <w:sz w:val="18"/>
                <w:szCs w:val="18"/>
              </w:rPr>
              <w:t>4,13</w:t>
            </w:r>
          </w:p>
        </w:tc>
      </w:tr>
    </w:tbl>
    <w:p w14:paraId="0813D8A1">
      <w:pPr>
        <w:spacing w:before="0" w:after="80"/>
      </w:pPr>
    </w:p>
    <w:p w14:paraId="26EF7DB0">
      <w:pPr>
        <w:spacing w:after="120" w:line="276" w:lineRule="auto"/>
        <w:jc w:val="both"/>
      </w:pPr>
      <w:r>
        <w:t>Python et R donnent les mêmes paramètres. La persistance α + β est très proche de 1 (0,989 pour GLD et 0,996 pour SLV) : un choc de volatilité dure longtemps. Le degré de liberté ν (4,9 et 4,1) confirme les queues épaisses.</w:t>
      </w:r>
    </w:p>
    <w:p w14:paraId="426C2F8A">
      <w:pPr>
        <w:keepNext/>
        <w:spacing w:before="80" w:after="40"/>
        <w:jc w:val="center"/>
      </w:pPr>
      <w:r>
        <w:drawing>
          <wp:inline distT="0" distB="0" distL="0" distR="0">
            <wp:extent cx="5810250" cy="23717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noChangeArrowheads="1"/>
                    </pic:cNvPicPr>
                  </pic:nvPicPr>
                  <pic:blipFill>
                    <a:blip r:embed="rId18"/>
                    <a:srcRect/>
                    <a:stretch>
                      <a:fillRect/>
                    </a:stretch>
                  </pic:blipFill>
                  <pic:spPr>
                    <a:xfrm>
                      <a:off x="0" y="0"/>
                      <a:ext cx="5810250" cy="2371725"/>
                    </a:xfrm>
                    <a:prstGeom prst="rect">
                      <a:avLst/>
                    </a:prstGeom>
                  </pic:spPr>
                </pic:pic>
              </a:graphicData>
            </a:graphic>
          </wp:inline>
        </w:drawing>
      </w:r>
    </w:p>
    <w:p w14:paraId="76EA8B25">
      <w:pPr>
        <w:spacing w:before="40" w:after="160"/>
        <w:jc w:val="center"/>
      </w:pPr>
      <w:r>
        <w:rPr>
          <w:b/>
          <w:bCs/>
          <w:color w:val="1F3864"/>
          <w:sz w:val="19"/>
          <w:szCs w:val="19"/>
        </w:rPr>
        <w:t xml:space="preserve">Figure 7 : </w:t>
      </w:r>
      <w:r>
        <w:rPr>
          <w:color w:val="1F3864"/>
          <w:sz w:val="19"/>
          <w:szCs w:val="19"/>
        </w:rPr>
        <w:t>Volatilité conditionnelle estimée par GARCH(1,1)</w:t>
      </w:r>
    </w:p>
    <w:p w14:paraId="6447B31B">
      <w:pPr>
        <w:spacing w:after="120" w:line="276" w:lineRule="auto"/>
        <w:jc w:val="both"/>
      </w:pPr>
      <w:r>
        <w:t>La volatilité de SLV est toujours au-dessus de celle de GLD, avec des pics en 2011, en avril 2013 et en 2020 qui correspondent aux fortes baisses vues plus haut.</w:t>
      </w:r>
    </w:p>
    <w:p w14:paraId="38B3B61C">
      <w:pPr>
        <w:keepNext/>
        <w:spacing w:before="160" w:after="80"/>
      </w:pPr>
      <w:r>
        <w:rPr>
          <w:b/>
          <w:bCs/>
          <w:color w:val="1F3864"/>
          <w:sz w:val="20"/>
          <w:szCs w:val="20"/>
        </w:rPr>
        <w:t xml:space="preserve">Tableau 10 : </w:t>
      </w:r>
      <w:r>
        <w:rPr>
          <w:color w:val="1F3864"/>
          <w:sz w:val="20"/>
          <w:szCs w:val="20"/>
        </w:rPr>
        <w:t>Comparaison du GARCH(1,1) avec d’autres modèles de volatilité</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7"/>
        <w:gridCol w:w="1928"/>
        <w:gridCol w:w="1253"/>
        <w:gridCol w:w="1253"/>
        <w:gridCol w:w="1446"/>
        <w:gridCol w:w="1349"/>
        <w:gridCol w:w="1542"/>
      </w:tblGrid>
      <w:tr w14:paraId="1C6D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6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1F83468">
            <w:pPr>
              <w:keepNext/>
              <w:spacing w:after="0" w:line="240" w:lineRule="auto"/>
              <w:jc w:val="left"/>
            </w:pPr>
            <w:r>
              <w:rPr>
                <w:b/>
                <w:bCs/>
                <w:color w:val="FFFFFF"/>
                <w:sz w:val="18"/>
                <w:szCs w:val="18"/>
              </w:rPr>
              <w:t>Actif</w:t>
            </w:r>
          </w:p>
        </w:tc>
        <w:tc>
          <w:tcPr>
            <w:tcW w:w="192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E67D201">
            <w:pPr>
              <w:keepNext/>
              <w:spacing w:after="0" w:line="240" w:lineRule="auto"/>
              <w:jc w:val="left"/>
            </w:pPr>
            <w:r>
              <w:rPr>
                <w:b/>
                <w:bCs/>
                <w:color w:val="FFFFFF"/>
                <w:sz w:val="18"/>
                <w:szCs w:val="18"/>
              </w:rPr>
              <w:t>Modèle</w:t>
            </w:r>
          </w:p>
        </w:tc>
        <w:tc>
          <w:tcPr>
            <w:tcW w:w="1253"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68701D7">
            <w:pPr>
              <w:keepNext/>
              <w:spacing w:after="0" w:line="240" w:lineRule="auto"/>
              <w:jc w:val="center"/>
            </w:pPr>
            <w:r>
              <w:rPr>
                <w:b/>
                <w:bCs/>
                <w:color w:val="FFFFFF"/>
                <w:sz w:val="18"/>
                <w:szCs w:val="18"/>
              </w:rPr>
              <w:t>AIC</w:t>
            </w:r>
          </w:p>
        </w:tc>
        <w:tc>
          <w:tcPr>
            <w:tcW w:w="1253"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F5F6A34">
            <w:pPr>
              <w:keepNext/>
              <w:spacing w:after="0" w:line="240" w:lineRule="auto"/>
              <w:jc w:val="center"/>
            </w:pPr>
            <w:r>
              <w:rPr>
                <w:b/>
                <w:bCs/>
                <w:color w:val="FFFFFF"/>
                <w:sz w:val="18"/>
                <w:szCs w:val="18"/>
              </w:rPr>
              <w:t>BIC</w:t>
            </w:r>
          </w:p>
        </w:tc>
        <w:tc>
          <w:tcPr>
            <w:tcW w:w="144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EA75936">
            <w:pPr>
              <w:keepNext/>
              <w:spacing w:after="0" w:line="240" w:lineRule="auto"/>
              <w:jc w:val="center"/>
            </w:pPr>
            <w:r>
              <w:rPr>
                <w:b/>
                <w:bCs/>
                <w:color w:val="FFFFFF"/>
                <w:sz w:val="18"/>
                <w:szCs w:val="18"/>
              </w:rPr>
              <w:t>Ljung–Box z² p (10)</w:t>
            </w:r>
          </w:p>
        </w:tc>
        <w:tc>
          <w:tcPr>
            <w:tcW w:w="134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A04B3DE">
            <w:pPr>
              <w:keepNext/>
              <w:spacing w:after="0" w:line="240" w:lineRule="auto"/>
              <w:jc w:val="center"/>
            </w:pPr>
            <w:r>
              <w:rPr>
                <w:b/>
                <w:bCs/>
                <w:color w:val="FFFFFF"/>
                <w:sz w:val="18"/>
                <w:szCs w:val="18"/>
              </w:rPr>
              <w:t>ARCH-LM p (10)</w:t>
            </w:r>
          </w:p>
        </w:tc>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571A7D9">
            <w:pPr>
              <w:keepNext/>
              <w:spacing w:after="0" w:line="240" w:lineRule="auto"/>
              <w:jc w:val="center"/>
            </w:pPr>
            <w:r>
              <w:rPr>
                <w:b/>
                <w:bCs/>
                <w:color w:val="FFFFFF"/>
                <w:sz w:val="18"/>
                <w:szCs w:val="18"/>
              </w:rPr>
              <w:t>γ (p-value)</w:t>
            </w:r>
          </w:p>
        </w:tc>
      </w:tr>
      <w:tr w14:paraId="72C4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B8B7BB2">
            <w:pPr>
              <w:keepNext/>
              <w:spacing w:after="0" w:line="240" w:lineRule="auto"/>
              <w:jc w:val="left"/>
            </w:pPr>
            <w:r>
              <w:rPr>
                <w:sz w:val="18"/>
                <w:szCs w:val="18"/>
              </w:rPr>
              <w:t>GLD</w:t>
            </w:r>
          </w:p>
        </w:tc>
        <w:tc>
          <w:tcPr>
            <w:tcW w:w="1928"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275A95E">
            <w:pPr>
              <w:keepNext/>
              <w:spacing w:after="0" w:line="240" w:lineRule="auto"/>
              <w:jc w:val="left"/>
            </w:pPr>
            <w:r>
              <w:rPr>
                <w:sz w:val="18"/>
                <w:szCs w:val="18"/>
              </w:rPr>
              <w:t>GARCH(1,1)</w:t>
            </w:r>
          </w:p>
        </w:tc>
        <w:tc>
          <w:tcPr>
            <w:tcW w:w="1253"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C312B4D">
            <w:pPr>
              <w:keepNext/>
              <w:spacing w:after="0" w:line="240" w:lineRule="auto"/>
              <w:jc w:val="center"/>
            </w:pPr>
            <w:r>
              <w:rPr>
                <w:sz w:val="18"/>
                <w:szCs w:val="18"/>
              </w:rPr>
              <w:t>9 421,9</w:t>
            </w:r>
          </w:p>
        </w:tc>
        <w:tc>
          <w:tcPr>
            <w:tcW w:w="1253"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83047F0">
            <w:pPr>
              <w:keepNext/>
              <w:spacing w:after="0" w:line="240" w:lineRule="auto"/>
              <w:jc w:val="center"/>
            </w:pPr>
            <w:r>
              <w:rPr>
                <w:sz w:val="18"/>
                <w:szCs w:val="18"/>
              </w:rPr>
              <w:t>9 446,6</w:t>
            </w:r>
          </w:p>
        </w:tc>
        <w:tc>
          <w:tcPr>
            <w:tcW w:w="1446"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4A088142">
            <w:pPr>
              <w:keepNext/>
              <w:spacing w:after="0" w:line="240" w:lineRule="auto"/>
              <w:jc w:val="center"/>
            </w:pPr>
            <w:r>
              <w:rPr>
                <w:sz w:val="18"/>
                <w:szCs w:val="18"/>
              </w:rPr>
              <w:t>0,0326</w:t>
            </w:r>
          </w:p>
        </w:tc>
        <w:tc>
          <w:tcPr>
            <w:tcW w:w="1349"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4D43194A">
            <w:pPr>
              <w:keepNext/>
              <w:spacing w:after="0" w:line="240" w:lineRule="auto"/>
              <w:jc w:val="center"/>
            </w:pPr>
            <w:r>
              <w:rPr>
                <w:sz w:val="18"/>
                <w:szCs w:val="18"/>
              </w:rPr>
              <w:t>0,0489</w:t>
            </w:r>
          </w:p>
        </w:tc>
        <w:tc>
          <w:tcPr>
            <w:tcW w:w="1542"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1C0C7C0E">
            <w:pPr>
              <w:keepNext/>
              <w:spacing w:after="0" w:line="240" w:lineRule="auto"/>
              <w:jc w:val="center"/>
            </w:pPr>
          </w:p>
        </w:tc>
      </w:tr>
      <w:tr w14:paraId="1273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05C123C">
            <w:pPr>
              <w:keepNext/>
              <w:spacing w:after="0" w:line="240" w:lineRule="auto"/>
              <w:jc w:val="left"/>
            </w:pPr>
            <w:r>
              <w:rPr>
                <w:sz w:val="18"/>
                <w:szCs w:val="18"/>
              </w:rPr>
              <w:t>GLD</w:t>
            </w:r>
          </w:p>
        </w:tc>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B1D2186">
            <w:pPr>
              <w:keepNext/>
              <w:spacing w:after="0" w:line="240" w:lineRule="auto"/>
              <w:jc w:val="left"/>
            </w:pPr>
            <w:r>
              <w:rPr>
                <w:sz w:val="18"/>
                <w:szCs w:val="18"/>
              </w:rPr>
              <w:t>GARCH(2,1)</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95D3328">
            <w:pPr>
              <w:keepNext/>
              <w:spacing w:after="0" w:line="240" w:lineRule="auto"/>
              <w:jc w:val="center"/>
            </w:pPr>
            <w:r>
              <w:rPr>
                <w:sz w:val="18"/>
                <w:szCs w:val="18"/>
              </w:rPr>
              <w:t>9 419,4</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7EF16E5">
            <w:pPr>
              <w:keepNext/>
              <w:spacing w:after="0" w:line="240" w:lineRule="auto"/>
              <w:jc w:val="center"/>
            </w:pPr>
            <w:r>
              <w:rPr>
                <w:sz w:val="18"/>
                <w:szCs w:val="18"/>
              </w:rPr>
              <w:t>9 450,4</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5BF5750">
            <w:pPr>
              <w:keepNext/>
              <w:spacing w:after="0" w:line="240" w:lineRule="auto"/>
              <w:jc w:val="center"/>
            </w:pPr>
            <w:r>
              <w:rPr>
                <w:sz w:val="18"/>
                <w:szCs w:val="18"/>
              </w:rPr>
              <w:t>&lt; 0,0001</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F83695D">
            <w:pPr>
              <w:keepNext/>
              <w:spacing w:after="0" w:line="240" w:lineRule="auto"/>
              <w:jc w:val="center"/>
            </w:pPr>
            <w:r>
              <w:rPr>
                <w:sz w:val="18"/>
                <w:szCs w:val="18"/>
              </w:rPr>
              <w:t>&lt; 0,0001</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BF7A5A3">
            <w:pPr>
              <w:keepNext/>
              <w:spacing w:after="0" w:line="240" w:lineRule="auto"/>
              <w:jc w:val="center"/>
            </w:pPr>
          </w:p>
        </w:tc>
      </w:tr>
      <w:tr w14:paraId="632E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A1C2B38">
            <w:pPr>
              <w:keepNext/>
              <w:spacing w:after="0" w:line="240" w:lineRule="auto"/>
              <w:jc w:val="left"/>
            </w:pPr>
            <w:r>
              <w:rPr>
                <w:sz w:val="18"/>
                <w:szCs w:val="18"/>
              </w:rPr>
              <w:t>GLD</w:t>
            </w:r>
          </w:p>
        </w:tc>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F91846F">
            <w:pPr>
              <w:keepNext/>
              <w:spacing w:after="0" w:line="240" w:lineRule="auto"/>
              <w:jc w:val="left"/>
            </w:pPr>
            <w:r>
              <w:rPr>
                <w:sz w:val="18"/>
                <w:szCs w:val="18"/>
              </w:rPr>
              <w:t>GARCH(1,2)</w:t>
            </w:r>
          </w:p>
        </w:tc>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03AEB46">
            <w:pPr>
              <w:keepNext/>
              <w:spacing w:after="0" w:line="240" w:lineRule="auto"/>
              <w:jc w:val="center"/>
            </w:pPr>
            <w:r>
              <w:rPr>
                <w:sz w:val="18"/>
                <w:szCs w:val="18"/>
              </w:rPr>
              <w:t>9 423,9</w:t>
            </w:r>
          </w:p>
        </w:tc>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D2598BD">
            <w:pPr>
              <w:keepNext/>
              <w:spacing w:after="0" w:line="240" w:lineRule="auto"/>
              <w:jc w:val="center"/>
            </w:pPr>
            <w:r>
              <w:rPr>
                <w:sz w:val="18"/>
                <w:szCs w:val="18"/>
              </w:rPr>
              <w:t>9 454,8</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A949CA1">
            <w:pPr>
              <w:keepNext/>
              <w:spacing w:after="0" w:line="240" w:lineRule="auto"/>
              <w:jc w:val="center"/>
            </w:pPr>
            <w:r>
              <w:rPr>
                <w:sz w:val="18"/>
                <w:szCs w:val="18"/>
              </w:rPr>
              <w:t>0,0325</w:t>
            </w:r>
          </w:p>
        </w:tc>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AC20489">
            <w:pPr>
              <w:keepNext/>
              <w:spacing w:after="0" w:line="240" w:lineRule="auto"/>
              <w:jc w:val="center"/>
            </w:pPr>
            <w:r>
              <w:rPr>
                <w:sz w:val="18"/>
                <w:szCs w:val="18"/>
              </w:rPr>
              <w:t>0,0488</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7BDB425">
            <w:pPr>
              <w:keepNext/>
              <w:spacing w:after="0" w:line="240" w:lineRule="auto"/>
              <w:jc w:val="center"/>
            </w:pPr>
          </w:p>
        </w:tc>
      </w:tr>
      <w:tr w14:paraId="762C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2352437">
            <w:pPr>
              <w:keepNext/>
              <w:spacing w:after="0" w:line="240" w:lineRule="auto"/>
              <w:jc w:val="left"/>
            </w:pPr>
            <w:r>
              <w:rPr>
                <w:sz w:val="18"/>
                <w:szCs w:val="18"/>
              </w:rPr>
              <w:t>GLD</w:t>
            </w:r>
          </w:p>
        </w:tc>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93CEDDA">
            <w:pPr>
              <w:keepNext/>
              <w:spacing w:after="0" w:line="240" w:lineRule="auto"/>
              <w:jc w:val="left"/>
            </w:pPr>
            <w:r>
              <w:rPr>
                <w:sz w:val="18"/>
                <w:szCs w:val="18"/>
              </w:rPr>
              <w:t>GJR-GARCH(1,1,1)</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735A951">
            <w:pPr>
              <w:keepNext/>
              <w:spacing w:after="0" w:line="240" w:lineRule="auto"/>
              <w:jc w:val="center"/>
            </w:pPr>
            <w:r>
              <w:rPr>
                <w:sz w:val="18"/>
                <w:szCs w:val="18"/>
              </w:rPr>
              <w:t>9 416,4</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F8AA665">
            <w:pPr>
              <w:keepNext/>
              <w:spacing w:after="0" w:line="240" w:lineRule="auto"/>
              <w:jc w:val="center"/>
            </w:pPr>
            <w:r>
              <w:rPr>
                <w:sz w:val="18"/>
                <w:szCs w:val="18"/>
              </w:rPr>
              <w:t>9 447,3</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014D93B">
            <w:pPr>
              <w:keepNext/>
              <w:spacing w:after="0" w:line="240" w:lineRule="auto"/>
              <w:jc w:val="center"/>
            </w:pPr>
            <w:r>
              <w:rPr>
                <w:sz w:val="18"/>
                <w:szCs w:val="18"/>
              </w:rPr>
              <w:t>0,0005</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2D349C7">
            <w:pPr>
              <w:keepNext/>
              <w:spacing w:after="0" w:line="240" w:lineRule="auto"/>
              <w:jc w:val="center"/>
            </w:pPr>
            <w:r>
              <w:rPr>
                <w:sz w:val="18"/>
                <w:szCs w:val="18"/>
              </w:rPr>
              <w:t>0,0010</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3F48F5D">
            <w:pPr>
              <w:keepNext/>
              <w:spacing w:after="0" w:line="240" w:lineRule="auto"/>
              <w:jc w:val="center"/>
            </w:pPr>
            <w:r>
              <w:rPr>
                <w:sz w:val="18"/>
                <w:szCs w:val="18"/>
              </w:rPr>
              <w:t>−0,0276 (0,0086)</w:t>
            </w:r>
          </w:p>
        </w:tc>
      </w:tr>
      <w:tr w14:paraId="3B1C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33FD0AE">
            <w:pPr>
              <w:keepNext/>
              <w:spacing w:after="0" w:line="240" w:lineRule="auto"/>
              <w:jc w:val="left"/>
            </w:pPr>
            <w:r>
              <w:rPr>
                <w:sz w:val="18"/>
                <w:szCs w:val="18"/>
              </w:rPr>
              <w:t>SLV</w:t>
            </w:r>
          </w:p>
        </w:tc>
        <w:tc>
          <w:tcPr>
            <w:tcW w:w="1928"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6B06EC4C">
            <w:pPr>
              <w:keepNext/>
              <w:spacing w:after="0" w:line="240" w:lineRule="auto"/>
              <w:jc w:val="left"/>
            </w:pPr>
            <w:r>
              <w:rPr>
                <w:sz w:val="18"/>
                <w:szCs w:val="18"/>
              </w:rPr>
              <w:t>GARCH(1,1)</w:t>
            </w:r>
          </w:p>
        </w:tc>
        <w:tc>
          <w:tcPr>
            <w:tcW w:w="1253"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5E7139E0">
            <w:pPr>
              <w:keepNext/>
              <w:spacing w:after="0" w:line="240" w:lineRule="auto"/>
              <w:jc w:val="center"/>
            </w:pPr>
            <w:r>
              <w:rPr>
                <w:sz w:val="18"/>
                <w:szCs w:val="18"/>
              </w:rPr>
              <w:t>13 546,7</w:t>
            </w:r>
          </w:p>
        </w:tc>
        <w:tc>
          <w:tcPr>
            <w:tcW w:w="1253"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00BB5414">
            <w:pPr>
              <w:keepNext/>
              <w:spacing w:after="0" w:line="240" w:lineRule="auto"/>
              <w:jc w:val="center"/>
            </w:pPr>
            <w:r>
              <w:rPr>
                <w:sz w:val="18"/>
                <w:szCs w:val="18"/>
              </w:rPr>
              <w:t>13 571,5</w:t>
            </w:r>
          </w:p>
        </w:tc>
        <w:tc>
          <w:tcPr>
            <w:tcW w:w="1446"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0F2F4919">
            <w:pPr>
              <w:keepNext/>
              <w:spacing w:after="0" w:line="240" w:lineRule="auto"/>
              <w:jc w:val="center"/>
            </w:pPr>
            <w:r>
              <w:rPr>
                <w:sz w:val="18"/>
                <w:szCs w:val="18"/>
              </w:rPr>
              <w:t>&lt; 0,0001</w:t>
            </w:r>
          </w:p>
        </w:tc>
        <w:tc>
          <w:tcPr>
            <w:tcW w:w="1349"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58D36C42">
            <w:pPr>
              <w:keepNext/>
              <w:spacing w:after="0" w:line="240" w:lineRule="auto"/>
              <w:jc w:val="center"/>
            </w:pPr>
            <w:r>
              <w:rPr>
                <w:sz w:val="18"/>
                <w:szCs w:val="18"/>
              </w:rPr>
              <w:t>&lt; 0,0001</w:t>
            </w:r>
          </w:p>
        </w:tc>
        <w:tc>
          <w:tcPr>
            <w:tcW w:w="1542"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AAA1880">
            <w:pPr>
              <w:keepNext/>
              <w:spacing w:after="0" w:line="240" w:lineRule="auto"/>
              <w:jc w:val="center"/>
            </w:pPr>
          </w:p>
        </w:tc>
      </w:tr>
      <w:tr w14:paraId="6A8C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3F3D87C">
            <w:pPr>
              <w:keepNext/>
              <w:spacing w:after="0" w:line="240" w:lineRule="auto"/>
              <w:jc w:val="left"/>
            </w:pPr>
            <w:r>
              <w:rPr>
                <w:sz w:val="18"/>
                <w:szCs w:val="18"/>
              </w:rPr>
              <w:t>SLV</w:t>
            </w:r>
          </w:p>
        </w:tc>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13BF8F6">
            <w:pPr>
              <w:keepNext/>
              <w:spacing w:after="0" w:line="240" w:lineRule="auto"/>
              <w:jc w:val="left"/>
            </w:pPr>
            <w:r>
              <w:rPr>
                <w:sz w:val="18"/>
                <w:szCs w:val="18"/>
              </w:rPr>
              <w:t>GARCH(2,1)</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353F003">
            <w:pPr>
              <w:keepNext/>
              <w:spacing w:after="0" w:line="240" w:lineRule="auto"/>
              <w:jc w:val="center"/>
            </w:pPr>
            <w:r>
              <w:rPr>
                <w:sz w:val="18"/>
                <w:szCs w:val="18"/>
              </w:rPr>
              <w:t>13 548,7</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0A3E4FF">
            <w:pPr>
              <w:keepNext/>
              <w:spacing w:after="0" w:line="240" w:lineRule="auto"/>
              <w:jc w:val="center"/>
            </w:pPr>
            <w:r>
              <w:rPr>
                <w:sz w:val="18"/>
                <w:szCs w:val="18"/>
              </w:rPr>
              <w:t>13 579,7</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9FF8D1A">
            <w:pPr>
              <w:keepNext/>
              <w:spacing w:after="0" w:line="240" w:lineRule="auto"/>
              <w:jc w:val="center"/>
            </w:pPr>
            <w:r>
              <w:rPr>
                <w:sz w:val="18"/>
                <w:szCs w:val="18"/>
              </w:rPr>
              <w:t>&lt; 0,0001</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17E5A22">
            <w:pPr>
              <w:keepNext/>
              <w:spacing w:after="0" w:line="240" w:lineRule="auto"/>
              <w:jc w:val="center"/>
            </w:pPr>
            <w:r>
              <w:rPr>
                <w:sz w:val="18"/>
                <w:szCs w:val="18"/>
              </w:rPr>
              <w:t>&lt; 0,0001</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5F07BE3">
            <w:pPr>
              <w:keepNext/>
              <w:spacing w:after="0" w:line="240" w:lineRule="auto"/>
              <w:jc w:val="center"/>
            </w:pPr>
          </w:p>
        </w:tc>
      </w:tr>
      <w:tr w14:paraId="1253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BEBAD79">
            <w:pPr>
              <w:keepNext/>
              <w:spacing w:after="0" w:line="240" w:lineRule="auto"/>
              <w:jc w:val="left"/>
            </w:pPr>
            <w:r>
              <w:rPr>
                <w:sz w:val="18"/>
                <w:szCs w:val="18"/>
              </w:rPr>
              <w:t>SLV</w:t>
            </w:r>
          </w:p>
        </w:tc>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BE4C012">
            <w:pPr>
              <w:keepNext/>
              <w:spacing w:after="0" w:line="240" w:lineRule="auto"/>
              <w:jc w:val="left"/>
            </w:pPr>
            <w:r>
              <w:rPr>
                <w:sz w:val="18"/>
                <w:szCs w:val="18"/>
              </w:rPr>
              <w:t>GARCH(1,2)</w:t>
            </w:r>
          </w:p>
        </w:tc>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AB9F97F">
            <w:pPr>
              <w:keepNext/>
              <w:spacing w:after="0" w:line="240" w:lineRule="auto"/>
              <w:jc w:val="center"/>
            </w:pPr>
            <w:r>
              <w:rPr>
                <w:sz w:val="18"/>
                <w:szCs w:val="18"/>
              </w:rPr>
              <w:t>13 548,1</w:t>
            </w:r>
          </w:p>
        </w:tc>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07FFC59">
            <w:pPr>
              <w:keepNext/>
              <w:spacing w:after="0" w:line="240" w:lineRule="auto"/>
              <w:jc w:val="center"/>
            </w:pPr>
            <w:r>
              <w:rPr>
                <w:sz w:val="18"/>
                <w:szCs w:val="18"/>
              </w:rPr>
              <w:t>13 579,0</w:t>
            </w:r>
          </w:p>
        </w:tc>
        <w:tc>
          <w:tcPr>
            <w:tcW w:w="144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5B49C14">
            <w:pPr>
              <w:keepNext/>
              <w:spacing w:after="0" w:line="240" w:lineRule="auto"/>
              <w:jc w:val="center"/>
            </w:pPr>
            <w:r>
              <w:rPr>
                <w:sz w:val="18"/>
                <w:szCs w:val="18"/>
              </w:rPr>
              <w:t>&lt; 0,0001</w:t>
            </w:r>
          </w:p>
        </w:tc>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73658B0">
            <w:pPr>
              <w:keepNext/>
              <w:spacing w:after="0" w:line="240" w:lineRule="auto"/>
              <w:jc w:val="center"/>
            </w:pPr>
            <w:r>
              <w:rPr>
                <w:sz w:val="18"/>
                <w:szCs w:val="18"/>
              </w:rPr>
              <w:t>&lt; 0,0001</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9BDF96A">
            <w:pPr>
              <w:keepNext/>
              <w:spacing w:after="0" w:line="240" w:lineRule="auto"/>
              <w:jc w:val="center"/>
            </w:pPr>
          </w:p>
        </w:tc>
      </w:tr>
      <w:tr w14:paraId="4152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8644AD7">
            <w:pPr>
              <w:keepNext w:val="0"/>
              <w:spacing w:after="0" w:line="240" w:lineRule="auto"/>
              <w:jc w:val="left"/>
            </w:pPr>
            <w:r>
              <w:rPr>
                <w:sz w:val="18"/>
                <w:szCs w:val="18"/>
              </w:rPr>
              <w:t>SLV</w:t>
            </w:r>
          </w:p>
        </w:tc>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F69C5EF">
            <w:pPr>
              <w:keepNext w:val="0"/>
              <w:spacing w:after="0" w:line="240" w:lineRule="auto"/>
              <w:jc w:val="left"/>
            </w:pPr>
            <w:r>
              <w:rPr>
                <w:sz w:val="18"/>
                <w:szCs w:val="18"/>
              </w:rPr>
              <w:t>GJR-GARCH(1,1,1)</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FF169CF">
            <w:pPr>
              <w:keepNext w:val="0"/>
              <w:spacing w:after="0" w:line="240" w:lineRule="auto"/>
              <w:jc w:val="center"/>
            </w:pPr>
            <w:r>
              <w:rPr>
                <w:sz w:val="18"/>
                <w:szCs w:val="18"/>
              </w:rPr>
              <w:t>13 542,3</w:t>
            </w:r>
          </w:p>
        </w:tc>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6510288">
            <w:pPr>
              <w:keepNext w:val="0"/>
              <w:spacing w:after="0" w:line="240" w:lineRule="auto"/>
              <w:jc w:val="center"/>
            </w:pPr>
            <w:r>
              <w:rPr>
                <w:sz w:val="18"/>
                <w:szCs w:val="18"/>
              </w:rPr>
              <w:t>13 573,2</w:t>
            </w:r>
          </w:p>
        </w:tc>
        <w:tc>
          <w:tcPr>
            <w:tcW w:w="144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477E414">
            <w:pPr>
              <w:keepNext w:val="0"/>
              <w:spacing w:after="0" w:line="240" w:lineRule="auto"/>
              <w:jc w:val="center"/>
            </w:pPr>
            <w:r>
              <w:rPr>
                <w:sz w:val="18"/>
                <w:szCs w:val="18"/>
              </w:rPr>
              <w:t>&lt; 0,0001</w:t>
            </w:r>
          </w:p>
        </w:tc>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008532F">
            <w:pPr>
              <w:keepNext w:val="0"/>
              <w:spacing w:after="0" w:line="240" w:lineRule="auto"/>
              <w:jc w:val="center"/>
            </w:pPr>
            <w:r>
              <w:rPr>
                <w:sz w:val="18"/>
                <w:szCs w:val="18"/>
              </w:rPr>
              <w:t>&lt; 0,0001</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82997A6">
            <w:pPr>
              <w:keepNext w:val="0"/>
              <w:spacing w:after="0" w:line="240" w:lineRule="auto"/>
              <w:jc w:val="center"/>
            </w:pPr>
            <w:r>
              <w:rPr>
                <w:sz w:val="18"/>
                <w:szCs w:val="18"/>
              </w:rPr>
              <w:t>−0,0222 (0,0175)</w:t>
            </w:r>
          </w:p>
        </w:tc>
      </w:tr>
    </w:tbl>
    <w:p w14:paraId="1BE14BB1">
      <w:pPr>
        <w:spacing w:before="0" w:after="80"/>
      </w:pPr>
    </w:p>
    <w:p w14:paraId="34A89775">
      <w:pPr>
        <w:spacing w:after="120" w:line="276" w:lineRule="auto"/>
        <w:jc w:val="both"/>
      </w:pPr>
      <w:r>
        <w:t>Le GARCH(1,1) réduit fortement les effets ARCH, mais un effet résiduel subsiste : il est à la limite du seuil de 5 % pour GLD en Python (ARCH-LM p = 0,049) et nettement significatif pour SLV (p &lt; 0,0001). Le modèle n’est donc pas parfaitement validé, surtout pour SLV. Les autres ordres n’améliorent pas le BIC. Le GJR-GARCH améliore l’AIC et son coefficient γ est négatif et significatif : les hausses augmentent un peu plus la volatilité que les baisses. Ce résultat ne suffit pas, à lui seul, à démontrer un rôle de valeur refuge. Le BIC préfère le GARCH(1,1), que nous gardons comme modèle de référence.</w:t>
      </w:r>
    </w:p>
    <w:p w14:paraId="38644A3A">
      <w:pPr>
        <w:pStyle w:val="3"/>
        <w:keepNext/>
      </w:pPr>
      <w:r>
        <w:t>3.5. Vérification en R</w:t>
      </w:r>
    </w:p>
    <w:p w14:paraId="51FC2767">
      <w:pPr>
        <w:keepNext/>
        <w:spacing w:before="160" w:after="80"/>
      </w:pPr>
      <w:r>
        <w:rPr>
          <w:b/>
          <w:bCs/>
          <w:color w:val="1F3864"/>
          <w:sz w:val="20"/>
          <w:szCs w:val="20"/>
        </w:rPr>
        <w:t xml:space="preserve">Tableau 11 : </w:t>
      </w:r>
      <w:r>
        <w:rPr>
          <w:color w:val="1F3864"/>
          <w:sz w:val="20"/>
          <w:szCs w:val="20"/>
        </w:rPr>
        <w:t>Comparaison des résultats Python et R</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6"/>
        <w:gridCol w:w="2120"/>
        <w:gridCol w:w="2120"/>
        <w:gridCol w:w="2892"/>
      </w:tblGrid>
      <w:tr w14:paraId="0A92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9D254BF">
            <w:pPr>
              <w:keepNext/>
              <w:spacing w:after="0" w:line="240" w:lineRule="auto"/>
              <w:jc w:val="left"/>
            </w:pPr>
            <w:r>
              <w:rPr>
                <w:b/>
                <w:bCs/>
                <w:color w:val="FFFFFF"/>
                <w:sz w:val="18"/>
                <w:szCs w:val="18"/>
              </w:rPr>
              <w:t>Étape</w:t>
            </w:r>
          </w:p>
        </w:tc>
        <w:tc>
          <w:tcPr>
            <w:tcW w:w="21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7847EA2">
            <w:pPr>
              <w:keepNext/>
              <w:spacing w:after="0" w:line="240" w:lineRule="auto"/>
              <w:jc w:val="left"/>
            </w:pPr>
            <w:r>
              <w:rPr>
                <w:b/>
                <w:bCs/>
                <w:color w:val="FFFFFF"/>
                <w:sz w:val="18"/>
                <w:szCs w:val="18"/>
              </w:rPr>
              <w:t>Python</w:t>
            </w:r>
          </w:p>
        </w:tc>
        <w:tc>
          <w:tcPr>
            <w:tcW w:w="21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AF080BB">
            <w:pPr>
              <w:keepNext/>
              <w:spacing w:after="0" w:line="240" w:lineRule="auto"/>
              <w:jc w:val="left"/>
            </w:pPr>
            <w:r>
              <w:rPr>
                <w:b/>
                <w:bCs/>
                <w:color w:val="FFFFFF"/>
                <w:sz w:val="18"/>
                <w:szCs w:val="18"/>
              </w:rPr>
              <w:t>R</w:t>
            </w:r>
          </w:p>
        </w:tc>
        <w:tc>
          <w:tcPr>
            <w:tcW w:w="289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EB1F5E8">
            <w:pPr>
              <w:keepNext/>
              <w:spacing w:after="0" w:line="240" w:lineRule="auto"/>
              <w:jc w:val="left"/>
            </w:pPr>
            <w:r>
              <w:rPr>
                <w:b/>
                <w:bCs/>
                <w:color w:val="FFFFFF"/>
                <w:sz w:val="18"/>
                <w:szCs w:val="18"/>
              </w:rPr>
              <w:t>Résultat</w:t>
            </w:r>
          </w:p>
        </w:tc>
      </w:tr>
      <w:tr w14:paraId="310B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C058C48">
            <w:pPr>
              <w:keepNext/>
              <w:spacing w:after="0" w:line="240" w:lineRule="auto"/>
              <w:jc w:val="left"/>
            </w:pPr>
            <w:r>
              <w:rPr>
                <w:sz w:val="18"/>
                <w:szCs w:val="18"/>
              </w:rPr>
              <w:t>Stationnarité</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2376C43">
            <w:pPr>
              <w:keepNext/>
              <w:spacing w:after="0" w:line="240" w:lineRule="auto"/>
              <w:jc w:val="left"/>
            </w:pPr>
            <w:r>
              <w:rPr>
                <w:sz w:val="18"/>
                <w:szCs w:val="18"/>
              </w:rPr>
              <w:t>statsmodels</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6F358DD">
            <w:pPr>
              <w:keepNext/>
              <w:spacing w:after="0" w:line="240" w:lineRule="auto"/>
              <w:jc w:val="left"/>
            </w:pPr>
            <w:r>
              <w:rPr>
                <w:sz w:val="18"/>
                <w:szCs w:val="18"/>
              </w:rPr>
              <w:t>tseries</w:t>
            </w:r>
          </w:p>
        </w:tc>
        <w:tc>
          <w:tcPr>
            <w:tcW w:w="289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5D500E8">
            <w:pPr>
              <w:keepNext/>
              <w:spacing w:after="0" w:line="240" w:lineRule="auto"/>
              <w:jc w:val="left"/>
            </w:pPr>
            <w:r>
              <w:rPr>
                <w:sz w:val="18"/>
                <w:szCs w:val="18"/>
              </w:rPr>
              <w:t>Mêmes conclusions</w:t>
            </w:r>
          </w:p>
        </w:tc>
      </w:tr>
      <w:tr w14:paraId="1D4C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DF51405">
            <w:pPr>
              <w:keepNext/>
              <w:spacing w:after="0" w:line="240" w:lineRule="auto"/>
              <w:jc w:val="left"/>
            </w:pPr>
            <w:r>
              <w:rPr>
                <w:sz w:val="18"/>
                <w:szCs w:val="18"/>
              </w:rPr>
              <w:t>ARIMA</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E15416C">
            <w:pPr>
              <w:keepNext/>
              <w:spacing w:after="0" w:line="240" w:lineRule="auto"/>
              <w:jc w:val="left"/>
            </w:pPr>
            <w:r>
              <w:rPr>
                <w:sz w:val="18"/>
                <w:szCs w:val="18"/>
              </w:rPr>
              <w:t>statsmodels, pmdarima</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2ECA266">
            <w:pPr>
              <w:keepNext/>
              <w:spacing w:after="0" w:line="240" w:lineRule="auto"/>
              <w:jc w:val="left"/>
            </w:pPr>
            <w:r>
              <w:rPr>
                <w:sz w:val="18"/>
                <w:szCs w:val="18"/>
              </w:rPr>
              <w:t>forecast</w:t>
            </w:r>
          </w:p>
        </w:tc>
        <w:tc>
          <w:tcPr>
            <w:tcW w:w="289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0F4DC88">
            <w:pPr>
              <w:keepNext/>
              <w:spacing w:after="0" w:line="240" w:lineRule="auto"/>
              <w:jc w:val="left"/>
            </w:pPr>
            <w:r>
              <w:rPr>
                <w:sz w:val="18"/>
                <w:szCs w:val="18"/>
              </w:rPr>
              <w:t>Même modèle, mêmes AIC</w:t>
            </w:r>
          </w:p>
        </w:tc>
      </w:tr>
      <w:tr w14:paraId="72AD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2FDCF39">
            <w:pPr>
              <w:keepNext/>
              <w:spacing w:after="0" w:line="240" w:lineRule="auto"/>
              <w:jc w:val="left"/>
            </w:pPr>
            <w:r>
              <w:rPr>
                <w:sz w:val="18"/>
                <w:szCs w:val="18"/>
              </w:rPr>
              <w:t>VAR et Granger</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C25BB2C">
            <w:pPr>
              <w:keepNext/>
              <w:spacing w:after="0" w:line="240" w:lineRule="auto"/>
              <w:jc w:val="left"/>
            </w:pPr>
            <w:r>
              <w:rPr>
                <w:sz w:val="18"/>
                <w:szCs w:val="18"/>
              </w:rPr>
              <w:t>statsmodels</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8290FF7">
            <w:pPr>
              <w:keepNext/>
              <w:spacing w:after="0" w:line="240" w:lineRule="auto"/>
              <w:jc w:val="left"/>
            </w:pPr>
            <w:r>
              <w:rPr>
                <w:sz w:val="18"/>
                <w:szCs w:val="18"/>
              </w:rPr>
              <w:t>vars</w:t>
            </w:r>
          </w:p>
        </w:tc>
        <w:tc>
          <w:tcPr>
            <w:tcW w:w="289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D915434">
            <w:pPr>
              <w:keepNext/>
              <w:spacing w:after="0" w:line="240" w:lineRule="auto"/>
              <w:jc w:val="left"/>
            </w:pPr>
            <w:r>
              <w:rPr>
                <w:sz w:val="18"/>
                <w:szCs w:val="18"/>
              </w:rPr>
              <w:t>Mêmes retards, mêmes p-values</w:t>
            </w:r>
          </w:p>
        </w:tc>
      </w:tr>
      <w:tr w14:paraId="2D76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8676EA3">
            <w:pPr>
              <w:keepNext/>
              <w:spacing w:after="0" w:line="240" w:lineRule="auto"/>
              <w:jc w:val="left"/>
            </w:pPr>
            <w:r>
              <w:rPr>
                <w:sz w:val="18"/>
                <w:szCs w:val="18"/>
              </w:rPr>
              <w:t>Cointégration</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CFB4C46">
            <w:pPr>
              <w:keepNext/>
              <w:spacing w:after="0" w:line="240" w:lineRule="auto"/>
              <w:jc w:val="left"/>
            </w:pPr>
            <w:r>
              <w:rPr>
                <w:sz w:val="18"/>
                <w:szCs w:val="18"/>
              </w:rPr>
              <w:t>Engle–Granger</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9EFD7A7">
            <w:pPr>
              <w:keepNext/>
              <w:spacing w:after="0" w:line="240" w:lineRule="auto"/>
              <w:jc w:val="left"/>
            </w:pPr>
            <w:r>
              <w:rPr>
                <w:sz w:val="18"/>
                <w:szCs w:val="18"/>
              </w:rPr>
              <w:t>Johansen (urca)</w:t>
            </w:r>
          </w:p>
        </w:tc>
        <w:tc>
          <w:tcPr>
            <w:tcW w:w="289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A93ED92">
            <w:pPr>
              <w:keepNext/>
              <w:spacing w:after="0" w:line="240" w:lineRule="auto"/>
              <w:jc w:val="left"/>
            </w:pPr>
            <w:r>
              <w:rPr>
                <w:sz w:val="18"/>
                <w:szCs w:val="18"/>
              </w:rPr>
              <w:t>Pas de cointégration</w:t>
            </w:r>
          </w:p>
        </w:tc>
      </w:tr>
      <w:tr w14:paraId="09ED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80C12C4">
            <w:pPr>
              <w:keepNext/>
              <w:spacing w:after="0" w:line="240" w:lineRule="auto"/>
              <w:jc w:val="left"/>
            </w:pPr>
            <w:r>
              <w:rPr>
                <w:sz w:val="18"/>
                <w:szCs w:val="18"/>
              </w:rPr>
              <w:t>GARCH(1,1) Student</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5F77AC2">
            <w:pPr>
              <w:keepNext/>
              <w:spacing w:after="0" w:line="240" w:lineRule="auto"/>
              <w:jc w:val="left"/>
            </w:pPr>
            <w:r>
              <w:rPr>
                <w:sz w:val="18"/>
                <w:szCs w:val="18"/>
              </w:rPr>
              <w:t>arch</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37FBE9B">
            <w:pPr>
              <w:keepNext/>
              <w:spacing w:after="0" w:line="240" w:lineRule="auto"/>
              <w:jc w:val="left"/>
            </w:pPr>
            <w:r>
              <w:rPr>
                <w:sz w:val="18"/>
                <w:szCs w:val="18"/>
              </w:rPr>
              <w:t>rugarch</w:t>
            </w:r>
          </w:p>
        </w:tc>
        <w:tc>
          <w:tcPr>
            <w:tcW w:w="289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0C2D496">
            <w:pPr>
              <w:keepNext/>
              <w:spacing w:after="0" w:line="240" w:lineRule="auto"/>
              <w:jc w:val="left"/>
            </w:pPr>
            <w:r>
              <w:rPr>
                <w:sz w:val="18"/>
                <w:szCs w:val="18"/>
              </w:rPr>
              <w:t>Paramètres égaux à 0,001 près</w:t>
            </w:r>
          </w:p>
        </w:tc>
      </w:tr>
      <w:tr w14:paraId="3B42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33D7F83">
            <w:pPr>
              <w:keepNext w:val="0"/>
              <w:spacing w:after="0" w:line="240" w:lineRule="auto"/>
              <w:jc w:val="left"/>
            </w:pPr>
            <w:r>
              <w:rPr>
                <w:sz w:val="18"/>
                <w:szCs w:val="18"/>
              </w:rPr>
              <w:t>Prévisions ARIMA et VAR</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7FE60ED">
            <w:pPr>
              <w:keepNext w:val="0"/>
              <w:spacing w:after="0" w:line="240" w:lineRule="auto"/>
              <w:jc w:val="left"/>
            </w:pPr>
            <w:r>
              <w:rPr>
                <w:sz w:val="18"/>
                <w:szCs w:val="18"/>
              </w:rPr>
              <w:t>394 origines</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B4CB0CD">
            <w:pPr>
              <w:keepNext w:val="0"/>
              <w:spacing w:after="0" w:line="240" w:lineRule="auto"/>
              <w:jc w:val="left"/>
            </w:pPr>
            <w:r>
              <w:rPr>
                <w:sz w:val="18"/>
                <w:szCs w:val="18"/>
              </w:rPr>
              <w:t>394 origines</w:t>
            </w:r>
          </w:p>
        </w:tc>
        <w:tc>
          <w:tcPr>
            <w:tcW w:w="289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0B9D8D8">
            <w:pPr>
              <w:keepNext w:val="0"/>
              <w:spacing w:after="0" w:line="240" w:lineRule="auto"/>
              <w:jc w:val="left"/>
            </w:pPr>
            <w:r>
              <w:rPr>
                <w:sz w:val="18"/>
                <w:szCs w:val="18"/>
              </w:rPr>
              <w:t>Métriques identiques à 6 décimales</w:t>
            </w:r>
          </w:p>
        </w:tc>
      </w:tr>
    </w:tbl>
    <w:p w14:paraId="33EE192B">
      <w:pPr>
        <w:spacing w:before="0" w:after="80"/>
      </w:pPr>
    </w:p>
    <w:p w14:paraId="7FB53D75">
      <w:pPr>
        <w:pStyle w:val="2"/>
        <w:keepNext/>
        <w:spacing w:before="360" w:after="200"/>
      </w:pPr>
      <w:r>
        <w:t>4. Réseaux récurrents : LSTM et GRU</w:t>
      </w:r>
    </w:p>
    <w:p w14:paraId="53610E8C">
      <w:pPr>
        <w:pStyle w:val="3"/>
        <w:keepNext/>
      </w:pPr>
      <w:r>
        <w:t>4.1. Préparation</w:t>
      </w:r>
    </w:p>
    <w:p w14:paraId="37FD3F81">
      <w:pPr>
        <w:spacing w:after="120" w:line="276" w:lineRule="auto"/>
        <w:jc w:val="both"/>
      </w:pPr>
      <w:r>
        <w:t>Les réseaux prévoient ensemble les rendements de GLD et SLV de la séance suivante, à partir des 30 séances précédentes. L’apprentissage est découpé dans l’ordre : 2 896 séances pour entraîner (jusqu’au 07/07/2021) et 724 pour valider (jusqu’au 22/05/2024).</w:t>
      </w:r>
    </w:p>
    <w:p w14:paraId="3B9E0D5C">
      <w:pPr>
        <w:spacing w:after="120" w:line="276" w:lineRule="auto"/>
        <w:jc w:val="both"/>
      </w:pPr>
      <w:r>
        <w:t xml:space="preserve">Pour éviter toute fuite d’information, le </w:t>
      </w:r>
      <w:r>
        <w:rPr>
          <w:rFonts w:ascii="Consolas" w:hAnsi="Consolas" w:eastAsia="Consolas" w:cs="Consolas"/>
          <w:sz w:val="20"/>
          <w:szCs w:val="20"/>
        </w:rPr>
        <w:t>StandardScaler</w:t>
      </w:r>
      <w:r>
        <w:t xml:space="preserve"> est ajusté seulement sur la partie d’entraînement, chaque fenêtre ne contient que des données passées, et les séquences ne sont pas mélangées.</w:t>
      </w:r>
    </w:p>
    <w:p w14:paraId="3AD409E9">
      <w:pPr>
        <w:pStyle w:val="3"/>
        <w:keepNext/>
      </w:pPr>
      <w:r>
        <w:t>4.2. Architecture</w:t>
      </w:r>
    </w:p>
    <w:p w14:paraId="324704D0">
      <w:pPr>
        <w:keepNext/>
        <w:spacing w:before="160" w:after="80"/>
      </w:pPr>
      <w:r>
        <w:rPr>
          <w:b/>
          <w:bCs/>
          <w:color w:val="1F3864"/>
          <w:sz w:val="20"/>
          <w:szCs w:val="20"/>
        </w:rPr>
        <w:t xml:space="preserve">Tableau 12 : </w:t>
      </w:r>
      <w:r>
        <w:rPr>
          <w:color w:val="1F3864"/>
          <w:sz w:val="20"/>
          <w:szCs w:val="20"/>
        </w:rPr>
        <w:t>Configuration des réseaux</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70"/>
        <w:gridCol w:w="3277"/>
        <w:gridCol w:w="2891"/>
      </w:tblGrid>
      <w:tr w14:paraId="561B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7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1483775">
            <w:pPr>
              <w:keepNext/>
              <w:spacing w:after="0" w:line="240" w:lineRule="auto"/>
              <w:jc w:val="left"/>
            </w:pPr>
            <w:r>
              <w:rPr>
                <w:b/>
                <w:bCs/>
                <w:color w:val="FFFFFF"/>
                <w:sz w:val="18"/>
                <w:szCs w:val="18"/>
              </w:rPr>
              <w:t>Élément</w:t>
            </w:r>
          </w:p>
        </w:tc>
        <w:tc>
          <w:tcPr>
            <w:tcW w:w="327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E5FDBF3">
            <w:pPr>
              <w:keepNext/>
              <w:spacing w:after="0" w:line="240" w:lineRule="auto"/>
              <w:jc w:val="center"/>
            </w:pPr>
            <w:r>
              <w:rPr>
                <w:b/>
                <w:bCs/>
                <w:color w:val="FFFFFF"/>
                <w:sz w:val="18"/>
                <w:szCs w:val="18"/>
              </w:rPr>
              <w:t>LSTM</w:t>
            </w:r>
          </w:p>
        </w:tc>
        <w:tc>
          <w:tcPr>
            <w:tcW w:w="289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A154577">
            <w:pPr>
              <w:keepNext/>
              <w:spacing w:after="0" w:line="240" w:lineRule="auto"/>
              <w:jc w:val="center"/>
            </w:pPr>
            <w:r>
              <w:rPr>
                <w:b/>
                <w:bCs/>
                <w:color w:val="FFFFFF"/>
                <w:sz w:val="18"/>
                <w:szCs w:val="18"/>
              </w:rPr>
              <w:t>GRU</w:t>
            </w:r>
          </w:p>
        </w:tc>
      </w:tr>
      <w:tr w14:paraId="7CB25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7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37A7301">
            <w:pPr>
              <w:keepNext/>
              <w:spacing w:after="0" w:line="240" w:lineRule="auto"/>
              <w:jc w:val="left"/>
            </w:pPr>
            <w:r>
              <w:rPr>
                <w:sz w:val="18"/>
                <w:szCs w:val="18"/>
              </w:rPr>
              <w:t>Architecture</w:t>
            </w:r>
          </w:p>
        </w:tc>
        <w:tc>
          <w:tcPr>
            <w:tcW w:w="327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74379A2">
            <w:pPr>
              <w:keepNext/>
              <w:spacing w:after="0" w:line="240" w:lineRule="auto"/>
              <w:jc w:val="center"/>
            </w:pPr>
            <w:r>
              <w:rPr>
                <w:sz w:val="18"/>
                <w:szCs w:val="18"/>
              </w:rPr>
              <w:t>LSTM(32) puis Dense(2)</w:t>
            </w:r>
          </w:p>
        </w:tc>
        <w:tc>
          <w:tcPr>
            <w:tcW w:w="289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68AC5F3">
            <w:pPr>
              <w:keepNext/>
              <w:spacing w:after="0" w:line="240" w:lineRule="auto"/>
              <w:jc w:val="center"/>
            </w:pPr>
            <w:r>
              <w:rPr>
                <w:sz w:val="18"/>
                <w:szCs w:val="18"/>
              </w:rPr>
              <w:t>GRU(32) puis Dense(2)</w:t>
            </w:r>
          </w:p>
        </w:tc>
      </w:tr>
      <w:tr w14:paraId="1B002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7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34E73C8">
            <w:pPr>
              <w:keepNext/>
              <w:spacing w:after="0" w:line="240" w:lineRule="auto"/>
              <w:jc w:val="left"/>
            </w:pPr>
            <w:r>
              <w:rPr>
                <w:sz w:val="18"/>
                <w:szCs w:val="18"/>
              </w:rPr>
              <w:t>Paramètres</w:t>
            </w:r>
          </w:p>
        </w:tc>
        <w:tc>
          <w:tcPr>
            <w:tcW w:w="327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0C87649">
            <w:pPr>
              <w:keepNext/>
              <w:spacing w:after="0" w:line="240" w:lineRule="auto"/>
              <w:jc w:val="center"/>
            </w:pPr>
            <w:r>
              <w:rPr>
                <w:sz w:val="18"/>
                <w:szCs w:val="18"/>
              </w:rPr>
              <w:t>4 546</w:t>
            </w:r>
          </w:p>
        </w:tc>
        <w:tc>
          <w:tcPr>
            <w:tcW w:w="289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EAC6823">
            <w:pPr>
              <w:keepNext/>
              <w:spacing w:after="0" w:line="240" w:lineRule="auto"/>
              <w:jc w:val="center"/>
            </w:pPr>
            <w:r>
              <w:rPr>
                <w:sz w:val="18"/>
                <w:szCs w:val="18"/>
              </w:rPr>
              <w:t>3 522</w:t>
            </w:r>
          </w:p>
        </w:tc>
      </w:tr>
      <w:tr w14:paraId="4F46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7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0C5EE29">
            <w:pPr>
              <w:keepNext/>
              <w:spacing w:after="0" w:line="240" w:lineRule="auto"/>
              <w:jc w:val="left"/>
            </w:pPr>
            <w:r>
              <w:rPr>
                <w:sz w:val="18"/>
                <w:szCs w:val="18"/>
              </w:rPr>
              <w:t>Entraînement</w:t>
            </w:r>
          </w:p>
        </w:tc>
        <w:tc>
          <w:tcPr>
            <w:tcW w:w="327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2460311">
            <w:pPr>
              <w:keepNext/>
              <w:spacing w:after="0" w:line="240" w:lineRule="auto"/>
              <w:jc w:val="center"/>
            </w:pPr>
            <w:r>
              <w:rPr>
                <w:sz w:val="18"/>
                <w:szCs w:val="18"/>
              </w:rPr>
              <w:t>Adam, taux 0,001, perte MSE, lots de 32</w:t>
            </w:r>
          </w:p>
        </w:tc>
        <w:tc>
          <w:tcPr>
            <w:tcW w:w="289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5E07DCD">
            <w:pPr>
              <w:keepNext/>
              <w:spacing w:after="0" w:line="240" w:lineRule="auto"/>
              <w:jc w:val="center"/>
            </w:pPr>
            <w:r>
              <w:rPr>
                <w:sz w:val="18"/>
                <w:szCs w:val="18"/>
              </w:rPr>
              <w:t>Identique</w:t>
            </w:r>
          </w:p>
        </w:tc>
      </w:tr>
      <w:tr w14:paraId="3D1D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7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F8C9556">
            <w:pPr>
              <w:keepNext/>
              <w:spacing w:after="0" w:line="240" w:lineRule="auto"/>
              <w:jc w:val="left"/>
            </w:pPr>
            <w:r>
              <w:rPr>
                <w:sz w:val="18"/>
                <w:szCs w:val="18"/>
              </w:rPr>
              <w:t>Arrêt anticipé</w:t>
            </w:r>
          </w:p>
        </w:tc>
        <w:tc>
          <w:tcPr>
            <w:tcW w:w="327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44F517B">
            <w:pPr>
              <w:keepNext/>
              <w:spacing w:after="0" w:line="240" w:lineRule="auto"/>
              <w:jc w:val="center"/>
            </w:pPr>
            <w:r>
              <w:rPr>
                <w:sz w:val="18"/>
                <w:szCs w:val="18"/>
              </w:rPr>
              <w:t>Patience de 10 époques</w:t>
            </w:r>
          </w:p>
        </w:tc>
        <w:tc>
          <w:tcPr>
            <w:tcW w:w="289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8DE27E6">
            <w:pPr>
              <w:keepNext/>
              <w:spacing w:after="0" w:line="240" w:lineRule="auto"/>
              <w:jc w:val="center"/>
            </w:pPr>
            <w:r>
              <w:rPr>
                <w:sz w:val="18"/>
                <w:szCs w:val="18"/>
              </w:rPr>
              <w:t>Identique</w:t>
            </w:r>
          </w:p>
        </w:tc>
      </w:tr>
      <w:tr w14:paraId="6097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7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E4F8DBB">
            <w:pPr>
              <w:keepNext/>
              <w:spacing w:after="0" w:line="240" w:lineRule="auto"/>
              <w:jc w:val="left"/>
            </w:pPr>
            <w:r>
              <w:rPr>
                <w:sz w:val="18"/>
                <w:szCs w:val="18"/>
              </w:rPr>
              <w:t>Meilleure époque (validation)</w:t>
            </w:r>
          </w:p>
        </w:tc>
        <w:tc>
          <w:tcPr>
            <w:tcW w:w="327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C2A6047">
            <w:pPr>
              <w:keepNext/>
              <w:spacing w:after="0" w:line="240" w:lineRule="auto"/>
              <w:jc w:val="center"/>
            </w:pPr>
            <w:r>
              <w:rPr>
                <w:sz w:val="18"/>
                <w:szCs w:val="18"/>
              </w:rPr>
              <w:t>7</w:t>
            </w:r>
          </w:p>
        </w:tc>
        <w:tc>
          <w:tcPr>
            <w:tcW w:w="289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015D4CC">
            <w:pPr>
              <w:keepNext/>
              <w:spacing w:after="0" w:line="240" w:lineRule="auto"/>
              <w:jc w:val="center"/>
            </w:pPr>
            <w:r>
              <w:rPr>
                <w:sz w:val="18"/>
                <w:szCs w:val="18"/>
              </w:rPr>
              <w:t>13</w:t>
            </w:r>
          </w:p>
        </w:tc>
      </w:tr>
      <w:tr w14:paraId="2D8B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7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78FBE86">
            <w:pPr>
              <w:keepNext/>
              <w:spacing w:after="0" w:line="240" w:lineRule="auto"/>
              <w:jc w:val="left"/>
            </w:pPr>
            <w:r>
              <w:rPr>
                <w:sz w:val="18"/>
                <w:szCs w:val="18"/>
              </w:rPr>
              <w:t>Époques du modèle final</w:t>
            </w:r>
          </w:p>
        </w:tc>
        <w:tc>
          <w:tcPr>
            <w:tcW w:w="327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BCD5D81">
            <w:pPr>
              <w:keepNext/>
              <w:spacing w:after="0" w:line="240" w:lineRule="auto"/>
              <w:jc w:val="center"/>
            </w:pPr>
            <w:r>
              <w:rPr>
                <w:sz w:val="18"/>
                <w:szCs w:val="18"/>
              </w:rPr>
              <w:t>2</w:t>
            </w:r>
          </w:p>
        </w:tc>
        <w:tc>
          <w:tcPr>
            <w:tcW w:w="289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C4BCF12">
            <w:pPr>
              <w:keepNext/>
              <w:spacing w:after="0" w:line="240" w:lineRule="auto"/>
              <w:jc w:val="center"/>
            </w:pPr>
            <w:r>
              <w:rPr>
                <w:sz w:val="18"/>
                <w:szCs w:val="18"/>
              </w:rPr>
              <w:t>4</w:t>
            </w:r>
          </w:p>
        </w:tc>
      </w:tr>
      <w:tr w14:paraId="3DF26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7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B8B5FE0">
            <w:pPr>
              <w:keepNext w:val="0"/>
              <w:spacing w:after="0" w:line="240" w:lineRule="auto"/>
              <w:jc w:val="left"/>
            </w:pPr>
            <w:r>
              <w:rPr>
                <w:sz w:val="18"/>
                <w:szCs w:val="18"/>
              </w:rPr>
              <w:t>Graine aléatoire</w:t>
            </w:r>
          </w:p>
        </w:tc>
        <w:tc>
          <w:tcPr>
            <w:tcW w:w="327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E70C57A">
            <w:pPr>
              <w:keepNext w:val="0"/>
              <w:spacing w:after="0" w:line="240" w:lineRule="auto"/>
              <w:jc w:val="center"/>
            </w:pPr>
            <w:r>
              <w:rPr>
                <w:sz w:val="18"/>
                <w:szCs w:val="18"/>
              </w:rPr>
              <w:t>42</w:t>
            </w:r>
          </w:p>
        </w:tc>
        <w:tc>
          <w:tcPr>
            <w:tcW w:w="289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41CDF11">
            <w:pPr>
              <w:keepNext w:val="0"/>
              <w:spacing w:after="0" w:line="240" w:lineRule="auto"/>
              <w:jc w:val="center"/>
            </w:pPr>
            <w:r>
              <w:rPr>
                <w:sz w:val="18"/>
                <w:szCs w:val="18"/>
              </w:rPr>
              <w:t>42</w:t>
            </w:r>
          </w:p>
        </w:tc>
      </w:tr>
    </w:tbl>
    <w:p w14:paraId="1B008669">
      <w:pPr>
        <w:spacing w:before="0" w:after="80"/>
      </w:pPr>
    </w:p>
    <w:p w14:paraId="3BA0B47E">
      <w:pPr>
        <w:keepNext/>
        <w:spacing w:before="80" w:after="40"/>
        <w:jc w:val="center"/>
      </w:pPr>
      <w:r>
        <w:drawing>
          <wp:inline distT="0" distB="0" distL="0" distR="0">
            <wp:extent cx="5810250" cy="18764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noChangeArrowheads="1"/>
                    </pic:cNvPicPr>
                  </pic:nvPicPr>
                  <pic:blipFill>
                    <a:blip r:embed="rId19"/>
                    <a:srcRect/>
                    <a:stretch>
                      <a:fillRect/>
                    </a:stretch>
                  </pic:blipFill>
                  <pic:spPr>
                    <a:xfrm>
                      <a:off x="0" y="0"/>
                      <a:ext cx="5810250" cy="1876425"/>
                    </a:xfrm>
                    <a:prstGeom prst="rect">
                      <a:avLst/>
                    </a:prstGeom>
                  </pic:spPr>
                </pic:pic>
              </a:graphicData>
            </a:graphic>
          </wp:inline>
        </w:drawing>
      </w:r>
    </w:p>
    <w:p w14:paraId="133731B0">
      <w:pPr>
        <w:spacing w:before="40" w:after="160"/>
        <w:jc w:val="center"/>
      </w:pPr>
      <w:r>
        <w:rPr>
          <w:b/>
          <w:bCs/>
          <w:color w:val="1F3864"/>
          <w:sz w:val="19"/>
          <w:szCs w:val="19"/>
        </w:rPr>
        <w:t xml:space="preserve">Figure 8 : </w:t>
      </w:r>
      <w:r>
        <w:rPr>
          <w:color w:val="1F3864"/>
          <w:sz w:val="19"/>
          <w:szCs w:val="19"/>
        </w:rPr>
        <w:t>Courbes d’apprentissage des réseaux</w:t>
      </w:r>
    </w:p>
    <w:p w14:paraId="3AA29738">
      <w:pPr>
        <w:spacing w:after="120" w:line="276" w:lineRule="auto"/>
        <w:jc w:val="both"/>
      </w:pPr>
      <w:r>
        <w:t>L’erreur d’entraînement baisse alors que l’erreur de validation reste plate puis remonte : les réseaux apprennent du bruit, et l’arrêt anticipé limite ce surapprentissage.</w:t>
      </w:r>
    </w:p>
    <w:p w14:paraId="1E842B01">
      <w:pPr>
        <w:pStyle w:val="3"/>
        <w:keepNext/>
      </w:pPr>
      <w:r>
        <w:t>4.3. Validation</w:t>
      </w:r>
    </w:p>
    <w:p w14:paraId="4CC6AEE1">
      <w:pPr>
        <w:spacing w:after="120" w:line="276" w:lineRule="auto"/>
        <w:jc w:val="both"/>
      </w:pPr>
      <w:r>
        <w:t>Les réseaux sont comparés à une prévision de rendement nul (prix inchangé), d’abord sur la validation, puis par une validation croisée temporelle avec trois découpages de 400 séances.</w:t>
      </w:r>
    </w:p>
    <w:p w14:paraId="0B8D32E6">
      <w:pPr>
        <w:keepNext/>
        <w:spacing w:before="160" w:after="80"/>
      </w:pPr>
      <w:r>
        <w:rPr>
          <w:b/>
          <w:bCs/>
          <w:color w:val="1F3864"/>
          <w:sz w:val="20"/>
          <w:szCs w:val="20"/>
        </w:rPr>
        <w:t xml:space="preserve">Tableau 13 : </w:t>
      </w:r>
      <w:r>
        <w:rPr>
          <w:color w:val="1F3864"/>
          <w:sz w:val="20"/>
          <w:szCs w:val="20"/>
        </w:rPr>
        <w:t>MSE des rendements en validation (cases surlignées : moins bon que le rendement nul)</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1928"/>
        <w:gridCol w:w="1831"/>
        <w:gridCol w:w="1542"/>
        <w:gridCol w:w="1831"/>
        <w:gridCol w:w="1542"/>
      </w:tblGrid>
      <w:tr w14:paraId="24CD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6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4194C4B">
            <w:pPr>
              <w:keepNext/>
              <w:spacing w:after="0" w:line="240" w:lineRule="auto"/>
              <w:jc w:val="left"/>
            </w:pPr>
            <w:r>
              <w:rPr>
                <w:b/>
                <w:bCs/>
                <w:color w:val="FFFFFF"/>
                <w:sz w:val="18"/>
                <w:szCs w:val="18"/>
              </w:rPr>
              <w:t>Actif</w:t>
            </w:r>
          </w:p>
        </w:tc>
        <w:tc>
          <w:tcPr>
            <w:tcW w:w="192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EED4F63">
            <w:pPr>
              <w:keepNext/>
              <w:spacing w:after="0" w:line="240" w:lineRule="auto"/>
              <w:jc w:val="left"/>
            </w:pPr>
            <w:r>
              <w:rPr>
                <w:b/>
                <w:bCs/>
                <w:color w:val="FFFFFF"/>
                <w:sz w:val="18"/>
                <w:szCs w:val="18"/>
              </w:rPr>
              <w:t>Modèle</w:t>
            </w:r>
          </w:p>
        </w:tc>
        <w:tc>
          <w:tcPr>
            <w:tcW w:w="183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624580B">
            <w:pPr>
              <w:keepNext/>
              <w:spacing w:after="0" w:line="240" w:lineRule="auto"/>
              <w:jc w:val="center"/>
            </w:pPr>
            <w:r>
              <w:rPr>
                <w:b/>
                <w:bCs/>
                <w:color w:val="FFFFFF"/>
                <w:sz w:val="18"/>
                <w:szCs w:val="18"/>
              </w:rPr>
              <w:t>Validation simple</w:t>
            </w:r>
          </w:p>
        </w:tc>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DD700AB">
            <w:pPr>
              <w:keepNext/>
              <w:spacing w:after="0" w:line="240" w:lineRule="auto"/>
              <w:jc w:val="center"/>
            </w:pPr>
            <w:r>
              <w:rPr>
                <w:b/>
                <w:bCs/>
                <w:color w:val="FFFFFF"/>
                <w:sz w:val="18"/>
                <w:szCs w:val="18"/>
              </w:rPr>
              <w:t>Écart</w:t>
            </w:r>
          </w:p>
        </w:tc>
        <w:tc>
          <w:tcPr>
            <w:tcW w:w="183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6C63BEF">
            <w:pPr>
              <w:keepNext/>
              <w:spacing w:after="0" w:line="240" w:lineRule="auto"/>
              <w:jc w:val="center"/>
            </w:pPr>
            <w:r>
              <w:rPr>
                <w:b/>
                <w:bCs/>
                <w:color w:val="FFFFFF"/>
                <w:sz w:val="18"/>
                <w:szCs w:val="18"/>
              </w:rPr>
              <w:t>Validation croisée</w:t>
            </w:r>
          </w:p>
        </w:tc>
        <w:tc>
          <w:tcPr>
            <w:tcW w:w="154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2E6DD97">
            <w:pPr>
              <w:keepNext/>
              <w:spacing w:after="0" w:line="240" w:lineRule="auto"/>
              <w:jc w:val="center"/>
            </w:pPr>
            <w:r>
              <w:rPr>
                <w:b/>
                <w:bCs/>
                <w:color w:val="FFFFFF"/>
                <w:sz w:val="18"/>
                <w:szCs w:val="18"/>
              </w:rPr>
              <w:t>Écart</w:t>
            </w:r>
          </w:p>
        </w:tc>
      </w:tr>
      <w:tr w14:paraId="3EC0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D0CD8A9">
            <w:pPr>
              <w:keepNext/>
              <w:spacing w:after="0" w:line="240" w:lineRule="auto"/>
              <w:jc w:val="left"/>
            </w:pPr>
            <w:r>
              <w:rPr>
                <w:sz w:val="18"/>
                <w:szCs w:val="18"/>
              </w:rPr>
              <w:t>GLD</w:t>
            </w:r>
          </w:p>
        </w:tc>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3093BDC">
            <w:pPr>
              <w:keepNext/>
              <w:spacing w:after="0" w:line="240" w:lineRule="auto"/>
              <w:jc w:val="left"/>
            </w:pPr>
            <w:r>
              <w:rPr>
                <w:sz w:val="18"/>
                <w:szCs w:val="18"/>
              </w:rPr>
              <w:t>Rendement nul</w:t>
            </w:r>
          </w:p>
        </w:tc>
        <w:tc>
          <w:tcPr>
            <w:tcW w:w="183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661E40A">
            <w:pPr>
              <w:keepNext/>
              <w:spacing w:after="0" w:line="240" w:lineRule="auto"/>
              <w:jc w:val="center"/>
            </w:pPr>
            <w:r>
              <w:rPr>
                <w:sz w:val="18"/>
                <w:szCs w:val="18"/>
              </w:rPr>
              <w:t>0,7655</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6A72373">
            <w:pPr>
              <w:keepNext/>
              <w:spacing w:after="0" w:line="240" w:lineRule="auto"/>
              <w:jc w:val="center"/>
            </w:pPr>
            <w:r>
              <w:rPr>
                <w:sz w:val="18"/>
                <w:szCs w:val="18"/>
              </w:rPr>
              <w:t>référence</w:t>
            </w:r>
          </w:p>
        </w:tc>
        <w:tc>
          <w:tcPr>
            <w:tcW w:w="183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8E94B4E">
            <w:pPr>
              <w:keepNext/>
              <w:spacing w:after="0" w:line="240" w:lineRule="auto"/>
              <w:jc w:val="center"/>
            </w:pPr>
            <w:r>
              <w:rPr>
                <w:sz w:val="18"/>
                <w:szCs w:val="18"/>
              </w:rPr>
              <w:t>0,9178</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682EF71">
            <w:pPr>
              <w:keepNext/>
              <w:spacing w:after="0" w:line="240" w:lineRule="auto"/>
              <w:jc w:val="center"/>
            </w:pPr>
            <w:r>
              <w:rPr>
                <w:sz w:val="18"/>
                <w:szCs w:val="18"/>
              </w:rPr>
              <w:t>référence</w:t>
            </w:r>
          </w:p>
        </w:tc>
      </w:tr>
      <w:tr w14:paraId="732D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1C7A1B8">
            <w:pPr>
              <w:keepNext/>
              <w:spacing w:after="0" w:line="240" w:lineRule="auto"/>
              <w:jc w:val="left"/>
            </w:pPr>
            <w:r>
              <w:rPr>
                <w:sz w:val="18"/>
                <w:szCs w:val="18"/>
              </w:rPr>
              <w:t>GLD</w:t>
            </w:r>
          </w:p>
        </w:tc>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9BFD038">
            <w:pPr>
              <w:keepNext/>
              <w:spacing w:after="0" w:line="240" w:lineRule="auto"/>
              <w:jc w:val="left"/>
            </w:pPr>
            <w:r>
              <w:rPr>
                <w:sz w:val="18"/>
                <w:szCs w:val="18"/>
              </w:rPr>
              <w:t>LSTM</w:t>
            </w:r>
          </w:p>
        </w:tc>
        <w:tc>
          <w:tcPr>
            <w:tcW w:w="183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1475849">
            <w:pPr>
              <w:keepNext/>
              <w:spacing w:after="0" w:line="240" w:lineRule="auto"/>
              <w:jc w:val="center"/>
            </w:pPr>
            <w:r>
              <w:rPr>
                <w:sz w:val="18"/>
                <w:szCs w:val="18"/>
              </w:rPr>
              <w:t>0,7612</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50ED615">
            <w:pPr>
              <w:keepNext/>
              <w:spacing w:after="0" w:line="240" w:lineRule="auto"/>
              <w:jc w:val="center"/>
            </w:pPr>
            <w:r>
              <w:rPr>
                <w:sz w:val="18"/>
                <w:szCs w:val="18"/>
              </w:rPr>
              <w:t>−0,57 %</w:t>
            </w:r>
          </w:p>
        </w:tc>
        <w:tc>
          <w:tcPr>
            <w:tcW w:w="183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0472522">
            <w:pPr>
              <w:keepNext/>
              <w:spacing w:after="0" w:line="240" w:lineRule="auto"/>
              <w:jc w:val="center"/>
            </w:pPr>
            <w:r>
              <w:rPr>
                <w:sz w:val="18"/>
                <w:szCs w:val="18"/>
              </w:rPr>
              <w:t>0,9208</w:t>
            </w:r>
          </w:p>
        </w:tc>
        <w:tc>
          <w:tcPr>
            <w:tcW w:w="1542"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65F6CD3E">
            <w:pPr>
              <w:keepNext/>
              <w:spacing w:after="0" w:line="240" w:lineRule="auto"/>
              <w:jc w:val="center"/>
            </w:pPr>
            <w:r>
              <w:rPr>
                <w:sz w:val="18"/>
                <w:szCs w:val="18"/>
              </w:rPr>
              <w:t>0,33 %</w:t>
            </w:r>
          </w:p>
        </w:tc>
      </w:tr>
      <w:tr w14:paraId="7376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643BFB5">
            <w:pPr>
              <w:keepNext/>
              <w:spacing w:after="0" w:line="240" w:lineRule="auto"/>
              <w:jc w:val="left"/>
            </w:pPr>
            <w:r>
              <w:rPr>
                <w:sz w:val="18"/>
                <w:szCs w:val="18"/>
              </w:rPr>
              <w:t>GLD</w:t>
            </w:r>
          </w:p>
        </w:tc>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32DE1B9">
            <w:pPr>
              <w:keepNext/>
              <w:spacing w:after="0" w:line="240" w:lineRule="auto"/>
              <w:jc w:val="left"/>
            </w:pPr>
            <w:r>
              <w:rPr>
                <w:sz w:val="18"/>
                <w:szCs w:val="18"/>
              </w:rPr>
              <w:t>GRU</w:t>
            </w:r>
          </w:p>
        </w:tc>
        <w:tc>
          <w:tcPr>
            <w:tcW w:w="183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D7F4DF4">
            <w:pPr>
              <w:keepNext/>
              <w:spacing w:after="0" w:line="240" w:lineRule="auto"/>
              <w:jc w:val="center"/>
            </w:pPr>
            <w:r>
              <w:rPr>
                <w:sz w:val="18"/>
                <w:szCs w:val="18"/>
              </w:rPr>
              <w:t>0,7600</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3A0EC74">
            <w:pPr>
              <w:keepNext/>
              <w:spacing w:after="0" w:line="240" w:lineRule="auto"/>
              <w:jc w:val="center"/>
            </w:pPr>
            <w:r>
              <w:rPr>
                <w:sz w:val="18"/>
                <w:szCs w:val="18"/>
              </w:rPr>
              <w:t>−0,72 %</w:t>
            </w:r>
          </w:p>
        </w:tc>
        <w:tc>
          <w:tcPr>
            <w:tcW w:w="183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99D783F">
            <w:pPr>
              <w:keepNext/>
              <w:spacing w:after="0" w:line="240" w:lineRule="auto"/>
              <w:jc w:val="center"/>
            </w:pPr>
            <w:r>
              <w:rPr>
                <w:sz w:val="18"/>
                <w:szCs w:val="18"/>
              </w:rPr>
              <w:t>0,9204</w:t>
            </w:r>
          </w:p>
        </w:tc>
        <w:tc>
          <w:tcPr>
            <w:tcW w:w="1542"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52351973">
            <w:pPr>
              <w:keepNext/>
              <w:spacing w:after="0" w:line="240" w:lineRule="auto"/>
              <w:jc w:val="center"/>
            </w:pPr>
            <w:r>
              <w:rPr>
                <w:sz w:val="18"/>
                <w:szCs w:val="18"/>
              </w:rPr>
              <w:t>0,28 %</w:t>
            </w:r>
          </w:p>
        </w:tc>
      </w:tr>
      <w:tr w14:paraId="741C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690696D">
            <w:pPr>
              <w:keepNext/>
              <w:spacing w:after="0" w:line="240" w:lineRule="auto"/>
              <w:jc w:val="left"/>
            </w:pPr>
            <w:r>
              <w:rPr>
                <w:sz w:val="18"/>
                <w:szCs w:val="18"/>
              </w:rPr>
              <w:t>SLV</w:t>
            </w:r>
          </w:p>
        </w:tc>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1C548F6">
            <w:pPr>
              <w:keepNext/>
              <w:spacing w:after="0" w:line="240" w:lineRule="auto"/>
              <w:jc w:val="left"/>
            </w:pPr>
            <w:r>
              <w:rPr>
                <w:sz w:val="18"/>
                <w:szCs w:val="18"/>
              </w:rPr>
              <w:t>Rendement nul</w:t>
            </w:r>
          </w:p>
        </w:tc>
        <w:tc>
          <w:tcPr>
            <w:tcW w:w="183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0264056">
            <w:pPr>
              <w:keepNext/>
              <w:spacing w:after="0" w:line="240" w:lineRule="auto"/>
              <w:jc w:val="center"/>
            </w:pPr>
            <w:r>
              <w:rPr>
                <w:sz w:val="18"/>
                <w:szCs w:val="18"/>
              </w:rPr>
              <w:t>2,8342</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582EE90">
            <w:pPr>
              <w:keepNext/>
              <w:spacing w:after="0" w:line="240" w:lineRule="auto"/>
              <w:jc w:val="center"/>
            </w:pPr>
            <w:r>
              <w:rPr>
                <w:sz w:val="18"/>
                <w:szCs w:val="18"/>
              </w:rPr>
              <w:t>référence</w:t>
            </w:r>
          </w:p>
        </w:tc>
        <w:tc>
          <w:tcPr>
            <w:tcW w:w="183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A760B62">
            <w:pPr>
              <w:keepNext/>
              <w:spacing w:after="0" w:line="240" w:lineRule="auto"/>
              <w:jc w:val="center"/>
            </w:pPr>
            <w:r>
              <w:rPr>
                <w:sz w:val="18"/>
                <w:szCs w:val="18"/>
              </w:rPr>
              <w:t>3,9097</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B158308">
            <w:pPr>
              <w:keepNext/>
              <w:spacing w:after="0" w:line="240" w:lineRule="auto"/>
              <w:jc w:val="center"/>
            </w:pPr>
            <w:r>
              <w:rPr>
                <w:sz w:val="18"/>
                <w:szCs w:val="18"/>
              </w:rPr>
              <w:t>référence</w:t>
            </w:r>
          </w:p>
        </w:tc>
      </w:tr>
      <w:tr w14:paraId="3A0A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2CF1AA2">
            <w:pPr>
              <w:keepNext/>
              <w:spacing w:after="0" w:line="240" w:lineRule="auto"/>
              <w:jc w:val="left"/>
            </w:pPr>
            <w:r>
              <w:rPr>
                <w:sz w:val="18"/>
                <w:szCs w:val="18"/>
              </w:rPr>
              <w:t>SLV</w:t>
            </w:r>
          </w:p>
        </w:tc>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EBA1075">
            <w:pPr>
              <w:keepNext/>
              <w:spacing w:after="0" w:line="240" w:lineRule="auto"/>
              <w:jc w:val="left"/>
            </w:pPr>
            <w:r>
              <w:rPr>
                <w:sz w:val="18"/>
                <w:szCs w:val="18"/>
              </w:rPr>
              <w:t>LSTM</w:t>
            </w:r>
          </w:p>
        </w:tc>
        <w:tc>
          <w:tcPr>
            <w:tcW w:w="183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2E0C8A9">
            <w:pPr>
              <w:keepNext/>
              <w:spacing w:after="0" w:line="240" w:lineRule="auto"/>
              <w:jc w:val="center"/>
            </w:pPr>
            <w:r>
              <w:rPr>
                <w:sz w:val="18"/>
                <w:szCs w:val="18"/>
              </w:rPr>
              <w:t>2,8259</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04CFD82">
            <w:pPr>
              <w:keepNext/>
              <w:spacing w:after="0" w:line="240" w:lineRule="auto"/>
              <w:jc w:val="center"/>
            </w:pPr>
            <w:r>
              <w:rPr>
                <w:sz w:val="18"/>
                <w:szCs w:val="18"/>
              </w:rPr>
              <w:t>−0,29 %</w:t>
            </w:r>
          </w:p>
        </w:tc>
        <w:tc>
          <w:tcPr>
            <w:tcW w:w="183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2184451">
            <w:pPr>
              <w:keepNext/>
              <w:spacing w:after="0" w:line="240" w:lineRule="auto"/>
              <w:jc w:val="center"/>
            </w:pPr>
            <w:r>
              <w:rPr>
                <w:sz w:val="18"/>
                <w:szCs w:val="18"/>
              </w:rPr>
              <w:t>3,9074</w:t>
            </w:r>
          </w:p>
        </w:tc>
        <w:tc>
          <w:tcPr>
            <w:tcW w:w="154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739C95F">
            <w:pPr>
              <w:keepNext/>
              <w:spacing w:after="0" w:line="240" w:lineRule="auto"/>
              <w:jc w:val="center"/>
            </w:pPr>
            <w:r>
              <w:rPr>
                <w:sz w:val="18"/>
                <w:szCs w:val="18"/>
              </w:rPr>
              <w:t>−0,06 %</w:t>
            </w:r>
          </w:p>
        </w:tc>
      </w:tr>
      <w:tr w14:paraId="503C9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C8CB1FA">
            <w:pPr>
              <w:keepNext w:val="0"/>
              <w:spacing w:after="0" w:line="240" w:lineRule="auto"/>
              <w:jc w:val="left"/>
            </w:pPr>
            <w:r>
              <w:rPr>
                <w:sz w:val="18"/>
                <w:szCs w:val="18"/>
              </w:rPr>
              <w:t>SLV</w:t>
            </w:r>
          </w:p>
        </w:tc>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945B7AF">
            <w:pPr>
              <w:keepNext w:val="0"/>
              <w:spacing w:after="0" w:line="240" w:lineRule="auto"/>
              <w:jc w:val="left"/>
            </w:pPr>
            <w:r>
              <w:rPr>
                <w:sz w:val="18"/>
                <w:szCs w:val="18"/>
              </w:rPr>
              <w:t>GRU</w:t>
            </w:r>
          </w:p>
        </w:tc>
        <w:tc>
          <w:tcPr>
            <w:tcW w:w="183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8F8B278">
            <w:pPr>
              <w:keepNext w:val="0"/>
              <w:spacing w:after="0" w:line="240" w:lineRule="auto"/>
              <w:jc w:val="center"/>
            </w:pPr>
            <w:r>
              <w:rPr>
                <w:sz w:val="18"/>
                <w:szCs w:val="18"/>
              </w:rPr>
              <w:t>2,8245</w:t>
            </w:r>
          </w:p>
        </w:tc>
        <w:tc>
          <w:tcPr>
            <w:tcW w:w="154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79BA143">
            <w:pPr>
              <w:keepNext w:val="0"/>
              <w:spacing w:after="0" w:line="240" w:lineRule="auto"/>
              <w:jc w:val="center"/>
            </w:pPr>
            <w:r>
              <w:rPr>
                <w:sz w:val="18"/>
                <w:szCs w:val="18"/>
              </w:rPr>
              <w:t>−0,34 %</w:t>
            </w:r>
          </w:p>
        </w:tc>
        <w:tc>
          <w:tcPr>
            <w:tcW w:w="183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EB08D9C">
            <w:pPr>
              <w:keepNext w:val="0"/>
              <w:spacing w:after="0" w:line="240" w:lineRule="auto"/>
              <w:jc w:val="center"/>
            </w:pPr>
            <w:r>
              <w:rPr>
                <w:sz w:val="18"/>
                <w:szCs w:val="18"/>
              </w:rPr>
              <w:t>3,9116</w:t>
            </w:r>
          </w:p>
        </w:tc>
        <w:tc>
          <w:tcPr>
            <w:tcW w:w="1542"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38FC471E">
            <w:pPr>
              <w:keepNext w:val="0"/>
              <w:spacing w:after="0" w:line="240" w:lineRule="auto"/>
              <w:jc w:val="center"/>
            </w:pPr>
            <w:r>
              <w:rPr>
                <w:sz w:val="18"/>
                <w:szCs w:val="18"/>
              </w:rPr>
              <w:t>0,05 %</w:t>
            </w:r>
          </w:p>
        </w:tc>
      </w:tr>
    </w:tbl>
    <w:p w14:paraId="63F49FBE">
      <w:pPr>
        <w:spacing w:before="0" w:after="80"/>
      </w:pPr>
    </w:p>
    <w:p w14:paraId="29E82400">
      <w:pPr>
        <w:spacing w:after="120" w:line="276" w:lineRule="auto"/>
        <w:jc w:val="both"/>
      </w:pPr>
      <w:r>
        <w:t>Sur la validation simple, les réseaux gagnent moins de 1 %. En validation croisée, ce gain disparaît : pour GLD, les deux réseaux font un peu moins bien que le rendement nul, et pour SLV seul le LSTM gagne, de 0,06 %. Un entraînement prend de 13 à 42 secondes.</w:t>
      </w:r>
    </w:p>
    <w:p w14:paraId="32FA416A">
      <w:pPr>
        <w:pStyle w:val="3"/>
        <w:keepNext/>
      </w:pPr>
      <w:r>
        <w:t>4.4. Modèles finaux</w:t>
      </w:r>
    </w:p>
    <w:p w14:paraId="69519A5A">
      <w:pPr>
        <w:spacing w:after="120" w:line="276" w:lineRule="auto"/>
        <w:jc w:val="both"/>
      </w:pPr>
      <w:r>
        <w:t>Les réseaux sont réentraînés sur tout l’apprentissage, avec un nombre d’époques égal à la médiane des trois découpages (2 pour le LSTM, 4 pour le GRU). Nous n’avons pas fait de modèle hybride ARIMA + réseau : les résidus d’une marche aléatoire sont les rendements eux-mêmes, donc l’hybride serait identique au réseau seul.</w:t>
      </w:r>
    </w:p>
    <w:p w14:paraId="42C5F420">
      <w:pPr>
        <w:pStyle w:val="2"/>
        <w:keepNext/>
        <w:spacing w:before="360" w:after="200"/>
      </w:pPr>
      <w:r>
        <w:t>5. Utilisation des LLM</w:t>
      </w:r>
    </w:p>
    <w:p w14:paraId="44BF3842">
      <w:pPr>
        <w:pStyle w:val="3"/>
        <w:keepNext/>
      </w:pPr>
      <w:r>
        <w:t>5.1. Protocole</w:t>
      </w:r>
    </w:p>
    <w:p w14:paraId="00CBBB03">
      <w:pPr>
        <w:spacing w:after="120" w:line="276" w:lineRule="auto"/>
        <w:jc w:val="both"/>
      </w:pPr>
      <w:r>
        <w:t>Trois consultations ont été faites avec ChatGPT le 9 octobre 2026, après l’estimation des modèles et dans la conversation de travail du projet. Le LLM avait donc déjà vu une partie des résultats : ses réponses ne sont pas indépendantes. La synthèse des résultats (</w:t>
      </w:r>
      <w:r>
        <w:rPr>
          <w:rFonts w:ascii="Consolas" w:hAnsi="Consolas" w:eastAsia="Consolas" w:cs="Consolas"/>
          <w:sz w:val="20"/>
          <w:szCs w:val="20"/>
        </w:rPr>
        <w:t>01_synthese.txt</w:t>
      </w:r>
      <w:r>
        <w:t xml:space="preserve">) a aussi été rédigée avec son aide. Chaque prompt donne les chiffres exacts et interdit d’inventer des résultats. Les prompts sont en annexe et les réponses complètes sont dans </w:t>
      </w:r>
      <w:r>
        <w:rPr>
          <w:rFonts w:ascii="Consolas" w:hAnsi="Consolas" w:eastAsia="Consolas" w:cs="Consolas"/>
          <w:sz w:val="20"/>
          <w:szCs w:val="20"/>
        </w:rPr>
        <w:t>reports/llm/</w:t>
      </w:r>
      <w:r>
        <w:t>.</w:t>
      </w:r>
    </w:p>
    <w:p w14:paraId="78928A34">
      <w:pPr>
        <w:pStyle w:val="3"/>
        <w:keepNext/>
      </w:pPr>
      <w:r>
        <w:t>5.2. Consultation 1 : hypothèses de modèles</w:t>
      </w:r>
    </w:p>
    <w:p w14:paraId="730907D9">
      <w:pPr>
        <w:spacing w:after="120" w:line="276" w:lineRule="auto"/>
        <w:jc w:val="both"/>
      </w:pPr>
      <w:r>
        <w:t>Le LLM a reçu seulement les statistiques descriptives et les tests de stationnarité. Il propose ARIMA(0,1,0), un VAR, un VECM seulement en cas de cointégration, un GARCH(1,1) Student et un GJR-GARCH. Il donne aussi une méthode correcte pour comparer les réseaux sans fuite d’information. Ces propositions sont justes et ont toutes été testées. Il ne choisit cependant pas les ordres des modèles, et une loi de Student symétrique ne rend pas compte de l’asymétrie observée.</w:t>
      </w:r>
    </w:p>
    <w:p w14:paraId="51856BB3">
      <w:pPr>
        <w:pStyle w:val="3"/>
        <w:keepNext/>
      </w:pPr>
      <w:r>
        <w:t>5.3. Consultation 2 : explication pour un décideur</w:t>
      </w:r>
    </w:p>
    <w:p w14:paraId="0D1FC1F9">
      <w:pPr>
        <w:spacing w:after="120" w:line="276" w:lineRule="auto"/>
        <w:jc w:val="both"/>
      </w:pPr>
      <w:r>
        <w:t>Le LLM a reçu les métriques du test, les tests de Diebold–Mariano et les couvertures GARCH. Son texte est clair et fidèle aux chiffres. Il explique bien que le VAR(0) n’utilise aucun rendement passé et qu’une différence non significative ne prouve pas que deux modèles sont équivalents. Il oublie que les 394 origines se chevauchent, et il ne cherche pas à expliquer pourquoi les réseaux battent le prix inchangé.</w:t>
      </w:r>
    </w:p>
    <w:p w14:paraId="588615C6">
      <w:pPr>
        <w:pStyle w:val="3"/>
        <w:keepNext/>
      </w:pPr>
      <w:r>
        <w:t>5.4. Consultation 3 : recommandations simulées</w:t>
      </w:r>
    </w:p>
    <w:p w14:paraId="0F502389">
      <w:pPr>
        <w:spacing w:after="120" w:line="276" w:lineRule="auto"/>
        <w:jc w:val="both"/>
      </w:pPr>
      <w:r>
        <w:t>Le LLM devait se placer au 22/05/2024 et proposer une position pour chaque actif. Il recommande de ne pas investir, car les hausses prévues (+0,05 % à +0,25 %) sont très petites face à la largeur des intervalles GARCH. Ce raisonnement est cohérent, mais la conversation contenait déjà les résultats du test, donc on ne peut pas exclure leur influence.</w:t>
      </w:r>
    </w:p>
    <w:p w14:paraId="7E6627AC">
      <w:pPr>
        <w:pStyle w:val="3"/>
        <w:keepNext/>
      </w:pPr>
      <w:r>
        <w:t>5.5. Comparaison avec notre analyse</w:t>
      </w:r>
    </w:p>
    <w:p w14:paraId="11DC3F2A">
      <w:pPr>
        <w:keepNext/>
        <w:spacing w:before="160" w:after="80"/>
      </w:pPr>
      <w:r>
        <w:rPr>
          <w:b/>
          <w:bCs/>
          <w:color w:val="1F3864"/>
          <w:sz w:val="20"/>
          <w:szCs w:val="20"/>
        </w:rPr>
        <w:t xml:space="preserve">Tableau 14 : </w:t>
      </w:r>
      <w:r>
        <w:rPr>
          <w:color w:val="1F3864"/>
          <w:sz w:val="20"/>
          <w:szCs w:val="20"/>
        </w:rPr>
        <w:t>Réponses du LLM et résultats du projet</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8"/>
        <w:gridCol w:w="2699"/>
        <w:gridCol w:w="3277"/>
        <w:gridCol w:w="1734"/>
      </w:tblGrid>
      <w:tr w14:paraId="182B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2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1B3CC32">
            <w:pPr>
              <w:keepNext/>
              <w:spacing w:after="0" w:line="240" w:lineRule="auto"/>
              <w:jc w:val="left"/>
            </w:pPr>
            <w:r>
              <w:rPr>
                <w:b/>
                <w:bCs/>
                <w:color w:val="FFFFFF"/>
                <w:sz w:val="18"/>
                <w:szCs w:val="18"/>
              </w:rPr>
              <w:t>Point</w:t>
            </w:r>
          </w:p>
        </w:tc>
        <w:tc>
          <w:tcPr>
            <w:tcW w:w="269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D0E8EE9">
            <w:pPr>
              <w:keepNext/>
              <w:spacing w:after="0" w:line="240" w:lineRule="auto"/>
              <w:jc w:val="left"/>
            </w:pPr>
            <w:r>
              <w:rPr>
                <w:b/>
                <w:bCs/>
                <w:color w:val="FFFFFF"/>
                <w:sz w:val="18"/>
                <w:szCs w:val="18"/>
              </w:rPr>
              <w:t>Réponse du LLM</w:t>
            </w:r>
          </w:p>
        </w:tc>
        <w:tc>
          <w:tcPr>
            <w:tcW w:w="327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1D74D5B">
            <w:pPr>
              <w:keepNext/>
              <w:spacing w:after="0" w:line="240" w:lineRule="auto"/>
              <w:jc w:val="left"/>
            </w:pPr>
            <w:r>
              <w:rPr>
                <w:b/>
                <w:bCs/>
                <w:color w:val="FFFFFF"/>
                <w:sz w:val="18"/>
                <w:szCs w:val="18"/>
              </w:rPr>
              <w:t>Résultat du projet</w:t>
            </w:r>
          </w:p>
        </w:tc>
        <w:tc>
          <w:tcPr>
            <w:tcW w:w="173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05B1E42">
            <w:pPr>
              <w:keepNext/>
              <w:spacing w:after="0" w:line="240" w:lineRule="auto"/>
              <w:jc w:val="center"/>
            </w:pPr>
            <w:r>
              <w:rPr>
                <w:b/>
                <w:bCs/>
                <w:color w:val="FFFFFF"/>
                <w:sz w:val="18"/>
                <w:szCs w:val="18"/>
              </w:rPr>
              <w:t>Verdict</w:t>
            </w:r>
          </w:p>
        </w:tc>
      </w:tr>
      <w:tr w14:paraId="30FE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2E89B9D">
            <w:pPr>
              <w:keepNext/>
              <w:spacing w:after="0" w:line="240" w:lineRule="auto"/>
              <w:jc w:val="left"/>
            </w:pPr>
            <w:r>
              <w:rPr>
                <w:sz w:val="18"/>
                <w:szCs w:val="18"/>
              </w:rPr>
              <w:t>Modèle de moyenne</w:t>
            </w:r>
          </w:p>
        </w:tc>
        <w:tc>
          <w:tcPr>
            <w:tcW w:w="269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D51CA7C">
            <w:pPr>
              <w:keepNext/>
              <w:spacing w:after="0" w:line="240" w:lineRule="auto"/>
              <w:jc w:val="left"/>
            </w:pPr>
            <w:r>
              <w:rPr>
                <w:sz w:val="18"/>
                <w:szCs w:val="18"/>
              </w:rPr>
              <w:t>ARIMA(0,1,0) comme référence</w:t>
            </w:r>
          </w:p>
        </w:tc>
        <w:tc>
          <w:tcPr>
            <w:tcW w:w="327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BADBF79">
            <w:pPr>
              <w:keepNext/>
              <w:spacing w:after="0" w:line="240" w:lineRule="auto"/>
              <w:jc w:val="left"/>
            </w:pPr>
            <w:r>
              <w:rPr>
                <w:sz w:val="18"/>
                <w:szCs w:val="18"/>
              </w:rPr>
              <w:t>ARIMA(0,1,0) retenu</w:t>
            </w:r>
          </w:p>
        </w:tc>
        <w:tc>
          <w:tcPr>
            <w:tcW w:w="173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AE18672">
            <w:pPr>
              <w:keepNext/>
              <w:spacing w:after="0" w:line="240" w:lineRule="auto"/>
              <w:jc w:val="center"/>
            </w:pPr>
            <w:r>
              <w:rPr>
                <w:sz w:val="18"/>
                <w:szCs w:val="18"/>
              </w:rPr>
              <w:t>Correct</w:t>
            </w:r>
          </w:p>
        </w:tc>
      </w:tr>
      <w:tr w14:paraId="383F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50CA4A8">
            <w:pPr>
              <w:keepNext/>
              <w:spacing w:after="0" w:line="240" w:lineRule="auto"/>
              <w:jc w:val="left"/>
            </w:pPr>
            <w:r>
              <w:rPr>
                <w:sz w:val="18"/>
                <w:szCs w:val="18"/>
              </w:rPr>
              <w:t>Liens entre actifs</w:t>
            </w:r>
          </w:p>
        </w:tc>
        <w:tc>
          <w:tcPr>
            <w:tcW w:w="269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F2B957A">
            <w:pPr>
              <w:keepNext/>
              <w:spacing w:after="0" w:line="240" w:lineRule="auto"/>
              <w:jc w:val="left"/>
            </w:pPr>
            <w:r>
              <w:rPr>
                <w:sz w:val="18"/>
                <w:szCs w:val="18"/>
              </w:rPr>
              <w:t>VAR à tester, VECM si cointégration</w:t>
            </w:r>
          </w:p>
        </w:tc>
        <w:tc>
          <w:tcPr>
            <w:tcW w:w="327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6314391">
            <w:pPr>
              <w:keepNext/>
              <w:spacing w:after="0" w:line="240" w:lineRule="auto"/>
              <w:jc w:val="left"/>
            </w:pPr>
            <w:r>
              <w:rPr>
                <w:sz w:val="18"/>
                <w:szCs w:val="18"/>
              </w:rPr>
              <w:t>VAR(0), pas de Granger, pas de cointégration</w:t>
            </w:r>
          </w:p>
        </w:tc>
        <w:tc>
          <w:tcPr>
            <w:tcW w:w="173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62B7773">
            <w:pPr>
              <w:keepNext/>
              <w:spacing w:after="0" w:line="240" w:lineRule="auto"/>
              <w:jc w:val="center"/>
            </w:pPr>
            <w:r>
              <w:rPr>
                <w:sz w:val="18"/>
                <w:szCs w:val="18"/>
              </w:rPr>
              <w:t>Correct</w:t>
            </w:r>
          </w:p>
        </w:tc>
      </w:tr>
      <w:tr w14:paraId="18EE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1AD4066">
            <w:pPr>
              <w:keepNext/>
              <w:spacing w:after="0" w:line="240" w:lineRule="auto"/>
              <w:jc w:val="left"/>
            </w:pPr>
            <w:r>
              <w:rPr>
                <w:sz w:val="18"/>
                <w:szCs w:val="18"/>
              </w:rPr>
              <w:t>Volatilité</w:t>
            </w:r>
          </w:p>
        </w:tc>
        <w:tc>
          <w:tcPr>
            <w:tcW w:w="269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1AE9DEE">
            <w:pPr>
              <w:keepNext/>
              <w:spacing w:after="0" w:line="240" w:lineRule="auto"/>
              <w:jc w:val="left"/>
            </w:pPr>
            <w:r>
              <w:rPr>
                <w:sz w:val="18"/>
                <w:szCs w:val="18"/>
              </w:rPr>
              <w:t>GARCH(1,1) Student, GJR si asymétrie</w:t>
            </w:r>
          </w:p>
        </w:tc>
        <w:tc>
          <w:tcPr>
            <w:tcW w:w="327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698257E">
            <w:pPr>
              <w:keepNext/>
              <w:spacing w:after="0" w:line="240" w:lineRule="auto"/>
              <w:jc w:val="left"/>
            </w:pPr>
            <w:r>
              <w:rPr>
                <w:sz w:val="18"/>
                <w:szCs w:val="18"/>
              </w:rPr>
              <w:t>GARCH retenu, γ négatif non prévu</w:t>
            </w:r>
          </w:p>
        </w:tc>
        <w:tc>
          <w:tcPr>
            <w:tcW w:w="173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B63C86E">
            <w:pPr>
              <w:keepNext/>
              <w:spacing w:after="0" w:line="240" w:lineRule="auto"/>
              <w:jc w:val="center"/>
            </w:pPr>
            <w:r>
              <w:rPr>
                <w:sz w:val="18"/>
                <w:szCs w:val="18"/>
              </w:rPr>
              <w:t>Incomplet</w:t>
            </w:r>
          </w:p>
        </w:tc>
      </w:tr>
      <w:tr w14:paraId="52D1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ADDD8AD">
            <w:pPr>
              <w:keepNext/>
              <w:spacing w:after="0" w:line="240" w:lineRule="auto"/>
              <w:jc w:val="left"/>
            </w:pPr>
            <w:r>
              <w:rPr>
                <w:sz w:val="18"/>
                <w:szCs w:val="18"/>
              </w:rPr>
              <w:t>Protocole des réseaux</w:t>
            </w:r>
          </w:p>
        </w:tc>
        <w:tc>
          <w:tcPr>
            <w:tcW w:w="269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789B8A0">
            <w:pPr>
              <w:keepNext/>
              <w:spacing w:after="0" w:line="240" w:lineRule="auto"/>
              <w:jc w:val="left"/>
            </w:pPr>
            <w:r>
              <w:rPr>
                <w:sz w:val="18"/>
                <w:szCs w:val="18"/>
              </w:rPr>
              <w:t>Scaler sur le passé, validation temporelle</w:t>
            </w:r>
          </w:p>
        </w:tc>
        <w:tc>
          <w:tcPr>
            <w:tcW w:w="327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F2C0A19">
            <w:pPr>
              <w:keepNext/>
              <w:spacing w:after="0" w:line="240" w:lineRule="auto"/>
              <w:jc w:val="left"/>
            </w:pPr>
            <w:r>
              <w:rPr>
                <w:sz w:val="18"/>
                <w:szCs w:val="18"/>
              </w:rPr>
              <w:t>Appliqué tel quel</w:t>
            </w:r>
          </w:p>
        </w:tc>
        <w:tc>
          <w:tcPr>
            <w:tcW w:w="173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7A84DC8">
            <w:pPr>
              <w:keepNext/>
              <w:spacing w:after="0" w:line="240" w:lineRule="auto"/>
              <w:jc w:val="center"/>
            </w:pPr>
            <w:r>
              <w:rPr>
                <w:sz w:val="18"/>
                <w:szCs w:val="18"/>
              </w:rPr>
              <w:t>Utile</w:t>
            </w:r>
          </w:p>
        </w:tc>
      </w:tr>
      <w:tr w14:paraId="7B52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B642195">
            <w:pPr>
              <w:keepNext/>
              <w:spacing w:after="0" w:line="240" w:lineRule="auto"/>
              <w:jc w:val="left"/>
            </w:pPr>
            <w:r>
              <w:rPr>
                <w:sz w:val="18"/>
                <w:szCs w:val="18"/>
              </w:rPr>
              <w:t>Origine des gains</w:t>
            </w:r>
          </w:p>
        </w:tc>
        <w:tc>
          <w:tcPr>
            <w:tcW w:w="269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0CD8BC5">
            <w:pPr>
              <w:keepNext/>
              <w:spacing w:after="0" w:line="240" w:lineRule="auto"/>
              <w:jc w:val="left"/>
            </w:pPr>
            <w:r>
              <w:rPr>
                <w:sz w:val="18"/>
                <w:szCs w:val="18"/>
              </w:rPr>
              <w:t>Non expliquée</w:t>
            </w:r>
          </w:p>
        </w:tc>
        <w:tc>
          <w:tcPr>
            <w:tcW w:w="327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8CA3B1C">
            <w:pPr>
              <w:keepNext/>
              <w:spacing w:after="0" w:line="240" w:lineRule="auto"/>
              <w:jc w:val="left"/>
            </w:pPr>
            <w:r>
              <w:rPr>
                <w:sz w:val="18"/>
                <w:szCs w:val="18"/>
              </w:rPr>
              <w:t>Petite hausse prévue pendant un test très haussier</w:t>
            </w:r>
          </w:p>
        </w:tc>
        <w:tc>
          <w:tcPr>
            <w:tcW w:w="173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F888AF4">
            <w:pPr>
              <w:keepNext/>
              <w:spacing w:after="0" w:line="240" w:lineRule="auto"/>
              <w:jc w:val="center"/>
            </w:pPr>
            <w:r>
              <w:rPr>
                <w:sz w:val="18"/>
                <w:szCs w:val="18"/>
              </w:rPr>
              <w:t>Non trouvé</w:t>
            </w:r>
          </w:p>
        </w:tc>
      </w:tr>
      <w:tr w14:paraId="1E49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9E7C1F7">
            <w:pPr>
              <w:keepNext w:val="0"/>
              <w:spacing w:after="0" w:line="240" w:lineRule="auto"/>
              <w:jc w:val="left"/>
            </w:pPr>
            <w:r>
              <w:rPr>
                <w:sz w:val="18"/>
                <w:szCs w:val="18"/>
              </w:rPr>
              <w:t>Origines chevauchantes</w:t>
            </w:r>
          </w:p>
        </w:tc>
        <w:tc>
          <w:tcPr>
            <w:tcW w:w="269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CC5D9F9">
            <w:pPr>
              <w:keepNext w:val="0"/>
              <w:spacing w:after="0" w:line="240" w:lineRule="auto"/>
              <w:jc w:val="left"/>
            </w:pPr>
            <w:r>
              <w:rPr>
                <w:sz w:val="18"/>
                <w:szCs w:val="18"/>
              </w:rPr>
              <w:t>Non mentionné</w:t>
            </w:r>
          </w:p>
        </w:tc>
        <w:tc>
          <w:tcPr>
            <w:tcW w:w="327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CEEB837">
            <w:pPr>
              <w:keepNext w:val="0"/>
              <w:spacing w:after="0" w:line="240" w:lineRule="auto"/>
              <w:jc w:val="left"/>
            </w:pPr>
            <w:r>
              <w:rPr>
                <w:sz w:val="18"/>
                <w:szCs w:val="18"/>
              </w:rPr>
              <w:t>394 origines dépendantes</w:t>
            </w:r>
          </w:p>
        </w:tc>
        <w:tc>
          <w:tcPr>
            <w:tcW w:w="173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2742647">
            <w:pPr>
              <w:keepNext w:val="0"/>
              <w:spacing w:after="0" w:line="240" w:lineRule="auto"/>
              <w:jc w:val="center"/>
            </w:pPr>
            <w:r>
              <w:rPr>
                <w:sz w:val="18"/>
                <w:szCs w:val="18"/>
              </w:rPr>
              <w:t>Oubli</w:t>
            </w:r>
          </w:p>
        </w:tc>
      </w:tr>
    </w:tbl>
    <w:p w14:paraId="3A5D8821">
      <w:pPr>
        <w:spacing w:before="0" w:after="80"/>
      </w:pPr>
    </w:p>
    <w:p w14:paraId="41B156CB">
      <w:pPr>
        <w:pStyle w:val="2"/>
        <w:keepNext/>
        <w:spacing w:before="360" w:after="200"/>
      </w:pPr>
      <w:r>
        <w:t>6. Prévision et évaluation</w:t>
      </w:r>
    </w:p>
    <w:p w14:paraId="41AE62A7">
      <w:pPr>
        <w:pStyle w:val="3"/>
        <w:keepNext/>
      </w:pPr>
      <w:r>
        <w:t>6.1. Méthode</w:t>
      </w:r>
    </w:p>
    <w:p w14:paraId="0E7375DD">
      <w:pPr>
        <w:spacing w:after="120" w:line="276" w:lineRule="auto"/>
        <w:jc w:val="both"/>
      </w:pPr>
      <w:r>
        <w:t>Tous les modèles sont évalués de la même façon sur le test :</w:t>
      </w:r>
    </w:p>
    <w:p w14:paraId="12DDABBF">
      <w:pPr>
        <w:pStyle w:val="18"/>
        <w:numPr>
          <w:ilvl w:val="0"/>
          <w:numId w:val="2"/>
        </w:numPr>
        <w:spacing w:after="60" w:line="264" w:lineRule="auto"/>
        <w:jc w:val="both"/>
      </w:pPr>
      <w:r>
        <w:t>394 origines communes, du 22/05/2024 à la dernière date qui permet une prévision à 10 séances ;</w:t>
      </w:r>
    </w:p>
    <w:p w14:paraId="62A7C1CA">
      <w:pPr>
        <w:pStyle w:val="18"/>
        <w:numPr>
          <w:ilvl w:val="0"/>
          <w:numId w:val="2"/>
        </w:numPr>
        <w:spacing w:after="60" w:line="264" w:lineRule="auto"/>
        <w:jc w:val="both"/>
      </w:pPr>
      <w:r>
        <w:t>horizons de 5 et 10 séances ;</w:t>
      </w:r>
    </w:p>
    <w:p w14:paraId="29801D68">
      <w:pPr>
        <w:pStyle w:val="18"/>
        <w:numPr>
          <w:ilvl w:val="0"/>
          <w:numId w:val="2"/>
        </w:numPr>
        <w:spacing w:after="60" w:line="264" w:lineRule="auto"/>
        <w:jc w:val="both"/>
      </w:pPr>
      <w:r>
        <w:t>paramètres fixés sur l’apprentissage, seules les nouvelles observations sont ajoutées ;</w:t>
      </w:r>
    </w:p>
    <w:p w14:paraId="55560775">
      <w:pPr>
        <w:pStyle w:val="18"/>
        <w:numPr>
          <w:ilvl w:val="0"/>
          <w:numId w:val="2"/>
        </w:numPr>
        <w:spacing w:after="60" w:line="264" w:lineRule="auto"/>
        <w:jc w:val="both"/>
      </w:pPr>
      <w:r>
        <w:t>pour les réseaux, chaque rendement prévu est réinjecté dans la fenêtre (prévision récursive) ;</w:t>
      </w:r>
    </w:p>
    <w:p w14:paraId="67C3B66A">
      <w:pPr>
        <w:pStyle w:val="18"/>
        <w:numPr>
          <w:ilvl w:val="0"/>
          <w:numId w:val="2"/>
        </w:numPr>
        <w:spacing w:after="60" w:line="264" w:lineRule="auto"/>
        <w:jc w:val="both"/>
      </w:pPr>
      <w:r>
        <w:t>erreurs calculées sur les prix : MSE en USD², RMSE et MAE en USD, MAPE en %.</w:t>
      </w:r>
    </w:p>
    <w:p w14:paraId="63984E78">
      <w:pPr>
        <w:spacing w:after="120" w:line="276" w:lineRule="auto"/>
        <w:jc w:val="both"/>
      </w:pPr>
      <w:r>
        <w:t>ARIMA(0,1,0) sans dérive et le prix inchangé donnent exactement la même prévision.</w:t>
      </w:r>
    </w:p>
    <w:p w14:paraId="4A326E16">
      <w:pPr>
        <w:keepNext/>
        <w:spacing w:before="80" w:after="40"/>
        <w:jc w:val="center"/>
      </w:pPr>
      <w:r>
        <w:drawing>
          <wp:inline distT="0" distB="0" distL="0" distR="0">
            <wp:extent cx="5810250" cy="36671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noChangeArrowheads="1"/>
                    </pic:cNvPicPr>
                  </pic:nvPicPr>
                  <pic:blipFill>
                    <a:blip r:embed="rId20"/>
                    <a:srcRect/>
                    <a:stretch>
                      <a:fillRect/>
                    </a:stretch>
                  </pic:blipFill>
                  <pic:spPr>
                    <a:xfrm>
                      <a:off x="0" y="0"/>
                      <a:ext cx="5810250" cy="3667125"/>
                    </a:xfrm>
                    <a:prstGeom prst="rect">
                      <a:avLst/>
                    </a:prstGeom>
                  </pic:spPr>
                </pic:pic>
              </a:graphicData>
            </a:graphic>
          </wp:inline>
        </w:drawing>
      </w:r>
    </w:p>
    <w:p w14:paraId="074C33E3">
      <w:pPr>
        <w:spacing w:before="40" w:after="160"/>
        <w:jc w:val="center"/>
      </w:pPr>
      <w:r>
        <w:rPr>
          <w:b/>
          <w:bCs/>
          <w:color w:val="1F3864"/>
          <w:sz w:val="19"/>
          <w:szCs w:val="19"/>
        </w:rPr>
        <w:t xml:space="preserve">Figure 9 : </w:t>
      </w:r>
      <w:r>
        <w:rPr>
          <w:color w:val="1F3864"/>
          <w:sz w:val="19"/>
          <w:szCs w:val="19"/>
        </w:rPr>
        <w:t>Prévisions sur 10 séances depuis le 22/05/2024</w:t>
      </w:r>
    </w:p>
    <w:p w14:paraId="73201715">
      <w:pPr>
        <w:spacing w:after="120" w:line="276" w:lineRule="auto"/>
        <w:jc w:val="both"/>
      </w:pPr>
      <w:r>
        <w:t>Les prévisions des réseaux sont presque plates et légèrement au-dessus du dernier prix, alors que le prix réel varie beaucoup plus.</w:t>
      </w:r>
    </w:p>
    <w:p w14:paraId="65D7C3CB">
      <w:pPr>
        <w:pStyle w:val="3"/>
        <w:keepNext/>
      </w:pPr>
      <w:r>
        <w:t>6.2. Résultats</w:t>
      </w:r>
    </w:p>
    <w:p w14:paraId="075F14BF">
      <w:pPr>
        <w:keepNext/>
        <w:spacing w:before="160" w:after="80"/>
      </w:pPr>
      <w:r>
        <w:rPr>
          <w:b/>
          <w:bCs/>
          <w:color w:val="1F3864"/>
          <w:sz w:val="20"/>
          <w:szCs w:val="20"/>
        </w:rPr>
        <w:t xml:space="preserve">Tableau 15 : </w:t>
      </w:r>
      <w:r>
        <w:rPr>
          <w:color w:val="1F3864"/>
          <w:sz w:val="20"/>
          <w:szCs w:val="20"/>
        </w:rPr>
        <w:t>Erreurs de prévision des prix sur le test (MSE en USD², RMSE et MAE en USD, MAPE en %)</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8"/>
        <w:gridCol w:w="1638"/>
        <w:gridCol w:w="964"/>
        <w:gridCol w:w="964"/>
        <w:gridCol w:w="867"/>
        <w:gridCol w:w="867"/>
        <w:gridCol w:w="964"/>
        <w:gridCol w:w="964"/>
        <w:gridCol w:w="867"/>
        <w:gridCol w:w="965"/>
      </w:tblGrid>
      <w:tr w14:paraId="5A7D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7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B5D1CCA">
            <w:pPr>
              <w:keepNext/>
              <w:spacing w:after="0" w:line="240" w:lineRule="auto"/>
              <w:jc w:val="left"/>
            </w:pPr>
            <w:r>
              <w:rPr>
                <w:b/>
                <w:bCs/>
                <w:color w:val="FFFFFF"/>
                <w:sz w:val="16"/>
                <w:szCs w:val="16"/>
              </w:rPr>
              <w:t>Actif</w:t>
            </w:r>
          </w:p>
        </w:tc>
        <w:tc>
          <w:tcPr>
            <w:tcW w:w="163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CF47F3B">
            <w:pPr>
              <w:keepNext/>
              <w:spacing w:after="0" w:line="240" w:lineRule="auto"/>
              <w:jc w:val="left"/>
            </w:pPr>
            <w:r>
              <w:rPr>
                <w:b/>
                <w:bCs/>
                <w:color w:val="FFFFFF"/>
                <w:sz w:val="16"/>
                <w:szCs w:val="16"/>
              </w:rPr>
              <w:t>Modèle</w:t>
            </w:r>
          </w:p>
        </w:tc>
        <w:tc>
          <w:tcPr>
            <w:tcW w:w="96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35CF00E">
            <w:pPr>
              <w:keepNext/>
              <w:spacing w:after="0" w:line="240" w:lineRule="auto"/>
              <w:jc w:val="center"/>
            </w:pPr>
            <w:r>
              <w:rPr>
                <w:b/>
                <w:bCs/>
                <w:color w:val="FFFFFF"/>
                <w:sz w:val="16"/>
                <w:szCs w:val="16"/>
              </w:rPr>
              <w:t>MSE h5</w:t>
            </w:r>
          </w:p>
        </w:tc>
        <w:tc>
          <w:tcPr>
            <w:tcW w:w="96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3597D22">
            <w:pPr>
              <w:keepNext/>
              <w:spacing w:after="0" w:line="240" w:lineRule="auto"/>
              <w:jc w:val="center"/>
            </w:pPr>
            <w:r>
              <w:rPr>
                <w:b/>
                <w:bCs/>
                <w:color w:val="FFFFFF"/>
                <w:sz w:val="16"/>
                <w:szCs w:val="16"/>
              </w:rPr>
              <w:t>RMSE h5</w:t>
            </w:r>
          </w:p>
        </w:tc>
        <w:tc>
          <w:tcPr>
            <w:tcW w:w="86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9D09B6D">
            <w:pPr>
              <w:keepNext/>
              <w:spacing w:after="0" w:line="240" w:lineRule="auto"/>
              <w:jc w:val="center"/>
            </w:pPr>
            <w:r>
              <w:rPr>
                <w:b/>
                <w:bCs/>
                <w:color w:val="FFFFFF"/>
                <w:sz w:val="16"/>
                <w:szCs w:val="16"/>
              </w:rPr>
              <w:t>MAE h5</w:t>
            </w:r>
          </w:p>
        </w:tc>
        <w:tc>
          <w:tcPr>
            <w:tcW w:w="86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6D168EE">
            <w:pPr>
              <w:keepNext/>
              <w:spacing w:after="0" w:line="240" w:lineRule="auto"/>
              <w:jc w:val="center"/>
            </w:pPr>
            <w:r>
              <w:rPr>
                <w:b/>
                <w:bCs/>
                <w:color w:val="FFFFFF"/>
                <w:sz w:val="16"/>
                <w:szCs w:val="16"/>
              </w:rPr>
              <w:t>MAPE h5</w:t>
            </w:r>
          </w:p>
        </w:tc>
        <w:tc>
          <w:tcPr>
            <w:tcW w:w="96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5C691EA">
            <w:pPr>
              <w:keepNext/>
              <w:spacing w:after="0" w:line="240" w:lineRule="auto"/>
              <w:jc w:val="center"/>
            </w:pPr>
            <w:r>
              <w:rPr>
                <w:b/>
                <w:bCs/>
                <w:color w:val="FFFFFF"/>
                <w:sz w:val="16"/>
                <w:szCs w:val="16"/>
              </w:rPr>
              <w:t>MSE h10</w:t>
            </w:r>
          </w:p>
        </w:tc>
        <w:tc>
          <w:tcPr>
            <w:tcW w:w="96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83521CE">
            <w:pPr>
              <w:keepNext/>
              <w:spacing w:after="0" w:line="240" w:lineRule="auto"/>
              <w:jc w:val="center"/>
            </w:pPr>
            <w:r>
              <w:rPr>
                <w:b/>
                <w:bCs/>
                <w:color w:val="FFFFFF"/>
                <w:sz w:val="16"/>
                <w:szCs w:val="16"/>
              </w:rPr>
              <w:t>RMSE h10</w:t>
            </w:r>
          </w:p>
        </w:tc>
        <w:tc>
          <w:tcPr>
            <w:tcW w:w="86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06BDB99">
            <w:pPr>
              <w:keepNext/>
              <w:spacing w:after="0" w:line="240" w:lineRule="auto"/>
              <w:jc w:val="center"/>
            </w:pPr>
            <w:r>
              <w:rPr>
                <w:b/>
                <w:bCs/>
                <w:color w:val="FFFFFF"/>
                <w:sz w:val="16"/>
                <w:szCs w:val="16"/>
              </w:rPr>
              <w:t>MAE h10</w:t>
            </w:r>
          </w:p>
        </w:tc>
        <w:tc>
          <w:tcPr>
            <w:tcW w:w="965"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3AD6FF9">
            <w:pPr>
              <w:keepNext/>
              <w:spacing w:after="0" w:line="240" w:lineRule="auto"/>
              <w:jc w:val="center"/>
            </w:pPr>
            <w:r>
              <w:rPr>
                <w:b/>
                <w:bCs/>
                <w:color w:val="FFFFFF"/>
                <w:sz w:val="16"/>
                <w:szCs w:val="16"/>
              </w:rPr>
              <w:t>MAPE h10</w:t>
            </w:r>
          </w:p>
        </w:tc>
      </w:tr>
      <w:tr w14:paraId="1BFB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DD413F6">
            <w:pPr>
              <w:keepNext/>
              <w:spacing w:after="0" w:line="240" w:lineRule="auto"/>
              <w:jc w:val="left"/>
            </w:pPr>
            <w:r>
              <w:rPr>
                <w:sz w:val="16"/>
                <w:szCs w:val="16"/>
              </w:rPr>
              <w:t>GLD</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1260F11">
            <w:pPr>
              <w:keepNext/>
              <w:spacing w:after="0" w:line="240" w:lineRule="auto"/>
              <w:jc w:val="left"/>
            </w:pPr>
            <w:r>
              <w:rPr>
                <w:sz w:val="16"/>
                <w:szCs w:val="16"/>
              </w:rPr>
              <w:t>Prix inchangé / ARIMA(0,1,0)</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39F00FC">
            <w:pPr>
              <w:keepNext/>
              <w:spacing w:after="0" w:line="240" w:lineRule="auto"/>
              <w:jc w:val="center"/>
            </w:pPr>
            <w:r>
              <w:rPr>
                <w:sz w:val="16"/>
                <w:szCs w:val="16"/>
              </w:rPr>
              <w:t>58,07</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91580DD">
            <w:pPr>
              <w:keepNext/>
              <w:spacing w:after="0" w:line="240" w:lineRule="auto"/>
              <w:jc w:val="center"/>
            </w:pPr>
            <w:r>
              <w:rPr>
                <w:sz w:val="16"/>
                <w:szCs w:val="16"/>
              </w:rPr>
              <w:t>7,62</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4376561">
            <w:pPr>
              <w:keepNext/>
              <w:spacing w:after="0" w:line="240" w:lineRule="auto"/>
              <w:jc w:val="center"/>
            </w:pPr>
            <w:r>
              <w:rPr>
                <w:sz w:val="16"/>
                <w:szCs w:val="16"/>
              </w:rPr>
              <w:t>5,69</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05ADF6A">
            <w:pPr>
              <w:keepNext/>
              <w:spacing w:after="0" w:line="240" w:lineRule="auto"/>
              <w:jc w:val="center"/>
            </w:pPr>
            <w:r>
              <w:rPr>
                <w:sz w:val="16"/>
                <w:szCs w:val="16"/>
              </w:rPr>
              <w:t>1,92</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B658495">
            <w:pPr>
              <w:keepNext/>
              <w:spacing w:after="0" w:line="240" w:lineRule="auto"/>
              <w:jc w:val="center"/>
            </w:pPr>
            <w:r>
              <w:rPr>
                <w:sz w:val="16"/>
                <w:szCs w:val="16"/>
              </w:rPr>
              <w:t>114,90</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18DC3E9">
            <w:pPr>
              <w:keepNext/>
              <w:spacing w:after="0" w:line="240" w:lineRule="auto"/>
              <w:jc w:val="center"/>
            </w:pPr>
            <w:r>
              <w:rPr>
                <w:sz w:val="16"/>
                <w:szCs w:val="16"/>
              </w:rPr>
              <w:t>10,72</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B10D5DA">
            <w:pPr>
              <w:keepNext/>
              <w:spacing w:after="0" w:line="240" w:lineRule="auto"/>
              <w:jc w:val="center"/>
            </w:pPr>
            <w:r>
              <w:rPr>
                <w:sz w:val="16"/>
                <w:szCs w:val="16"/>
              </w:rPr>
              <w:t>8,00</w:t>
            </w:r>
          </w:p>
        </w:tc>
        <w:tc>
          <w:tcPr>
            <w:tcW w:w="96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8B4B2E3">
            <w:pPr>
              <w:keepNext/>
              <w:spacing w:after="0" w:line="240" w:lineRule="auto"/>
              <w:jc w:val="center"/>
            </w:pPr>
            <w:r>
              <w:rPr>
                <w:sz w:val="16"/>
                <w:szCs w:val="16"/>
              </w:rPr>
              <w:t>2,66</w:t>
            </w:r>
          </w:p>
        </w:tc>
      </w:tr>
      <w:tr w14:paraId="74186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661520D">
            <w:pPr>
              <w:keepNext/>
              <w:spacing w:after="0" w:line="240" w:lineRule="auto"/>
              <w:jc w:val="left"/>
            </w:pPr>
            <w:r>
              <w:rPr>
                <w:sz w:val="16"/>
                <w:szCs w:val="16"/>
              </w:rPr>
              <w:t>GLD</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5CD8DF7">
            <w:pPr>
              <w:keepNext/>
              <w:spacing w:after="0" w:line="240" w:lineRule="auto"/>
              <w:jc w:val="left"/>
            </w:pPr>
            <w:r>
              <w:rPr>
                <w:sz w:val="16"/>
                <w:szCs w:val="16"/>
              </w:rPr>
              <w:t>VAR(0)</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7945F39">
            <w:pPr>
              <w:keepNext/>
              <w:spacing w:after="0" w:line="240" w:lineRule="auto"/>
              <w:jc w:val="center"/>
            </w:pPr>
            <w:r>
              <w:rPr>
                <w:sz w:val="16"/>
                <w:szCs w:val="16"/>
              </w:rPr>
              <w:t>56,79</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49D6A69">
            <w:pPr>
              <w:keepNext/>
              <w:spacing w:after="0" w:line="240" w:lineRule="auto"/>
              <w:jc w:val="center"/>
            </w:pPr>
            <w:r>
              <w:rPr>
                <w:sz w:val="16"/>
                <w:szCs w:val="16"/>
              </w:rPr>
              <w:t>7,54</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F543B10">
            <w:pPr>
              <w:keepNext/>
              <w:spacing w:after="0" w:line="240" w:lineRule="auto"/>
              <w:jc w:val="center"/>
            </w:pPr>
            <w:r>
              <w:rPr>
                <w:sz w:val="16"/>
                <w:szCs w:val="16"/>
              </w:rPr>
              <w:t>5,61</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BFA32CB">
            <w:pPr>
              <w:keepNext/>
              <w:spacing w:after="0" w:line="240" w:lineRule="auto"/>
              <w:jc w:val="center"/>
            </w:pPr>
            <w:r>
              <w:rPr>
                <w:sz w:val="16"/>
                <w:szCs w:val="16"/>
              </w:rPr>
              <w:t>1,89</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CE2053D">
            <w:pPr>
              <w:keepNext/>
              <w:spacing w:after="0" w:line="240" w:lineRule="auto"/>
              <w:jc w:val="center"/>
            </w:pPr>
            <w:r>
              <w:rPr>
                <w:sz w:val="16"/>
                <w:szCs w:val="16"/>
              </w:rPr>
              <w:t>109,75</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4FD63EF">
            <w:pPr>
              <w:keepNext/>
              <w:spacing w:after="0" w:line="240" w:lineRule="auto"/>
              <w:jc w:val="center"/>
            </w:pPr>
            <w:r>
              <w:rPr>
                <w:sz w:val="16"/>
                <w:szCs w:val="16"/>
              </w:rPr>
              <w:t>10,48</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D4917C8">
            <w:pPr>
              <w:keepNext/>
              <w:spacing w:after="0" w:line="240" w:lineRule="auto"/>
              <w:jc w:val="center"/>
            </w:pPr>
            <w:r>
              <w:rPr>
                <w:sz w:val="16"/>
                <w:szCs w:val="16"/>
              </w:rPr>
              <w:t>7,78</w:t>
            </w:r>
          </w:p>
        </w:tc>
        <w:tc>
          <w:tcPr>
            <w:tcW w:w="96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E6036F4">
            <w:pPr>
              <w:keepNext/>
              <w:spacing w:after="0" w:line="240" w:lineRule="auto"/>
              <w:jc w:val="center"/>
            </w:pPr>
            <w:r>
              <w:rPr>
                <w:sz w:val="16"/>
                <w:szCs w:val="16"/>
              </w:rPr>
              <w:t>2,59</w:t>
            </w:r>
          </w:p>
        </w:tc>
      </w:tr>
      <w:tr w14:paraId="0595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F4EEF42">
            <w:pPr>
              <w:keepNext/>
              <w:spacing w:after="0" w:line="240" w:lineRule="auto"/>
              <w:jc w:val="left"/>
            </w:pPr>
            <w:r>
              <w:rPr>
                <w:sz w:val="16"/>
                <w:szCs w:val="16"/>
              </w:rPr>
              <w:t>GLD</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9D8DB81">
            <w:pPr>
              <w:keepNext/>
              <w:spacing w:after="0" w:line="240" w:lineRule="auto"/>
              <w:jc w:val="left"/>
            </w:pPr>
            <w:r>
              <w:rPr>
                <w:sz w:val="16"/>
                <w:szCs w:val="16"/>
              </w:rPr>
              <w:t>VAR(1)</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4899263">
            <w:pPr>
              <w:keepNext/>
              <w:spacing w:after="0" w:line="240" w:lineRule="auto"/>
              <w:jc w:val="center"/>
            </w:pPr>
            <w:r>
              <w:rPr>
                <w:sz w:val="16"/>
                <w:szCs w:val="16"/>
              </w:rPr>
              <w:t>56,73</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E0A0ABC">
            <w:pPr>
              <w:keepNext/>
              <w:spacing w:after="0" w:line="240" w:lineRule="auto"/>
              <w:jc w:val="center"/>
            </w:pPr>
            <w:r>
              <w:rPr>
                <w:sz w:val="16"/>
                <w:szCs w:val="16"/>
              </w:rPr>
              <w:t>7,53</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056E4C1">
            <w:pPr>
              <w:keepNext/>
              <w:spacing w:after="0" w:line="240" w:lineRule="auto"/>
              <w:jc w:val="center"/>
            </w:pPr>
            <w:r>
              <w:rPr>
                <w:sz w:val="16"/>
                <w:szCs w:val="16"/>
              </w:rPr>
              <w:t>5,61</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07E0CB2">
            <w:pPr>
              <w:keepNext/>
              <w:spacing w:after="0" w:line="240" w:lineRule="auto"/>
              <w:jc w:val="center"/>
            </w:pPr>
            <w:r>
              <w:rPr>
                <w:sz w:val="16"/>
                <w:szCs w:val="16"/>
              </w:rPr>
              <w:t>1,89</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3A3E47A">
            <w:pPr>
              <w:keepNext/>
              <w:spacing w:after="0" w:line="240" w:lineRule="auto"/>
              <w:jc w:val="center"/>
            </w:pPr>
            <w:r>
              <w:rPr>
                <w:sz w:val="16"/>
                <w:szCs w:val="16"/>
              </w:rPr>
              <w:t>109,65</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17BD96A">
            <w:pPr>
              <w:keepNext/>
              <w:spacing w:after="0" w:line="240" w:lineRule="auto"/>
              <w:jc w:val="center"/>
            </w:pPr>
            <w:r>
              <w:rPr>
                <w:sz w:val="16"/>
                <w:szCs w:val="16"/>
              </w:rPr>
              <w:t>10,47</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01D2065">
            <w:pPr>
              <w:keepNext/>
              <w:spacing w:after="0" w:line="240" w:lineRule="auto"/>
              <w:jc w:val="center"/>
            </w:pPr>
            <w:r>
              <w:rPr>
                <w:sz w:val="16"/>
                <w:szCs w:val="16"/>
              </w:rPr>
              <w:t>7,78</w:t>
            </w:r>
          </w:p>
        </w:tc>
        <w:tc>
          <w:tcPr>
            <w:tcW w:w="96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E5C06E8">
            <w:pPr>
              <w:keepNext/>
              <w:spacing w:after="0" w:line="240" w:lineRule="auto"/>
              <w:jc w:val="center"/>
            </w:pPr>
            <w:r>
              <w:rPr>
                <w:sz w:val="16"/>
                <w:szCs w:val="16"/>
              </w:rPr>
              <w:t>2,59</w:t>
            </w:r>
          </w:p>
        </w:tc>
      </w:tr>
      <w:tr w14:paraId="5738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7E869AF">
            <w:pPr>
              <w:keepNext/>
              <w:spacing w:after="0" w:line="240" w:lineRule="auto"/>
              <w:jc w:val="left"/>
            </w:pPr>
            <w:r>
              <w:rPr>
                <w:sz w:val="16"/>
                <w:szCs w:val="16"/>
              </w:rPr>
              <w:t>GLD</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64F8BE2">
            <w:pPr>
              <w:keepNext/>
              <w:spacing w:after="0" w:line="240" w:lineRule="auto"/>
              <w:jc w:val="left"/>
            </w:pPr>
            <w:r>
              <w:rPr>
                <w:sz w:val="16"/>
                <w:szCs w:val="16"/>
              </w:rPr>
              <w:t>LSTM</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3DDBC69">
            <w:pPr>
              <w:keepNext/>
              <w:spacing w:after="0" w:line="240" w:lineRule="auto"/>
              <w:jc w:val="center"/>
            </w:pPr>
            <w:r>
              <w:rPr>
                <w:b/>
                <w:bCs/>
                <w:sz w:val="16"/>
                <w:szCs w:val="16"/>
              </w:rPr>
              <w:t>56,24</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7D86B2A">
            <w:pPr>
              <w:keepNext/>
              <w:spacing w:after="0" w:line="240" w:lineRule="auto"/>
              <w:jc w:val="center"/>
            </w:pPr>
            <w:r>
              <w:rPr>
                <w:b/>
                <w:bCs/>
                <w:sz w:val="16"/>
                <w:szCs w:val="16"/>
              </w:rPr>
              <w:t>7,50</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34E79DD">
            <w:pPr>
              <w:keepNext/>
              <w:spacing w:after="0" w:line="240" w:lineRule="auto"/>
              <w:jc w:val="center"/>
            </w:pPr>
            <w:r>
              <w:rPr>
                <w:b/>
                <w:bCs/>
                <w:sz w:val="16"/>
                <w:szCs w:val="16"/>
              </w:rPr>
              <w:t>5,58</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BA0C002">
            <w:pPr>
              <w:keepNext/>
              <w:spacing w:after="0" w:line="240" w:lineRule="auto"/>
              <w:jc w:val="center"/>
            </w:pPr>
            <w:r>
              <w:rPr>
                <w:b/>
                <w:bCs/>
                <w:sz w:val="16"/>
                <w:szCs w:val="16"/>
              </w:rPr>
              <w:t>1,88</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FD32D2F">
            <w:pPr>
              <w:keepNext/>
              <w:spacing w:after="0" w:line="240" w:lineRule="auto"/>
              <w:jc w:val="center"/>
            </w:pPr>
            <w:r>
              <w:rPr>
                <w:b/>
                <w:bCs/>
                <w:sz w:val="16"/>
                <w:szCs w:val="16"/>
              </w:rPr>
              <w:t>108,21</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8522C50">
            <w:pPr>
              <w:keepNext/>
              <w:spacing w:after="0" w:line="240" w:lineRule="auto"/>
              <w:jc w:val="center"/>
            </w:pPr>
            <w:r>
              <w:rPr>
                <w:b/>
                <w:bCs/>
                <w:sz w:val="16"/>
                <w:szCs w:val="16"/>
              </w:rPr>
              <w:t>10,40</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CB9055B">
            <w:pPr>
              <w:keepNext/>
              <w:spacing w:after="0" w:line="240" w:lineRule="auto"/>
              <w:jc w:val="center"/>
            </w:pPr>
            <w:r>
              <w:rPr>
                <w:b/>
                <w:bCs/>
                <w:sz w:val="16"/>
                <w:szCs w:val="16"/>
              </w:rPr>
              <w:t>7,72</w:t>
            </w:r>
          </w:p>
        </w:tc>
        <w:tc>
          <w:tcPr>
            <w:tcW w:w="96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9A61DFC">
            <w:pPr>
              <w:keepNext/>
              <w:spacing w:after="0" w:line="240" w:lineRule="auto"/>
              <w:jc w:val="center"/>
            </w:pPr>
            <w:r>
              <w:rPr>
                <w:b/>
                <w:bCs/>
                <w:sz w:val="16"/>
                <w:szCs w:val="16"/>
              </w:rPr>
              <w:t>2,56</w:t>
            </w:r>
          </w:p>
        </w:tc>
      </w:tr>
      <w:tr w14:paraId="001E3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761AA40">
            <w:pPr>
              <w:keepNext/>
              <w:spacing w:after="0" w:line="240" w:lineRule="auto"/>
              <w:jc w:val="left"/>
            </w:pPr>
            <w:r>
              <w:rPr>
                <w:sz w:val="16"/>
                <w:szCs w:val="16"/>
              </w:rPr>
              <w:t>GLD</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18936EA">
            <w:pPr>
              <w:keepNext/>
              <w:spacing w:after="0" w:line="240" w:lineRule="auto"/>
              <w:jc w:val="left"/>
            </w:pPr>
            <w:r>
              <w:rPr>
                <w:sz w:val="16"/>
                <w:szCs w:val="16"/>
              </w:rPr>
              <w:t>GRU</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1700F7F">
            <w:pPr>
              <w:keepNext/>
              <w:spacing w:after="0" w:line="240" w:lineRule="auto"/>
              <w:jc w:val="center"/>
            </w:pPr>
            <w:r>
              <w:rPr>
                <w:sz w:val="16"/>
                <w:szCs w:val="16"/>
              </w:rPr>
              <w:t>56,28</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D195833">
            <w:pPr>
              <w:keepNext/>
              <w:spacing w:after="0" w:line="240" w:lineRule="auto"/>
              <w:jc w:val="center"/>
            </w:pPr>
            <w:r>
              <w:rPr>
                <w:sz w:val="16"/>
                <w:szCs w:val="16"/>
              </w:rPr>
              <w:t>7,50</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6969A55">
            <w:pPr>
              <w:keepNext/>
              <w:spacing w:after="0" w:line="240" w:lineRule="auto"/>
              <w:jc w:val="center"/>
            </w:pPr>
            <w:r>
              <w:rPr>
                <w:sz w:val="16"/>
                <w:szCs w:val="16"/>
              </w:rPr>
              <w:t>5,59</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E6C1BDA">
            <w:pPr>
              <w:keepNext/>
              <w:spacing w:after="0" w:line="240" w:lineRule="auto"/>
              <w:jc w:val="center"/>
            </w:pPr>
            <w:r>
              <w:rPr>
                <w:sz w:val="16"/>
                <w:szCs w:val="16"/>
              </w:rPr>
              <w:t>1,89</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FA98C4C">
            <w:pPr>
              <w:keepNext/>
              <w:spacing w:after="0" w:line="240" w:lineRule="auto"/>
              <w:jc w:val="center"/>
            </w:pPr>
            <w:r>
              <w:rPr>
                <w:sz w:val="16"/>
                <w:szCs w:val="16"/>
              </w:rPr>
              <w:t>108,75</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3FD57F3">
            <w:pPr>
              <w:keepNext/>
              <w:spacing w:after="0" w:line="240" w:lineRule="auto"/>
              <w:jc w:val="center"/>
            </w:pPr>
            <w:r>
              <w:rPr>
                <w:sz w:val="16"/>
                <w:szCs w:val="16"/>
              </w:rPr>
              <w:t>10,43</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A7492BD">
            <w:pPr>
              <w:keepNext/>
              <w:spacing w:after="0" w:line="240" w:lineRule="auto"/>
              <w:jc w:val="center"/>
            </w:pPr>
            <w:r>
              <w:rPr>
                <w:sz w:val="16"/>
                <w:szCs w:val="16"/>
              </w:rPr>
              <w:t>7,74</w:t>
            </w:r>
          </w:p>
        </w:tc>
        <w:tc>
          <w:tcPr>
            <w:tcW w:w="96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B716A33">
            <w:pPr>
              <w:keepNext/>
              <w:spacing w:after="0" w:line="240" w:lineRule="auto"/>
              <w:jc w:val="center"/>
            </w:pPr>
            <w:r>
              <w:rPr>
                <w:sz w:val="16"/>
                <w:szCs w:val="16"/>
              </w:rPr>
              <w:t>2,58</w:t>
            </w:r>
          </w:p>
        </w:tc>
      </w:tr>
      <w:tr w14:paraId="4665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A6274B2">
            <w:pPr>
              <w:keepNext/>
              <w:spacing w:after="0" w:line="240" w:lineRule="auto"/>
              <w:jc w:val="left"/>
            </w:pPr>
            <w:r>
              <w:rPr>
                <w:sz w:val="16"/>
                <w:szCs w:val="16"/>
              </w:rPr>
              <w:t>SLV</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2930B41">
            <w:pPr>
              <w:keepNext/>
              <w:spacing w:after="0" w:line="240" w:lineRule="auto"/>
              <w:jc w:val="left"/>
            </w:pPr>
            <w:r>
              <w:rPr>
                <w:sz w:val="16"/>
                <w:szCs w:val="16"/>
              </w:rPr>
              <w:t>Prix inchangé / ARIMA(0,1,0)</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AAE8522">
            <w:pPr>
              <w:keepNext/>
              <w:spacing w:after="0" w:line="240" w:lineRule="auto"/>
              <w:jc w:val="center"/>
            </w:pPr>
            <w:r>
              <w:rPr>
                <w:sz w:val="16"/>
                <w:szCs w:val="16"/>
              </w:rPr>
              <w:t>2,72</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70529F2">
            <w:pPr>
              <w:keepNext/>
              <w:spacing w:after="0" w:line="240" w:lineRule="auto"/>
              <w:jc w:val="center"/>
            </w:pPr>
            <w:r>
              <w:rPr>
                <w:sz w:val="16"/>
                <w:szCs w:val="16"/>
              </w:rPr>
              <w:t>1,65</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25B4631">
            <w:pPr>
              <w:keepNext/>
              <w:spacing w:after="0" w:line="240" w:lineRule="auto"/>
              <w:jc w:val="center"/>
            </w:pPr>
            <w:r>
              <w:rPr>
                <w:sz w:val="16"/>
                <w:szCs w:val="16"/>
              </w:rPr>
              <w:t>1,15</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0F8B0C7">
            <w:pPr>
              <w:keepNext/>
              <w:spacing w:after="0" w:line="240" w:lineRule="auto"/>
              <w:jc w:val="center"/>
            </w:pPr>
            <w:r>
              <w:rPr>
                <w:sz w:val="16"/>
                <w:szCs w:val="16"/>
              </w:rPr>
              <w:t>3,33</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B168B0C">
            <w:pPr>
              <w:keepNext/>
              <w:spacing w:after="0" w:line="240" w:lineRule="auto"/>
              <w:jc w:val="center"/>
            </w:pPr>
            <w:r>
              <w:rPr>
                <w:sz w:val="16"/>
                <w:szCs w:val="16"/>
              </w:rPr>
              <w:t>7,11</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5577FF3">
            <w:pPr>
              <w:keepNext/>
              <w:spacing w:after="0" w:line="240" w:lineRule="auto"/>
              <w:jc w:val="center"/>
            </w:pPr>
            <w:r>
              <w:rPr>
                <w:sz w:val="16"/>
                <w:szCs w:val="16"/>
              </w:rPr>
              <w:t>2,67</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D0470F4">
            <w:pPr>
              <w:keepNext/>
              <w:spacing w:after="0" w:line="240" w:lineRule="auto"/>
              <w:jc w:val="center"/>
            </w:pPr>
            <w:r>
              <w:rPr>
                <w:sz w:val="16"/>
                <w:szCs w:val="16"/>
              </w:rPr>
              <w:t>1,81</w:t>
            </w:r>
          </w:p>
        </w:tc>
        <w:tc>
          <w:tcPr>
            <w:tcW w:w="96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D1CE77F">
            <w:pPr>
              <w:keepNext/>
              <w:spacing w:after="0" w:line="240" w:lineRule="auto"/>
              <w:jc w:val="center"/>
            </w:pPr>
            <w:r>
              <w:rPr>
                <w:sz w:val="16"/>
                <w:szCs w:val="16"/>
              </w:rPr>
              <w:t>4,92</w:t>
            </w:r>
          </w:p>
        </w:tc>
      </w:tr>
      <w:tr w14:paraId="1AC5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2AD7D05">
            <w:pPr>
              <w:keepNext/>
              <w:spacing w:after="0" w:line="240" w:lineRule="auto"/>
              <w:jc w:val="left"/>
            </w:pPr>
            <w:r>
              <w:rPr>
                <w:sz w:val="16"/>
                <w:szCs w:val="16"/>
              </w:rPr>
              <w:t>SLV</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A1586FD">
            <w:pPr>
              <w:keepNext/>
              <w:spacing w:after="0" w:line="240" w:lineRule="auto"/>
              <w:jc w:val="left"/>
            </w:pPr>
            <w:r>
              <w:rPr>
                <w:sz w:val="16"/>
                <w:szCs w:val="16"/>
              </w:rPr>
              <w:t>VAR(0)</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124402F">
            <w:pPr>
              <w:keepNext/>
              <w:spacing w:after="0" w:line="240" w:lineRule="auto"/>
              <w:jc w:val="center"/>
            </w:pPr>
            <w:r>
              <w:rPr>
                <w:sz w:val="16"/>
                <w:szCs w:val="16"/>
              </w:rPr>
              <w:t>2,70</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A07150C">
            <w:pPr>
              <w:keepNext/>
              <w:spacing w:after="0" w:line="240" w:lineRule="auto"/>
              <w:jc w:val="center"/>
            </w:pPr>
            <w:r>
              <w:rPr>
                <w:sz w:val="16"/>
                <w:szCs w:val="16"/>
              </w:rPr>
              <w:t>1,64</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422CFEE">
            <w:pPr>
              <w:keepNext/>
              <w:spacing w:after="0" w:line="240" w:lineRule="auto"/>
              <w:jc w:val="center"/>
            </w:pPr>
            <w:r>
              <w:rPr>
                <w:sz w:val="16"/>
                <w:szCs w:val="16"/>
              </w:rPr>
              <w:t>1,15</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5505DD8">
            <w:pPr>
              <w:keepNext/>
              <w:spacing w:after="0" w:line="240" w:lineRule="auto"/>
              <w:jc w:val="center"/>
            </w:pPr>
            <w:r>
              <w:rPr>
                <w:sz w:val="16"/>
                <w:szCs w:val="16"/>
              </w:rPr>
              <w:t>3,32</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979E004">
            <w:pPr>
              <w:keepNext/>
              <w:spacing w:after="0" w:line="240" w:lineRule="auto"/>
              <w:jc w:val="center"/>
            </w:pPr>
            <w:r>
              <w:rPr>
                <w:sz w:val="16"/>
                <w:szCs w:val="16"/>
              </w:rPr>
              <w:t>7,00</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05873DB">
            <w:pPr>
              <w:keepNext/>
              <w:spacing w:after="0" w:line="240" w:lineRule="auto"/>
              <w:jc w:val="center"/>
            </w:pPr>
            <w:r>
              <w:rPr>
                <w:sz w:val="16"/>
                <w:szCs w:val="16"/>
              </w:rPr>
              <w:t>2,65</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307E865">
            <w:pPr>
              <w:keepNext/>
              <w:spacing w:after="0" w:line="240" w:lineRule="auto"/>
              <w:jc w:val="center"/>
            </w:pPr>
            <w:r>
              <w:rPr>
                <w:sz w:val="16"/>
                <w:szCs w:val="16"/>
              </w:rPr>
              <w:t>1,80</w:t>
            </w:r>
          </w:p>
        </w:tc>
        <w:tc>
          <w:tcPr>
            <w:tcW w:w="96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D03069A">
            <w:pPr>
              <w:keepNext/>
              <w:spacing w:after="0" w:line="240" w:lineRule="auto"/>
              <w:jc w:val="center"/>
            </w:pPr>
            <w:r>
              <w:rPr>
                <w:sz w:val="16"/>
                <w:szCs w:val="16"/>
              </w:rPr>
              <w:t>4,89</w:t>
            </w:r>
          </w:p>
        </w:tc>
      </w:tr>
      <w:tr w14:paraId="66E9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7E52C81">
            <w:pPr>
              <w:keepNext/>
              <w:spacing w:after="0" w:line="240" w:lineRule="auto"/>
              <w:jc w:val="left"/>
            </w:pPr>
            <w:r>
              <w:rPr>
                <w:sz w:val="16"/>
                <w:szCs w:val="16"/>
              </w:rPr>
              <w:t>SLV</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2FADA8C">
            <w:pPr>
              <w:keepNext/>
              <w:spacing w:after="0" w:line="240" w:lineRule="auto"/>
              <w:jc w:val="left"/>
            </w:pPr>
            <w:r>
              <w:rPr>
                <w:sz w:val="16"/>
                <w:szCs w:val="16"/>
              </w:rPr>
              <w:t>VAR(1)</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A974C2C">
            <w:pPr>
              <w:keepNext/>
              <w:spacing w:after="0" w:line="240" w:lineRule="auto"/>
              <w:jc w:val="center"/>
            </w:pPr>
            <w:r>
              <w:rPr>
                <w:sz w:val="16"/>
                <w:szCs w:val="16"/>
              </w:rPr>
              <w:t>2,70</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7423A11">
            <w:pPr>
              <w:keepNext/>
              <w:spacing w:after="0" w:line="240" w:lineRule="auto"/>
              <w:jc w:val="center"/>
            </w:pPr>
            <w:r>
              <w:rPr>
                <w:sz w:val="16"/>
                <w:szCs w:val="16"/>
              </w:rPr>
              <w:t>1,64</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4B64F13">
            <w:pPr>
              <w:keepNext/>
              <w:spacing w:after="0" w:line="240" w:lineRule="auto"/>
              <w:jc w:val="center"/>
            </w:pPr>
            <w:r>
              <w:rPr>
                <w:sz w:val="16"/>
                <w:szCs w:val="16"/>
              </w:rPr>
              <w:t>1,15</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3ABDAE7">
            <w:pPr>
              <w:keepNext/>
              <w:spacing w:after="0" w:line="240" w:lineRule="auto"/>
              <w:jc w:val="center"/>
            </w:pPr>
            <w:r>
              <w:rPr>
                <w:sz w:val="16"/>
                <w:szCs w:val="16"/>
              </w:rPr>
              <w:t>3,32</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5DB0A6D">
            <w:pPr>
              <w:keepNext/>
              <w:spacing w:after="0" w:line="240" w:lineRule="auto"/>
              <w:jc w:val="center"/>
            </w:pPr>
            <w:r>
              <w:rPr>
                <w:sz w:val="16"/>
                <w:szCs w:val="16"/>
              </w:rPr>
              <w:t>7,00</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0ED8E9F">
            <w:pPr>
              <w:keepNext/>
              <w:spacing w:after="0" w:line="240" w:lineRule="auto"/>
              <w:jc w:val="center"/>
            </w:pPr>
            <w:r>
              <w:rPr>
                <w:sz w:val="16"/>
                <w:szCs w:val="16"/>
              </w:rPr>
              <w:t>2,65</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52AC6F1">
            <w:pPr>
              <w:keepNext/>
              <w:spacing w:after="0" w:line="240" w:lineRule="auto"/>
              <w:jc w:val="center"/>
            </w:pPr>
            <w:r>
              <w:rPr>
                <w:sz w:val="16"/>
                <w:szCs w:val="16"/>
              </w:rPr>
              <w:t>1,80</w:t>
            </w:r>
          </w:p>
        </w:tc>
        <w:tc>
          <w:tcPr>
            <w:tcW w:w="96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72AEACD">
            <w:pPr>
              <w:keepNext/>
              <w:spacing w:after="0" w:line="240" w:lineRule="auto"/>
              <w:jc w:val="center"/>
            </w:pPr>
            <w:r>
              <w:rPr>
                <w:sz w:val="16"/>
                <w:szCs w:val="16"/>
              </w:rPr>
              <w:t>4,89</w:t>
            </w:r>
          </w:p>
        </w:tc>
      </w:tr>
      <w:tr w14:paraId="6CE2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A1B060E">
            <w:pPr>
              <w:keepNext/>
              <w:spacing w:after="0" w:line="240" w:lineRule="auto"/>
              <w:jc w:val="left"/>
            </w:pPr>
            <w:r>
              <w:rPr>
                <w:sz w:val="16"/>
                <w:szCs w:val="16"/>
              </w:rPr>
              <w:t>SLV</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953F2BE">
            <w:pPr>
              <w:keepNext/>
              <w:spacing w:after="0" w:line="240" w:lineRule="auto"/>
              <w:jc w:val="left"/>
            </w:pPr>
            <w:r>
              <w:rPr>
                <w:sz w:val="16"/>
                <w:szCs w:val="16"/>
              </w:rPr>
              <w:t>LSTM</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923D979">
            <w:pPr>
              <w:keepNext/>
              <w:spacing w:after="0" w:line="240" w:lineRule="auto"/>
              <w:jc w:val="center"/>
            </w:pPr>
            <w:r>
              <w:rPr>
                <w:sz w:val="16"/>
                <w:szCs w:val="16"/>
              </w:rPr>
              <w:t>2,66</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7235F25">
            <w:pPr>
              <w:keepNext/>
              <w:spacing w:after="0" w:line="240" w:lineRule="auto"/>
              <w:jc w:val="center"/>
            </w:pPr>
            <w:r>
              <w:rPr>
                <w:sz w:val="16"/>
                <w:szCs w:val="16"/>
              </w:rPr>
              <w:t>1,63</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FD4206D">
            <w:pPr>
              <w:keepNext/>
              <w:spacing w:after="0" w:line="240" w:lineRule="auto"/>
              <w:jc w:val="center"/>
            </w:pPr>
            <w:r>
              <w:rPr>
                <w:sz w:val="16"/>
                <w:szCs w:val="16"/>
              </w:rPr>
              <w:t>1,15</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97B8B5F">
            <w:pPr>
              <w:keepNext/>
              <w:spacing w:after="0" w:line="240" w:lineRule="auto"/>
              <w:jc w:val="center"/>
            </w:pPr>
            <w:r>
              <w:rPr>
                <w:sz w:val="16"/>
                <w:szCs w:val="16"/>
              </w:rPr>
              <w:t>3,31</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4B655DB">
            <w:pPr>
              <w:keepNext/>
              <w:spacing w:after="0" w:line="240" w:lineRule="auto"/>
              <w:jc w:val="center"/>
            </w:pPr>
            <w:r>
              <w:rPr>
                <w:sz w:val="16"/>
                <w:szCs w:val="16"/>
              </w:rPr>
              <w:t>6,93</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EEC4AD3">
            <w:pPr>
              <w:keepNext/>
              <w:spacing w:after="0" w:line="240" w:lineRule="auto"/>
              <w:jc w:val="center"/>
            </w:pPr>
            <w:r>
              <w:rPr>
                <w:sz w:val="16"/>
                <w:szCs w:val="16"/>
              </w:rPr>
              <w:t>2,63</w:t>
            </w:r>
          </w:p>
        </w:tc>
        <w:tc>
          <w:tcPr>
            <w:tcW w:w="86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219368A">
            <w:pPr>
              <w:keepNext/>
              <w:spacing w:after="0" w:line="240" w:lineRule="auto"/>
              <w:jc w:val="center"/>
            </w:pPr>
            <w:r>
              <w:rPr>
                <w:sz w:val="16"/>
                <w:szCs w:val="16"/>
              </w:rPr>
              <w:t>1,79</w:t>
            </w:r>
          </w:p>
        </w:tc>
        <w:tc>
          <w:tcPr>
            <w:tcW w:w="96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5F451C8">
            <w:pPr>
              <w:keepNext/>
              <w:spacing w:after="0" w:line="240" w:lineRule="auto"/>
              <w:jc w:val="center"/>
            </w:pPr>
            <w:r>
              <w:rPr>
                <w:sz w:val="16"/>
                <w:szCs w:val="16"/>
              </w:rPr>
              <w:t>4,87</w:t>
            </w:r>
          </w:p>
        </w:tc>
      </w:tr>
      <w:tr w14:paraId="1D56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0AC4BC8">
            <w:pPr>
              <w:keepNext w:val="0"/>
              <w:spacing w:after="0" w:line="240" w:lineRule="auto"/>
              <w:jc w:val="left"/>
            </w:pPr>
            <w:r>
              <w:rPr>
                <w:sz w:val="16"/>
                <w:szCs w:val="16"/>
              </w:rPr>
              <w:t>SLV</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65639E2">
            <w:pPr>
              <w:keepNext w:val="0"/>
              <w:spacing w:after="0" w:line="240" w:lineRule="auto"/>
              <w:jc w:val="left"/>
            </w:pPr>
            <w:r>
              <w:rPr>
                <w:sz w:val="16"/>
                <w:szCs w:val="16"/>
              </w:rPr>
              <w:t>GRU</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1852A34">
            <w:pPr>
              <w:keepNext w:val="0"/>
              <w:spacing w:after="0" w:line="240" w:lineRule="auto"/>
              <w:jc w:val="center"/>
            </w:pPr>
            <w:r>
              <w:rPr>
                <w:b/>
                <w:bCs/>
                <w:sz w:val="16"/>
                <w:szCs w:val="16"/>
              </w:rPr>
              <w:t>2,63</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4CDBB78">
            <w:pPr>
              <w:keepNext w:val="0"/>
              <w:spacing w:after="0" w:line="240" w:lineRule="auto"/>
              <w:jc w:val="center"/>
            </w:pPr>
            <w:r>
              <w:rPr>
                <w:b/>
                <w:bCs/>
                <w:sz w:val="16"/>
                <w:szCs w:val="16"/>
              </w:rPr>
              <w:t>1,62</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63BCE9E">
            <w:pPr>
              <w:keepNext w:val="0"/>
              <w:spacing w:after="0" w:line="240" w:lineRule="auto"/>
              <w:jc w:val="center"/>
            </w:pPr>
            <w:r>
              <w:rPr>
                <w:b/>
                <w:bCs/>
                <w:sz w:val="16"/>
                <w:szCs w:val="16"/>
              </w:rPr>
              <w:t>1,14</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B00003D">
            <w:pPr>
              <w:keepNext w:val="0"/>
              <w:spacing w:after="0" w:line="240" w:lineRule="auto"/>
              <w:jc w:val="center"/>
            </w:pPr>
            <w:r>
              <w:rPr>
                <w:b/>
                <w:bCs/>
                <w:sz w:val="16"/>
                <w:szCs w:val="16"/>
              </w:rPr>
              <w:t>3,30</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3E76ED8">
            <w:pPr>
              <w:keepNext w:val="0"/>
              <w:spacing w:after="0" w:line="240" w:lineRule="auto"/>
              <w:jc w:val="center"/>
            </w:pPr>
            <w:r>
              <w:rPr>
                <w:b/>
                <w:bCs/>
                <w:sz w:val="16"/>
                <w:szCs w:val="16"/>
              </w:rPr>
              <w:t>6,79</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B7287A2">
            <w:pPr>
              <w:keepNext w:val="0"/>
              <w:spacing w:after="0" w:line="240" w:lineRule="auto"/>
              <w:jc w:val="center"/>
            </w:pPr>
            <w:r>
              <w:rPr>
                <w:b/>
                <w:bCs/>
                <w:sz w:val="16"/>
                <w:szCs w:val="16"/>
              </w:rPr>
              <w:t>2,61</w:t>
            </w:r>
          </w:p>
        </w:tc>
        <w:tc>
          <w:tcPr>
            <w:tcW w:w="86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9039162">
            <w:pPr>
              <w:keepNext w:val="0"/>
              <w:spacing w:after="0" w:line="240" w:lineRule="auto"/>
              <w:jc w:val="center"/>
            </w:pPr>
            <w:r>
              <w:rPr>
                <w:b/>
                <w:bCs/>
                <w:sz w:val="16"/>
                <w:szCs w:val="16"/>
              </w:rPr>
              <w:t>1,78</w:t>
            </w:r>
          </w:p>
        </w:tc>
        <w:tc>
          <w:tcPr>
            <w:tcW w:w="96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1080D67">
            <w:pPr>
              <w:keepNext w:val="0"/>
              <w:spacing w:after="0" w:line="240" w:lineRule="auto"/>
              <w:jc w:val="center"/>
            </w:pPr>
            <w:r>
              <w:rPr>
                <w:b/>
                <w:bCs/>
                <w:sz w:val="16"/>
                <w:szCs w:val="16"/>
              </w:rPr>
              <w:t>4,85</w:t>
            </w:r>
          </w:p>
        </w:tc>
      </w:tr>
    </w:tbl>
    <w:p w14:paraId="472D61A2">
      <w:pPr>
        <w:spacing w:before="0" w:after="80"/>
      </w:pPr>
    </w:p>
    <w:p w14:paraId="4451368C">
      <w:pPr>
        <w:spacing w:after="120" w:line="276" w:lineRule="auto"/>
        <w:jc w:val="both"/>
      </w:pPr>
      <w:r>
        <w:t>Le meilleur modèle de chaque colonne est en gras. ARIMA(0,1,0) sans dérive donne exactement les mêmes valeurs que le prix inchangé.</w:t>
      </w:r>
    </w:p>
    <w:p w14:paraId="12DFA6EE">
      <w:pPr>
        <w:keepNext/>
        <w:spacing w:before="80" w:after="40"/>
        <w:jc w:val="center"/>
      </w:pPr>
      <w:r>
        <w:drawing>
          <wp:inline distT="0" distB="0" distL="0" distR="0">
            <wp:extent cx="5810250" cy="21240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noChangeArrowheads="1"/>
                    </pic:cNvPicPr>
                  </pic:nvPicPr>
                  <pic:blipFill>
                    <a:blip r:embed="rId21"/>
                    <a:srcRect/>
                    <a:stretch>
                      <a:fillRect/>
                    </a:stretch>
                  </pic:blipFill>
                  <pic:spPr>
                    <a:xfrm>
                      <a:off x="0" y="0"/>
                      <a:ext cx="5810250" cy="2124075"/>
                    </a:xfrm>
                    <a:prstGeom prst="rect">
                      <a:avLst/>
                    </a:prstGeom>
                  </pic:spPr>
                </pic:pic>
              </a:graphicData>
            </a:graphic>
          </wp:inline>
        </w:drawing>
      </w:r>
    </w:p>
    <w:p w14:paraId="472E1270">
      <w:pPr>
        <w:spacing w:before="40" w:after="160"/>
        <w:jc w:val="center"/>
      </w:pPr>
      <w:r>
        <w:rPr>
          <w:b/>
          <w:bCs/>
          <w:color w:val="1F3864"/>
          <w:sz w:val="19"/>
          <w:szCs w:val="19"/>
        </w:rPr>
        <w:t xml:space="preserve">Figure 10 : </w:t>
      </w:r>
      <w:r>
        <w:rPr>
          <w:color w:val="1F3864"/>
          <w:sz w:val="19"/>
          <w:szCs w:val="19"/>
        </w:rPr>
        <w:t>RMSE des prix sur le test</w:t>
      </w:r>
    </w:p>
    <w:p w14:paraId="0D0BC57B">
      <w:pPr>
        <w:spacing w:after="120" w:line="276" w:lineRule="auto"/>
        <w:jc w:val="both"/>
      </w:pPr>
      <w:r>
        <w:t>Les barres sont presque de la même hauteur : les écarts entre modèles sont faibles, et l’erreur augmente nettement entre 5 et 10 séances.</w:t>
      </w:r>
    </w:p>
    <w:p w14:paraId="70700665">
      <w:pPr>
        <w:spacing w:after="120" w:line="276" w:lineRule="auto"/>
        <w:jc w:val="both"/>
      </w:pPr>
      <w:r>
        <w:t>Tous les modèles font un peu mieux que le prix inchangé. Le LSTM est le meilleur pour GLD et le GRU pour SLV. La baisse de RMSE par rapport au prix inchangé va de 0,4 % à 3,0 %. Pour GLD à 10 séances, le VAR(0) obtient déjà 2,3 %, contre 3,0 % pour le LSTM. L’argent reste plus difficile à prévoir (MAPE de 4,9 % à 10 séances contre 2,6 % pour l’or).</w:t>
      </w:r>
    </w:p>
    <w:p w14:paraId="40B38930">
      <w:pPr>
        <w:pStyle w:val="3"/>
        <w:keepNext/>
      </w:pPr>
      <w:r>
        <w:t>6.3. Tests de Diebold–Mariano</w:t>
      </w:r>
    </w:p>
    <w:p w14:paraId="2C490107">
      <w:pPr>
        <w:spacing w:after="120" w:line="276" w:lineRule="auto"/>
        <w:jc w:val="both"/>
      </w:pPr>
      <w:r>
        <w:t>Le test de Diebold–Mariano vérifie si l’écart d’erreur entre deux modèles est significatif. La variance tient compte du chevauchement des horizons et les p-values sont corrigées par la méthode de Holm, car 24 comparaisons sont faites.</w:t>
      </w:r>
    </w:p>
    <w:p w14:paraId="1118EE78">
      <w:pPr>
        <w:keepNext/>
        <w:spacing w:before="160" w:after="80"/>
      </w:pPr>
      <w:r>
        <w:rPr>
          <w:b/>
          <w:bCs/>
          <w:color w:val="1F3864"/>
          <w:sz w:val="20"/>
          <w:szCs w:val="20"/>
        </w:rPr>
        <w:t xml:space="preserve">Tableau 16 : </w:t>
      </w:r>
      <w:r>
        <w:rPr>
          <w:color w:val="1F3864"/>
          <w:sz w:val="20"/>
          <w:szCs w:val="20"/>
        </w:rPr>
        <w:t>Statistique DM et p-value corrigée de Holm (en gras : significatif à 5 %)</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4"/>
        <w:gridCol w:w="1638"/>
        <w:gridCol w:w="1638"/>
        <w:gridCol w:w="1638"/>
        <w:gridCol w:w="1640"/>
      </w:tblGrid>
      <w:tr w14:paraId="7E03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8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EB9ED37">
            <w:pPr>
              <w:keepNext/>
              <w:spacing w:after="0" w:line="240" w:lineRule="auto"/>
              <w:jc w:val="left"/>
            </w:pPr>
            <w:r>
              <w:rPr>
                <w:b/>
                <w:bCs/>
                <w:color w:val="FFFFFF"/>
                <w:sz w:val="18"/>
                <w:szCs w:val="18"/>
              </w:rPr>
              <w:t>Comparaison</w:t>
            </w:r>
          </w:p>
        </w:tc>
        <w:tc>
          <w:tcPr>
            <w:tcW w:w="163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AD9FC6A">
            <w:pPr>
              <w:keepNext/>
              <w:spacing w:after="0" w:line="240" w:lineRule="auto"/>
              <w:jc w:val="center"/>
            </w:pPr>
            <w:r>
              <w:rPr>
                <w:b/>
                <w:bCs/>
                <w:color w:val="FFFFFF"/>
                <w:sz w:val="18"/>
                <w:szCs w:val="18"/>
              </w:rPr>
              <w:t>GLD h5</w:t>
            </w:r>
          </w:p>
        </w:tc>
        <w:tc>
          <w:tcPr>
            <w:tcW w:w="163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E1A5A7B">
            <w:pPr>
              <w:keepNext/>
              <w:spacing w:after="0" w:line="240" w:lineRule="auto"/>
              <w:jc w:val="center"/>
            </w:pPr>
            <w:r>
              <w:rPr>
                <w:b/>
                <w:bCs/>
                <w:color w:val="FFFFFF"/>
                <w:sz w:val="18"/>
                <w:szCs w:val="18"/>
              </w:rPr>
              <w:t>GLD h10</w:t>
            </w:r>
          </w:p>
        </w:tc>
        <w:tc>
          <w:tcPr>
            <w:tcW w:w="163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8BAC57E">
            <w:pPr>
              <w:keepNext/>
              <w:spacing w:after="0" w:line="240" w:lineRule="auto"/>
              <w:jc w:val="center"/>
            </w:pPr>
            <w:r>
              <w:rPr>
                <w:b/>
                <w:bCs/>
                <w:color w:val="FFFFFF"/>
                <w:sz w:val="18"/>
                <w:szCs w:val="18"/>
              </w:rPr>
              <w:t>SLV h5</w:t>
            </w:r>
          </w:p>
        </w:tc>
        <w:tc>
          <w:tcPr>
            <w:tcW w:w="164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C5628FD">
            <w:pPr>
              <w:keepNext/>
              <w:spacing w:after="0" w:line="240" w:lineRule="auto"/>
              <w:jc w:val="center"/>
            </w:pPr>
            <w:r>
              <w:rPr>
                <w:b/>
                <w:bCs/>
                <w:color w:val="FFFFFF"/>
                <w:sz w:val="18"/>
                <w:szCs w:val="18"/>
              </w:rPr>
              <w:t>SLV h10</w:t>
            </w:r>
          </w:p>
        </w:tc>
      </w:tr>
      <w:tr w14:paraId="4AD2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B5338A4">
            <w:pPr>
              <w:keepNext/>
              <w:spacing w:after="0" w:line="240" w:lineRule="auto"/>
              <w:jc w:val="left"/>
            </w:pPr>
            <w:r>
              <w:rPr>
                <w:sz w:val="18"/>
                <w:szCs w:val="18"/>
              </w:rPr>
              <w:t>LSTM contre Prix inchangé</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3CDCF7A">
            <w:pPr>
              <w:keepNext/>
              <w:spacing w:after="0" w:line="240" w:lineRule="auto"/>
              <w:jc w:val="center"/>
            </w:pPr>
            <w:r>
              <w:rPr>
                <w:sz w:val="18"/>
                <w:szCs w:val="18"/>
              </w:rPr>
              <w:t>−3,06 | 0,052</w:t>
            </w:r>
          </w:p>
        </w:tc>
        <w:tc>
          <w:tcPr>
            <w:tcW w:w="1638"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2AF037C5">
            <w:pPr>
              <w:keepNext/>
              <w:spacing w:after="0" w:line="240" w:lineRule="auto"/>
              <w:jc w:val="center"/>
            </w:pPr>
            <w:r>
              <w:rPr>
                <w:b/>
                <w:bCs/>
                <w:sz w:val="18"/>
                <w:szCs w:val="18"/>
              </w:rPr>
              <w:t>−3,67 | 0,007</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18CEF0E">
            <w:pPr>
              <w:keepNext/>
              <w:spacing w:after="0" w:line="240" w:lineRule="auto"/>
              <w:jc w:val="center"/>
            </w:pPr>
            <w:r>
              <w:rPr>
                <w:sz w:val="18"/>
                <w:szCs w:val="18"/>
              </w:rPr>
              <w:t>−1,97 | 0,798</w:t>
            </w:r>
          </w:p>
        </w:tc>
        <w:tc>
          <w:tcPr>
            <w:tcW w:w="164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FF6472A">
            <w:pPr>
              <w:keepNext/>
              <w:spacing w:after="0" w:line="240" w:lineRule="auto"/>
              <w:jc w:val="center"/>
            </w:pPr>
            <w:r>
              <w:rPr>
                <w:sz w:val="18"/>
                <w:szCs w:val="18"/>
              </w:rPr>
              <w:t>−1,92 | 0,839</w:t>
            </w:r>
          </w:p>
        </w:tc>
      </w:tr>
      <w:tr w14:paraId="2DDE9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BC99FA5">
            <w:pPr>
              <w:keepNext/>
              <w:spacing w:after="0" w:line="240" w:lineRule="auto"/>
              <w:jc w:val="left"/>
            </w:pPr>
            <w:r>
              <w:rPr>
                <w:sz w:val="18"/>
                <w:szCs w:val="18"/>
              </w:rPr>
              <w:t>GRU contre Prix inchangé</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8EABD51">
            <w:pPr>
              <w:keepNext/>
              <w:spacing w:after="0" w:line="240" w:lineRule="auto"/>
              <w:jc w:val="center"/>
            </w:pPr>
            <w:r>
              <w:rPr>
                <w:sz w:val="18"/>
                <w:szCs w:val="18"/>
              </w:rPr>
              <w:t>−1,84 | 0,941</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20BE684">
            <w:pPr>
              <w:keepNext/>
              <w:spacing w:after="0" w:line="240" w:lineRule="auto"/>
              <w:jc w:val="center"/>
            </w:pPr>
            <w:r>
              <w:rPr>
                <w:sz w:val="18"/>
                <w:szCs w:val="18"/>
              </w:rPr>
              <w:t>−2,84 | 0,094</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ABBD235">
            <w:pPr>
              <w:keepNext/>
              <w:spacing w:after="0" w:line="240" w:lineRule="auto"/>
              <w:jc w:val="center"/>
            </w:pPr>
            <w:r>
              <w:rPr>
                <w:sz w:val="18"/>
                <w:szCs w:val="18"/>
              </w:rPr>
              <w:t>−2,02 | 0,745</w:t>
            </w:r>
          </w:p>
        </w:tc>
        <w:tc>
          <w:tcPr>
            <w:tcW w:w="164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35E6BCA">
            <w:pPr>
              <w:keepNext/>
              <w:spacing w:after="0" w:line="240" w:lineRule="auto"/>
              <w:jc w:val="center"/>
            </w:pPr>
            <w:r>
              <w:rPr>
                <w:sz w:val="18"/>
                <w:szCs w:val="18"/>
              </w:rPr>
              <w:t>−1,82 | 0,941</w:t>
            </w:r>
          </w:p>
        </w:tc>
      </w:tr>
      <w:tr w14:paraId="71A0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0F9F090">
            <w:pPr>
              <w:keepNext/>
              <w:spacing w:after="0" w:line="240" w:lineRule="auto"/>
              <w:jc w:val="left"/>
            </w:pPr>
            <w:r>
              <w:rPr>
                <w:sz w:val="18"/>
                <w:szCs w:val="18"/>
              </w:rPr>
              <w:t>VAR(0) contre Prix inchangé</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6907764">
            <w:pPr>
              <w:keepNext/>
              <w:spacing w:after="0" w:line="240" w:lineRule="auto"/>
              <w:jc w:val="center"/>
            </w:pPr>
            <w:r>
              <w:rPr>
                <w:sz w:val="18"/>
                <w:szCs w:val="18"/>
              </w:rPr>
              <w:t>−3,01 | 0,059</w:t>
            </w:r>
          </w:p>
        </w:tc>
        <w:tc>
          <w:tcPr>
            <w:tcW w:w="1638"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40C6733D">
            <w:pPr>
              <w:keepNext/>
              <w:spacing w:after="0" w:line="240" w:lineRule="auto"/>
              <w:jc w:val="center"/>
            </w:pPr>
            <w:r>
              <w:rPr>
                <w:b/>
                <w:bCs/>
                <w:sz w:val="18"/>
                <w:szCs w:val="18"/>
              </w:rPr>
              <w:t>−3,38 | 0,019</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7C33C52">
            <w:pPr>
              <w:keepNext/>
              <w:spacing w:after="0" w:line="240" w:lineRule="auto"/>
              <w:jc w:val="center"/>
            </w:pPr>
            <w:r>
              <w:rPr>
                <w:sz w:val="18"/>
                <w:szCs w:val="18"/>
              </w:rPr>
              <w:t>−2,52 | 0,229</w:t>
            </w:r>
          </w:p>
        </w:tc>
        <w:tc>
          <w:tcPr>
            <w:tcW w:w="164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28F04E7">
            <w:pPr>
              <w:keepNext/>
              <w:spacing w:after="0" w:line="240" w:lineRule="auto"/>
              <w:jc w:val="center"/>
            </w:pPr>
            <w:r>
              <w:rPr>
                <w:sz w:val="18"/>
                <w:szCs w:val="18"/>
              </w:rPr>
              <w:t>−2,38 | 0,320</w:t>
            </w:r>
          </w:p>
        </w:tc>
      </w:tr>
      <w:tr w14:paraId="4A288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61ADBC5">
            <w:pPr>
              <w:keepNext/>
              <w:spacing w:after="0" w:line="240" w:lineRule="auto"/>
              <w:jc w:val="left"/>
            </w:pPr>
            <w:r>
              <w:rPr>
                <w:sz w:val="18"/>
                <w:szCs w:val="18"/>
              </w:rPr>
              <w:t>LSTM contre VAR(0)</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7BE7492">
            <w:pPr>
              <w:keepNext/>
              <w:spacing w:after="0" w:line="240" w:lineRule="auto"/>
              <w:jc w:val="center"/>
            </w:pPr>
            <w:r>
              <w:rPr>
                <w:sz w:val="18"/>
                <w:szCs w:val="18"/>
              </w:rPr>
              <w:t>−1,43 | 1,000</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4A7B37F">
            <w:pPr>
              <w:keepNext/>
              <w:spacing w:after="0" w:line="240" w:lineRule="auto"/>
              <w:jc w:val="center"/>
            </w:pPr>
            <w:r>
              <w:rPr>
                <w:sz w:val="18"/>
                <w:szCs w:val="18"/>
              </w:rPr>
              <w:t>−1,78 | 0,941</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15C453F">
            <w:pPr>
              <w:keepNext/>
              <w:spacing w:after="0" w:line="240" w:lineRule="auto"/>
              <w:jc w:val="center"/>
            </w:pPr>
            <w:r>
              <w:rPr>
                <w:sz w:val="18"/>
                <w:szCs w:val="18"/>
              </w:rPr>
              <w:t>−1,20 | 1,000</w:t>
            </w:r>
          </w:p>
        </w:tc>
        <w:tc>
          <w:tcPr>
            <w:tcW w:w="164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A1DA5BC">
            <w:pPr>
              <w:keepNext/>
              <w:spacing w:after="0" w:line="240" w:lineRule="auto"/>
              <w:jc w:val="center"/>
            </w:pPr>
            <w:r>
              <w:rPr>
                <w:sz w:val="18"/>
                <w:szCs w:val="18"/>
              </w:rPr>
              <w:t>−1,00 | 1,000</w:t>
            </w:r>
          </w:p>
        </w:tc>
      </w:tr>
      <w:tr w14:paraId="51D4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DE84EAF">
            <w:pPr>
              <w:keepNext/>
              <w:spacing w:after="0" w:line="240" w:lineRule="auto"/>
              <w:jc w:val="left"/>
            </w:pPr>
            <w:r>
              <w:rPr>
                <w:sz w:val="18"/>
                <w:szCs w:val="18"/>
              </w:rPr>
              <w:t>GRU contre VAR(0)</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25C3CAD">
            <w:pPr>
              <w:keepNext/>
              <w:spacing w:after="0" w:line="240" w:lineRule="auto"/>
              <w:jc w:val="center"/>
            </w:pPr>
            <w:r>
              <w:rPr>
                <w:sz w:val="18"/>
                <w:szCs w:val="18"/>
              </w:rPr>
              <w:t>−0,83 | 1,000</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E6B5B29">
            <w:pPr>
              <w:keepNext/>
              <w:spacing w:after="0" w:line="240" w:lineRule="auto"/>
              <w:jc w:val="center"/>
            </w:pPr>
            <w:r>
              <w:rPr>
                <w:sz w:val="18"/>
                <w:szCs w:val="18"/>
              </w:rPr>
              <w:t>−1,13 | 1,000</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140BB78">
            <w:pPr>
              <w:keepNext/>
              <w:spacing w:after="0" w:line="240" w:lineRule="auto"/>
              <w:jc w:val="center"/>
            </w:pPr>
            <w:r>
              <w:rPr>
                <w:sz w:val="18"/>
                <w:szCs w:val="18"/>
              </w:rPr>
              <w:t>−1,81 | 0,941</w:t>
            </w:r>
          </w:p>
        </w:tc>
        <w:tc>
          <w:tcPr>
            <w:tcW w:w="164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ED4C6A5">
            <w:pPr>
              <w:keepNext/>
              <w:spacing w:after="0" w:line="240" w:lineRule="auto"/>
              <w:jc w:val="center"/>
            </w:pPr>
            <w:r>
              <w:rPr>
                <w:sz w:val="18"/>
                <w:szCs w:val="18"/>
              </w:rPr>
              <w:t>−1,59 | 1,000</w:t>
            </w:r>
          </w:p>
        </w:tc>
      </w:tr>
      <w:tr w14:paraId="3FB6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057E881">
            <w:pPr>
              <w:keepNext w:val="0"/>
              <w:spacing w:after="0" w:line="240" w:lineRule="auto"/>
              <w:jc w:val="left"/>
            </w:pPr>
            <w:r>
              <w:rPr>
                <w:sz w:val="18"/>
                <w:szCs w:val="18"/>
              </w:rPr>
              <w:t>LSTM contre GRU</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5CC7618">
            <w:pPr>
              <w:keepNext w:val="0"/>
              <w:spacing w:after="0" w:line="240" w:lineRule="auto"/>
              <w:jc w:val="center"/>
            </w:pPr>
            <w:r>
              <w:rPr>
                <w:sz w:val="18"/>
                <w:szCs w:val="18"/>
              </w:rPr>
              <w:t>−0,08 | 1,000</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92AF043">
            <w:pPr>
              <w:keepNext w:val="0"/>
              <w:spacing w:after="0" w:line="240" w:lineRule="auto"/>
              <w:jc w:val="center"/>
            </w:pPr>
            <w:r>
              <w:rPr>
                <w:sz w:val="18"/>
                <w:szCs w:val="18"/>
              </w:rPr>
              <w:t>−0,81 | 1,000</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F5C8501">
            <w:pPr>
              <w:keepNext w:val="0"/>
              <w:spacing w:after="0" w:line="240" w:lineRule="auto"/>
              <w:jc w:val="center"/>
            </w:pPr>
            <w:r>
              <w:rPr>
                <w:sz w:val="18"/>
                <w:szCs w:val="18"/>
              </w:rPr>
              <w:t>0,82 | 1,000</w:t>
            </w:r>
          </w:p>
        </w:tc>
        <w:tc>
          <w:tcPr>
            <w:tcW w:w="164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E04987B">
            <w:pPr>
              <w:keepNext w:val="0"/>
              <w:spacing w:after="0" w:line="240" w:lineRule="auto"/>
              <w:jc w:val="center"/>
            </w:pPr>
            <w:r>
              <w:rPr>
                <w:sz w:val="18"/>
                <w:szCs w:val="18"/>
              </w:rPr>
              <w:t>1,16 | 1,000</w:t>
            </w:r>
          </w:p>
        </w:tc>
      </w:tr>
    </w:tbl>
    <w:p w14:paraId="53066A26">
      <w:pPr>
        <w:spacing w:before="0" w:after="80"/>
      </w:pPr>
    </w:p>
    <w:p w14:paraId="0216FE7B">
      <w:pPr>
        <w:spacing w:after="120" w:line="276" w:lineRule="auto"/>
        <w:jc w:val="both"/>
      </w:pPr>
      <w:r>
        <w:t>Seules deux comparaisons sur 24 sont significatives : pour GLD à 10 séances, le LSTM (p = 0,0067) et le VAR(0) (p = 0,0185) battent le prix inchangé. Le LSTM n’est pas significativement meilleur que le VAR(0) ni que le GRU. Pour SLV, aucun gain n’est significatif.</w:t>
      </w:r>
    </w:p>
    <w:p w14:paraId="41539A97">
      <w:pPr>
        <w:pStyle w:val="3"/>
        <w:keepNext/>
      </w:pPr>
      <w:r>
        <w:t>6.4. Intervalles GARCH</w:t>
      </w:r>
    </w:p>
    <w:p w14:paraId="54D288DC">
      <w:pPr>
        <w:spacing w:after="120" w:line="276" w:lineRule="auto"/>
        <w:jc w:val="both"/>
      </w:pPr>
      <w:r>
        <w:t>Pour chaque origine, 10 000 trajectoires sont simulées avec le GARCH(1,1) Student. Les quantiles 2,5 % et 97,5 % donnent un intervalle à 95 %. La médiane théorique est égale au dernier prix. Comme les rendements sont transformés en prix par l’exponentielle, l’intervalle est asymétrique en prix : le milieu des bornes n’est donc pas égal à cette médiane.</w:t>
      </w:r>
    </w:p>
    <w:p w14:paraId="6BC1EB57">
      <w:pPr>
        <w:keepNext/>
        <w:spacing w:before="60" w:after="0"/>
        <w:jc w:val="center"/>
      </w:pPr>
      <w:r>
        <w:rPr>
          <w:b/>
          <w:bCs/>
          <w:color w:val="1F3864"/>
          <w:sz w:val="18"/>
          <w:szCs w:val="18"/>
        </w:rPr>
        <w:t>Intervalles à 95 %</w:t>
      </w:r>
    </w:p>
    <w:p w14:paraId="4B15E67A">
      <w:pPr>
        <w:keepNext/>
        <w:spacing w:before="80" w:after="40"/>
        <w:jc w:val="center"/>
      </w:pPr>
      <w:r>
        <w:drawing>
          <wp:inline distT="0" distB="0" distL="0" distR="0">
            <wp:extent cx="4476750" cy="28194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noChangeArrowheads="1"/>
                    </pic:cNvPicPr>
                  </pic:nvPicPr>
                  <pic:blipFill>
                    <a:blip r:embed="rId22"/>
                    <a:srcRect/>
                    <a:stretch>
                      <a:fillRect/>
                    </a:stretch>
                  </pic:blipFill>
                  <pic:spPr>
                    <a:xfrm>
                      <a:off x="0" y="0"/>
                      <a:ext cx="4476750" cy="2819400"/>
                    </a:xfrm>
                    <a:prstGeom prst="rect">
                      <a:avLst/>
                    </a:prstGeom>
                  </pic:spPr>
                </pic:pic>
              </a:graphicData>
            </a:graphic>
          </wp:inline>
        </w:drawing>
      </w:r>
    </w:p>
    <w:p w14:paraId="0A150838">
      <w:pPr>
        <w:keepNext/>
        <w:spacing w:before="60" w:after="0"/>
        <w:jc w:val="center"/>
      </w:pPr>
      <w:r>
        <w:rPr>
          <w:b/>
          <w:bCs/>
          <w:color w:val="1F3864"/>
          <w:sz w:val="18"/>
          <w:szCs w:val="18"/>
        </w:rPr>
        <w:t>Couverture observée</w:t>
      </w:r>
    </w:p>
    <w:p w14:paraId="79017504">
      <w:pPr>
        <w:keepNext/>
        <w:spacing w:before="80" w:after="40"/>
        <w:jc w:val="center"/>
      </w:pPr>
      <w:r>
        <w:drawing>
          <wp:inline distT="0" distB="0" distL="0" distR="0">
            <wp:extent cx="4476750" cy="21907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noChangeArrowheads="1"/>
                    </pic:cNvPicPr>
                  </pic:nvPicPr>
                  <pic:blipFill>
                    <a:blip r:embed="rId23"/>
                    <a:srcRect/>
                    <a:stretch>
                      <a:fillRect/>
                    </a:stretch>
                  </pic:blipFill>
                  <pic:spPr>
                    <a:xfrm>
                      <a:off x="0" y="0"/>
                      <a:ext cx="4476750" cy="2190750"/>
                    </a:xfrm>
                    <a:prstGeom prst="rect">
                      <a:avLst/>
                    </a:prstGeom>
                  </pic:spPr>
                </pic:pic>
              </a:graphicData>
            </a:graphic>
          </wp:inline>
        </w:drawing>
      </w:r>
    </w:p>
    <w:p w14:paraId="703B1FC1">
      <w:pPr>
        <w:spacing w:before="40" w:after="160"/>
        <w:jc w:val="center"/>
      </w:pPr>
      <w:r>
        <w:rPr>
          <w:b/>
          <w:bCs/>
          <w:color w:val="1F3864"/>
          <w:sz w:val="19"/>
          <w:szCs w:val="19"/>
        </w:rPr>
        <w:t xml:space="preserve">Figure 11 : </w:t>
      </w:r>
      <w:r>
        <w:rPr>
          <w:color w:val="1F3864"/>
          <w:sz w:val="19"/>
          <w:szCs w:val="19"/>
        </w:rPr>
        <w:t>Intervalles GARCH depuis le 22/05/2024 (gauche) et couverture sur le test (droite)</w:t>
      </w:r>
    </w:p>
    <w:p w14:paraId="561D042A">
      <w:pPr>
        <w:spacing w:after="120" w:line="276" w:lineRule="auto"/>
        <w:jc w:val="both"/>
      </w:pPr>
      <w:r>
        <w:t>L’intervalle s’élargit avec l’horizon et contient bien les prix observés au départ, mais la couverture sur tout le test reste un peu sous 95 %.</w:t>
      </w:r>
    </w:p>
    <w:p w14:paraId="41F311FC">
      <w:pPr>
        <w:keepNext/>
        <w:spacing w:before="160" w:after="80"/>
      </w:pPr>
      <w:r>
        <w:rPr>
          <w:b/>
          <w:bCs/>
          <w:color w:val="1F3864"/>
          <w:sz w:val="20"/>
          <w:szCs w:val="20"/>
        </w:rPr>
        <w:t xml:space="preserve">Tableau 17 : </w:t>
      </w:r>
      <w:r>
        <w:rPr>
          <w:color w:val="1F3864"/>
          <w:sz w:val="20"/>
          <w:szCs w:val="20"/>
        </w:rPr>
        <w:t>Couverture des intervalles GARCH à 95 %</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9"/>
        <w:gridCol w:w="1735"/>
        <w:gridCol w:w="2120"/>
        <w:gridCol w:w="2217"/>
        <w:gridCol w:w="2217"/>
      </w:tblGrid>
      <w:tr w14:paraId="57A9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4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652CB12">
            <w:pPr>
              <w:keepNext/>
              <w:spacing w:after="0" w:line="240" w:lineRule="auto"/>
              <w:jc w:val="left"/>
            </w:pPr>
            <w:r>
              <w:rPr>
                <w:b/>
                <w:bCs/>
                <w:color w:val="FFFFFF"/>
                <w:sz w:val="18"/>
                <w:szCs w:val="18"/>
              </w:rPr>
              <w:t>Actif</w:t>
            </w:r>
          </w:p>
        </w:tc>
        <w:tc>
          <w:tcPr>
            <w:tcW w:w="1735"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9659627">
            <w:pPr>
              <w:keepNext/>
              <w:spacing w:after="0" w:line="240" w:lineRule="auto"/>
              <w:jc w:val="center"/>
            </w:pPr>
            <w:r>
              <w:rPr>
                <w:b/>
                <w:bCs/>
                <w:color w:val="FFFFFF"/>
                <w:sz w:val="18"/>
                <w:szCs w:val="18"/>
              </w:rPr>
              <w:t>Horizon</w:t>
            </w:r>
          </w:p>
        </w:tc>
        <w:tc>
          <w:tcPr>
            <w:tcW w:w="21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A5608EC">
            <w:pPr>
              <w:keepNext/>
              <w:spacing w:after="0" w:line="240" w:lineRule="auto"/>
              <w:jc w:val="center"/>
            </w:pPr>
            <w:r>
              <w:rPr>
                <w:b/>
                <w:bCs/>
                <w:color w:val="FFFFFF"/>
                <w:sz w:val="18"/>
                <w:szCs w:val="18"/>
              </w:rPr>
              <w:t>Couverture</w:t>
            </w:r>
          </w:p>
        </w:tc>
        <w:tc>
          <w:tcPr>
            <w:tcW w:w="221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7118C80">
            <w:pPr>
              <w:keepNext/>
              <w:spacing w:after="0" w:line="240" w:lineRule="auto"/>
              <w:jc w:val="center"/>
            </w:pPr>
            <w:r>
              <w:rPr>
                <w:b/>
                <w:bCs/>
                <w:color w:val="FFFFFF"/>
                <w:sz w:val="18"/>
                <w:szCs w:val="18"/>
              </w:rPr>
              <w:t>Largeur moyenne (USD)</w:t>
            </w:r>
          </w:p>
        </w:tc>
        <w:tc>
          <w:tcPr>
            <w:tcW w:w="221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B6F1203">
            <w:pPr>
              <w:keepNext/>
              <w:spacing w:after="0" w:line="240" w:lineRule="auto"/>
              <w:jc w:val="center"/>
            </w:pPr>
            <w:r>
              <w:rPr>
                <w:b/>
                <w:bCs/>
                <w:color w:val="FFFFFF"/>
                <w:sz w:val="18"/>
                <w:szCs w:val="18"/>
              </w:rPr>
              <w:t>Score moyen</w:t>
            </w:r>
          </w:p>
        </w:tc>
      </w:tr>
      <w:tr w14:paraId="77E2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3030238">
            <w:pPr>
              <w:keepNext/>
              <w:spacing w:after="0" w:line="240" w:lineRule="auto"/>
              <w:jc w:val="left"/>
            </w:pPr>
            <w:r>
              <w:rPr>
                <w:sz w:val="18"/>
                <w:szCs w:val="18"/>
              </w:rPr>
              <w:t>GLD</w:t>
            </w:r>
          </w:p>
        </w:tc>
        <w:tc>
          <w:tcPr>
            <w:tcW w:w="173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573E172">
            <w:pPr>
              <w:keepNext/>
              <w:spacing w:after="0" w:line="240" w:lineRule="auto"/>
              <w:jc w:val="center"/>
            </w:pPr>
            <w:r>
              <w:rPr>
                <w:sz w:val="18"/>
                <w:szCs w:val="18"/>
              </w:rPr>
              <w:t>5 séances</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B21D31E">
            <w:pPr>
              <w:keepNext/>
              <w:spacing w:after="0" w:line="240" w:lineRule="auto"/>
              <w:jc w:val="center"/>
            </w:pPr>
            <w:r>
              <w:rPr>
                <w:sz w:val="18"/>
                <w:szCs w:val="18"/>
              </w:rPr>
              <w:t>93,91 %</w:t>
            </w:r>
          </w:p>
        </w:tc>
        <w:tc>
          <w:tcPr>
            <w:tcW w:w="221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45AC67C">
            <w:pPr>
              <w:keepNext/>
              <w:spacing w:after="0" w:line="240" w:lineRule="auto"/>
              <w:jc w:val="center"/>
            </w:pPr>
            <w:r>
              <w:rPr>
                <w:sz w:val="18"/>
                <w:szCs w:val="18"/>
              </w:rPr>
              <w:t>28,13</w:t>
            </w:r>
          </w:p>
        </w:tc>
        <w:tc>
          <w:tcPr>
            <w:tcW w:w="221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0F8F0E3">
            <w:pPr>
              <w:keepNext/>
              <w:spacing w:after="0" w:line="240" w:lineRule="auto"/>
              <w:jc w:val="center"/>
            </w:pPr>
            <w:r>
              <w:rPr>
                <w:sz w:val="18"/>
                <w:szCs w:val="18"/>
              </w:rPr>
              <w:t>38,31</w:t>
            </w:r>
          </w:p>
        </w:tc>
      </w:tr>
      <w:tr w14:paraId="3B3B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A0A7A0D">
            <w:pPr>
              <w:keepNext/>
              <w:spacing w:after="0" w:line="240" w:lineRule="auto"/>
              <w:jc w:val="left"/>
            </w:pPr>
            <w:r>
              <w:rPr>
                <w:sz w:val="18"/>
                <w:szCs w:val="18"/>
              </w:rPr>
              <w:t>GLD</w:t>
            </w:r>
          </w:p>
        </w:tc>
        <w:tc>
          <w:tcPr>
            <w:tcW w:w="173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2D9176A">
            <w:pPr>
              <w:keepNext/>
              <w:spacing w:after="0" w:line="240" w:lineRule="auto"/>
              <w:jc w:val="center"/>
            </w:pPr>
            <w:r>
              <w:rPr>
                <w:sz w:val="18"/>
                <w:szCs w:val="18"/>
              </w:rPr>
              <w:t>10 séances</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0F09F26">
            <w:pPr>
              <w:keepNext/>
              <w:spacing w:after="0" w:line="240" w:lineRule="auto"/>
              <w:jc w:val="center"/>
            </w:pPr>
            <w:r>
              <w:rPr>
                <w:sz w:val="18"/>
                <w:szCs w:val="18"/>
              </w:rPr>
              <w:t>92,13 %</w:t>
            </w:r>
          </w:p>
        </w:tc>
        <w:tc>
          <w:tcPr>
            <w:tcW w:w="221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0B39314">
            <w:pPr>
              <w:keepNext/>
              <w:spacing w:after="0" w:line="240" w:lineRule="auto"/>
              <w:jc w:val="center"/>
            </w:pPr>
            <w:r>
              <w:rPr>
                <w:sz w:val="18"/>
                <w:szCs w:val="18"/>
              </w:rPr>
              <w:t>39,71</w:t>
            </w:r>
          </w:p>
        </w:tc>
        <w:tc>
          <w:tcPr>
            <w:tcW w:w="221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4E27F95">
            <w:pPr>
              <w:keepNext/>
              <w:spacing w:after="0" w:line="240" w:lineRule="auto"/>
              <w:jc w:val="center"/>
            </w:pPr>
            <w:r>
              <w:rPr>
                <w:sz w:val="18"/>
                <w:szCs w:val="18"/>
              </w:rPr>
              <w:t>58,54</w:t>
            </w:r>
          </w:p>
        </w:tc>
      </w:tr>
      <w:tr w14:paraId="7721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EF24B3B">
            <w:pPr>
              <w:keepNext/>
              <w:spacing w:after="0" w:line="240" w:lineRule="auto"/>
              <w:jc w:val="left"/>
            </w:pPr>
            <w:r>
              <w:rPr>
                <w:sz w:val="18"/>
                <w:szCs w:val="18"/>
              </w:rPr>
              <w:t>SLV</w:t>
            </w:r>
          </w:p>
        </w:tc>
        <w:tc>
          <w:tcPr>
            <w:tcW w:w="1735"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EDDBA69">
            <w:pPr>
              <w:keepNext/>
              <w:spacing w:after="0" w:line="240" w:lineRule="auto"/>
              <w:jc w:val="center"/>
            </w:pPr>
            <w:r>
              <w:rPr>
                <w:sz w:val="18"/>
                <w:szCs w:val="18"/>
              </w:rPr>
              <w:t>5 séances</w:t>
            </w:r>
          </w:p>
        </w:tc>
        <w:tc>
          <w:tcPr>
            <w:tcW w:w="21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131B30B">
            <w:pPr>
              <w:keepNext/>
              <w:spacing w:after="0" w:line="240" w:lineRule="auto"/>
              <w:jc w:val="center"/>
            </w:pPr>
            <w:r>
              <w:rPr>
                <w:sz w:val="18"/>
                <w:szCs w:val="18"/>
              </w:rPr>
              <w:t>93,65 %</w:t>
            </w:r>
          </w:p>
        </w:tc>
        <w:tc>
          <w:tcPr>
            <w:tcW w:w="221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52F9019">
            <w:pPr>
              <w:keepNext/>
              <w:spacing w:after="0" w:line="240" w:lineRule="auto"/>
              <w:jc w:val="center"/>
            </w:pPr>
            <w:r>
              <w:rPr>
                <w:sz w:val="18"/>
                <w:szCs w:val="18"/>
              </w:rPr>
              <w:t>5,49</w:t>
            </w:r>
          </w:p>
        </w:tc>
        <w:tc>
          <w:tcPr>
            <w:tcW w:w="221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35C1FD4">
            <w:pPr>
              <w:keepNext/>
              <w:spacing w:after="0" w:line="240" w:lineRule="auto"/>
              <w:jc w:val="center"/>
            </w:pPr>
            <w:r>
              <w:rPr>
                <w:sz w:val="18"/>
                <w:szCs w:val="18"/>
              </w:rPr>
              <w:t>7,61</w:t>
            </w:r>
          </w:p>
        </w:tc>
      </w:tr>
      <w:tr w14:paraId="49F9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77C809A">
            <w:pPr>
              <w:keepNext w:val="0"/>
              <w:spacing w:after="0" w:line="240" w:lineRule="auto"/>
              <w:jc w:val="left"/>
            </w:pPr>
            <w:r>
              <w:rPr>
                <w:sz w:val="18"/>
                <w:szCs w:val="18"/>
              </w:rPr>
              <w:t>SLV</w:t>
            </w:r>
          </w:p>
        </w:tc>
        <w:tc>
          <w:tcPr>
            <w:tcW w:w="1735"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C88CE37">
            <w:pPr>
              <w:keepNext w:val="0"/>
              <w:spacing w:after="0" w:line="240" w:lineRule="auto"/>
              <w:jc w:val="center"/>
            </w:pPr>
            <w:r>
              <w:rPr>
                <w:sz w:val="18"/>
                <w:szCs w:val="18"/>
              </w:rPr>
              <w:t>10 séances</w:t>
            </w:r>
          </w:p>
        </w:tc>
        <w:tc>
          <w:tcPr>
            <w:tcW w:w="21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18FB056">
            <w:pPr>
              <w:keepNext w:val="0"/>
              <w:spacing w:after="0" w:line="240" w:lineRule="auto"/>
              <w:jc w:val="center"/>
            </w:pPr>
            <w:r>
              <w:rPr>
                <w:sz w:val="18"/>
                <w:szCs w:val="18"/>
              </w:rPr>
              <w:t>93,40 %</w:t>
            </w:r>
          </w:p>
        </w:tc>
        <w:tc>
          <w:tcPr>
            <w:tcW w:w="221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CB6DDFF">
            <w:pPr>
              <w:keepNext w:val="0"/>
              <w:spacing w:after="0" w:line="240" w:lineRule="auto"/>
              <w:jc w:val="center"/>
            </w:pPr>
            <w:r>
              <w:rPr>
                <w:sz w:val="18"/>
                <w:szCs w:val="18"/>
              </w:rPr>
              <w:t>7,78</w:t>
            </w:r>
          </w:p>
        </w:tc>
        <w:tc>
          <w:tcPr>
            <w:tcW w:w="221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58A469A">
            <w:pPr>
              <w:keepNext w:val="0"/>
              <w:spacing w:after="0" w:line="240" w:lineRule="auto"/>
              <w:jc w:val="center"/>
            </w:pPr>
            <w:r>
              <w:rPr>
                <w:sz w:val="18"/>
                <w:szCs w:val="18"/>
              </w:rPr>
              <w:t>10,20</w:t>
            </w:r>
          </w:p>
        </w:tc>
      </w:tr>
    </w:tbl>
    <w:p w14:paraId="629D7FAC">
      <w:pPr>
        <w:spacing w:before="0" w:after="80"/>
      </w:pPr>
    </w:p>
    <w:p w14:paraId="4125892C">
      <w:pPr>
        <w:spacing w:after="120" w:line="276" w:lineRule="auto"/>
        <w:jc w:val="both"/>
      </w:pPr>
      <w:r>
        <w:t>La couverture observée va de 92,13 % à 93,91 %, un peu sous les 95 % visés, surtout pour GLD à 10 séances. C’est une observation descriptive : aucun test formel de calibration n’a été réalisé. Les paramètres sont fixés et des effets ARCH restent pour SLV, donc ces intervalles sont approximatifs.</w:t>
      </w:r>
    </w:p>
    <w:p w14:paraId="7C204D47">
      <w:pPr>
        <w:pStyle w:val="3"/>
        <w:keepNext/>
      </w:pPr>
      <w:r>
        <w:t>6.5. Choix du modèle</w:t>
      </w:r>
    </w:p>
    <w:p w14:paraId="054FF8F7">
      <w:pPr>
        <w:spacing w:after="120" w:line="276" w:lineRule="auto"/>
        <w:jc w:val="both"/>
      </w:pPr>
      <w:r>
        <w:t>Le LSTM a les meilleurs scores pour GLD et le GRU pour SLV, mais aucun réseau ne bat significativement le VAR(0). Le VAR(0) obtient l’un des deux seuls gains significatifs, se calcule instantanément et s’explique facilement. Nous retenons donc le VAR(0) pour prévoir les prix et le GARCH(1,1) Student pour mesurer le risque.</w:t>
      </w:r>
    </w:p>
    <w:p w14:paraId="13566CAD">
      <w:pPr>
        <w:sectPr>
          <w:footerReference r:id="rId3" w:type="default"/>
          <w:pgSz w:w="11906" w:h="16838"/>
          <w:pgMar w:top="1134" w:right="1134" w:bottom="1134" w:left="1134" w:header="567" w:footer="567" w:gutter="0"/>
          <w:cols w:space="720" w:num="1"/>
          <w:docGrid w:linePitch="360" w:charSpace="0"/>
        </w:sectPr>
      </w:pPr>
    </w:p>
    <w:p w14:paraId="2BFA3151">
      <w:pPr>
        <w:pStyle w:val="2"/>
        <w:keepNext/>
        <w:spacing w:before="360" w:after="200"/>
      </w:pPr>
      <w:r>
        <w:t>7. Tableau de comparaison des modèles</w:t>
      </w:r>
    </w:p>
    <w:p w14:paraId="335AD1DA">
      <w:pPr>
        <w:keepNext/>
        <w:spacing w:before="160" w:after="80"/>
      </w:pPr>
      <w:r>
        <w:rPr>
          <w:b/>
          <w:bCs/>
          <w:color w:val="1F3864"/>
          <w:sz w:val="20"/>
          <w:szCs w:val="20"/>
        </w:rPr>
        <w:t xml:space="preserve">Tableau 18 : </w:t>
      </w:r>
      <w:r>
        <w:rPr>
          <w:color w:val="1F3864"/>
          <w:sz w:val="20"/>
          <w:szCs w:val="20"/>
        </w:rPr>
        <w:t>Comparaison détaillée : métriques, complexité et interprétabilité (ligne surlignée : modèle retenu)</w:t>
      </w:r>
    </w:p>
    <w:tbl>
      <w:tblPr>
        <w:tblStyle w:val="17"/>
        <w:tblW w:w="14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1"/>
        <w:gridCol w:w="1166"/>
        <w:gridCol w:w="1166"/>
        <w:gridCol w:w="1166"/>
        <w:gridCol w:w="1020"/>
        <w:gridCol w:w="1020"/>
        <w:gridCol w:w="1020"/>
        <w:gridCol w:w="1603"/>
        <w:gridCol w:w="1020"/>
        <w:gridCol w:w="1311"/>
        <w:gridCol w:w="1457"/>
        <w:gridCol w:w="1310"/>
      </w:tblGrid>
      <w:tr w14:paraId="79DF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1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737CA54">
            <w:pPr>
              <w:keepNext/>
              <w:spacing w:after="0" w:line="240" w:lineRule="auto"/>
              <w:jc w:val="left"/>
            </w:pPr>
            <w:r>
              <w:rPr>
                <w:b/>
                <w:bCs/>
                <w:color w:val="FFFFFF"/>
                <w:sz w:val="15"/>
                <w:szCs w:val="15"/>
              </w:rPr>
              <w:t>Modèle</w:t>
            </w:r>
          </w:p>
        </w:tc>
        <w:tc>
          <w:tcPr>
            <w:tcW w:w="116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DD21292">
            <w:pPr>
              <w:keepNext/>
              <w:spacing w:after="0" w:line="240" w:lineRule="auto"/>
              <w:jc w:val="left"/>
            </w:pPr>
            <w:r>
              <w:rPr>
                <w:b/>
                <w:bCs/>
                <w:color w:val="FFFFFF"/>
                <w:sz w:val="15"/>
                <w:szCs w:val="15"/>
              </w:rPr>
              <w:t>Rôle</w:t>
            </w:r>
          </w:p>
        </w:tc>
        <w:tc>
          <w:tcPr>
            <w:tcW w:w="116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57F1EE8">
            <w:pPr>
              <w:keepNext/>
              <w:spacing w:after="0" w:line="240" w:lineRule="auto"/>
              <w:jc w:val="center"/>
            </w:pPr>
            <w:r>
              <w:rPr>
                <w:b/>
                <w:bCs/>
                <w:color w:val="FFFFFF"/>
                <w:sz w:val="15"/>
                <w:szCs w:val="15"/>
              </w:rPr>
              <w:t>RMSE GLD</w:t>
            </w:r>
          </w:p>
          <w:p w14:paraId="2D7FC67B">
            <w:pPr>
              <w:keepNext/>
              <w:spacing w:after="0" w:line="240" w:lineRule="auto"/>
              <w:jc w:val="center"/>
            </w:pPr>
            <w:r>
              <w:rPr>
                <w:b/>
                <w:bCs/>
                <w:color w:val="FFFFFF"/>
                <w:sz w:val="15"/>
                <w:szCs w:val="15"/>
              </w:rPr>
              <w:t>h5 / h10</w:t>
            </w:r>
          </w:p>
        </w:tc>
        <w:tc>
          <w:tcPr>
            <w:tcW w:w="1166"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0D663A4F">
            <w:pPr>
              <w:keepNext/>
              <w:spacing w:after="0" w:line="240" w:lineRule="auto"/>
              <w:jc w:val="center"/>
            </w:pPr>
            <w:r>
              <w:rPr>
                <w:b/>
                <w:bCs/>
                <w:color w:val="FFFFFF"/>
                <w:sz w:val="15"/>
                <w:szCs w:val="15"/>
              </w:rPr>
              <w:t>RMSE SLV</w:t>
            </w:r>
          </w:p>
          <w:p w14:paraId="23F6A787">
            <w:pPr>
              <w:keepNext/>
              <w:spacing w:after="0" w:line="240" w:lineRule="auto"/>
              <w:jc w:val="center"/>
            </w:pPr>
            <w:r>
              <w:rPr>
                <w:b/>
                <w:bCs/>
                <w:color w:val="FFFFFF"/>
                <w:sz w:val="15"/>
                <w:szCs w:val="15"/>
              </w:rPr>
              <w:t>h5 / h10</w:t>
            </w:r>
          </w:p>
        </w:tc>
        <w:tc>
          <w:tcPr>
            <w:tcW w:w="10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1AE4C0E">
            <w:pPr>
              <w:keepNext/>
              <w:spacing w:after="0" w:line="240" w:lineRule="auto"/>
              <w:jc w:val="center"/>
            </w:pPr>
            <w:r>
              <w:rPr>
                <w:b/>
                <w:bCs/>
                <w:color w:val="FFFFFF"/>
                <w:sz w:val="15"/>
                <w:szCs w:val="15"/>
              </w:rPr>
              <w:t>MAPE h10</w:t>
            </w:r>
          </w:p>
          <w:p w14:paraId="362B2199">
            <w:pPr>
              <w:keepNext/>
              <w:spacing w:after="0" w:line="240" w:lineRule="auto"/>
              <w:jc w:val="center"/>
            </w:pPr>
            <w:r>
              <w:rPr>
                <w:b/>
                <w:bCs/>
                <w:color w:val="FFFFFF"/>
                <w:sz w:val="15"/>
                <w:szCs w:val="15"/>
              </w:rPr>
              <w:t>GLD / SLV (%)</w:t>
            </w:r>
          </w:p>
        </w:tc>
        <w:tc>
          <w:tcPr>
            <w:tcW w:w="10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7A7A3BE">
            <w:pPr>
              <w:keepNext/>
              <w:spacing w:after="0" w:line="240" w:lineRule="auto"/>
              <w:jc w:val="center"/>
            </w:pPr>
            <w:r>
              <w:rPr>
                <w:b/>
                <w:bCs/>
                <w:color w:val="FFFFFF"/>
                <w:sz w:val="15"/>
                <w:szCs w:val="15"/>
              </w:rPr>
              <w:t>Gain RMSE GLD</w:t>
            </w:r>
          </w:p>
          <w:p w14:paraId="215ED77F">
            <w:pPr>
              <w:keepNext/>
              <w:spacing w:after="0" w:line="240" w:lineRule="auto"/>
              <w:jc w:val="center"/>
            </w:pPr>
            <w:r>
              <w:rPr>
                <w:b/>
                <w:bCs/>
                <w:color w:val="FFFFFF"/>
                <w:sz w:val="15"/>
                <w:szCs w:val="15"/>
              </w:rPr>
              <w:t>h5 / h10 (%)</w:t>
            </w:r>
          </w:p>
        </w:tc>
        <w:tc>
          <w:tcPr>
            <w:tcW w:w="10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F6C3391">
            <w:pPr>
              <w:keepNext/>
              <w:spacing w:after="0" w:line="240" w:lineRule="auto"/>
              <w:jc w:val="center"/>
            </w:pPr>
            <w:r>
              <w:rPr>
                <w:b/>
                <w:bCs/>
                <w:color w:val="FFFFFF"/>
                <w:sz w:val="15"/>
                <w:szCs w:val="15"/>
              </w:rPr>
              <w:t>Gain RMSE SLV</w:t>
            </w:r>
          </w:p>
          <w:p w14:paraId="7CD19439">
            <w:pPr>
              <w:keepNext/>
              <w:spacing w:after="0" w:line="240" w:lineRule="auto"/>
              <w:jc w:val="center"/>
            </w:pPr>
            <w:r>
              <w:rPr>
                <w:b/>
                <w:bCs/>
                <w:color w:val="FFFFFF"/>
                <w:sz w:val="15"/>
                <w:szCs w:val="15"/>
              </w:rPr>
              <w:t>h5 / h10 (%)</w:t>
            </w:r>
          </w:p>
        </w:tc>
        <w:tc>
          <w:tcPr>
            <w:tcW w:w="1603"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86D44F8">
            <w:pPr>
              <w:keepNext/>
              <w:spacing w:after="0" w:line="240" w:lineRule="auto"/>
              <w:jc w:val="left"/>
            </w:pPr>
            <w:r>
              <w:rPr>
                <w:b/>
                <w:bCs/>
                <w:color w:val="FFFFFF"/>
                <w:sz w:val="15"/>
                <w:szCs w:val="15"/>
              </w:rPr>
              <w:t>Test DM (Holm 5 %)</w:t>
            </w:r>
          </w:p>
        </w:tc>
        <w:tc>
          <w:tcPr>
            <w:tcW w:w="102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DF34ACE">
            <w:pPr>
              <w:keepNext/>
              <w:spacing w:after="0" w:line="240" w:lineRule="auto"/>
              <w:jc w:val="left"/>
            </w:pPr>
            <w:r>
              <w:rPr>
                <w:b/>
                <w:bCs/>
                <w:color w:val="FFFFFF"/>
                <w:sz w:val="15"/>
                <w:szCs w:val="15"/>
              </w:rPr>
              <w:t>Paramètres</w:t>
            </w:r>
          </w:p>
        </w:tc>
        <w:tc>
          <w:tcPr>
            <w:tcW w:w="131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44A26D2">
            <w:pPr>
              <w:keepNext/>
              <w:spacing w:after="0" w:line="240" w:lineRule="auto"/>
              <w:jc w:val="left"/>
            </w:pPr>
            <w:r>
              <w:rPr>
                <w:b/>
                <w:bCs/>
                <w:color w:val="FFFFFF"/>
                <w:sz w:val="15"/>
                <w:szCs w:val="15"/>
              </w:rPr>
              <w:t>Coût de calcul</w:t>
            </w:r>
          </w:p>
        </w:tc>
        <w:tc>
          <w:tcPr>
            <w:tcW w:w="1457"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57EE7BD">
            <w:pPr>
              <w:keepNext/>
              <w:spacing w:after="0" w:line="240" w:lineRule="auto"/>
              <w:jc w:val="left"/>
            </w:pPr>
            <w:r>
              <w:rPr>
                <w:b/>
                <w:bCs/>
                <w:color w:val="FFFFFF"/>
                <w:sz w:val="15"/>
                <w:szCs w:val="15"/>
              </w:rPr>
              <w:t>Interprétabilité</w:t>
            </w:r>
          </w:p>
        </w:tc>
        <w:tc>
          <w:tcPr>
            <w:tcW w:w="1310"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94F3B1F">
            <w:pPr>
              <w:keepNext/>
              <w:spacing w:after="0" w:line="240" w:lineRule="auto"/>
              <w:jc w:val="left"/>
            </w:pPr>
            <w:r>
              <w:rPr>
                <w:b/>
                <w:bCs/>
                <w:color w:val="FFFFFF"/>
                <w:sz w:val="15"/>
                <w:szCs w:val="15"/>
              </w:rPr>
              <w:t>Limites</w:t>
            </w:r>
          </w:p>
        </w:tc>
      </w:tr>
      <w:tr w14:paraId="267E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FBED958">
            <w:pPr>
              <w:keepNext/>
              <w:spacing w:after="0" w:line="240" w:lineRule="auto"/>
              <w:jc w:val="left"/>
            </w:pPr>
            <w:r>
              <w:rPr>
                <w:b/>
                <w:bCs/>
                <w:sz w:val="15"/>
                <w:szCs w:val="15"/>
              </w:rPr>
              <w:t>Prix inchangé = ARIMA(0,1,0)</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E18E269">
            <w:pPr>
              <w:keepNext/>
              <w:spacing w:after="0" w:line="240" w:lineRule="auto"/>
              <w:jc w:val="left"/>
            </w:pPr>
            <w:r>
              <w:rPr>
                <w:b w:val="0"/>
                <w:bCs w:val="0"/>
                <w:sz w:val="15"/>
                <w:szCs w:val="15"/>
              </w:rPr>
              <w:t>Référence</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C689FA4">
            <w:pPr>
              <w:keepNext/>
              <w:spacing w:after="0" w:line="240" w:lineRule="auto"/>
              <w:jc w:val="center"/>
            </w:pPr>
            <w:r>
              <w:rPr>
                <w:b w:val="0"/>
                <w:bCs w:val="0"/>
                <w:sz w:val="15"/>
                <w:szCs w:val="15"/>
              </w:rPr>
              <w:t>7,62 / 10,72</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7DE3BDD">
            <w:pPr>
              <w:keepNext/>
              <w:spacing w:after="0" w:line="240" w:lineRule="auto"/>
              <w:jc w:val="center"/>
            </w:pPr>
            <w:r>
              <w:rPr>
                <w:b w:val="0"/>
                <w:bCs w:val="0"/>
                <w:sz w:val="15"/>
                <w:szCs w:val="15"/>
              </w:rPr>
              <w:t>1,65 / 2,67</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696D0EB">
            <w:pPr>
              <w:keepNext/>
              <w:spacing w:after="0" w:line="240" w:lineRule="auto"/>
              <w:jc w:val="center"/>
            </w:pPr>
            <w:r>
              <w:rPr>
                <w:b w:val="0"/>
                <w:bCs w:val="0"/>
                <w:sz w:val="15"/>
                <w:szCs w:val="15"/>
              </w:rPr>
              <w:t>2,66 / 4,92</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4978B1A">
            <w:pPr>
              <w:keepNext/>
              <w:spacing w:after="0" w:line="240" w:lineRule="auto"/>
              <w:jc w:val="center"/>
            </w:pPr>
            <w:r>
              <w:rPr>
                <w:b w:val="0"/>
                <w:bCs w:val="0"/>
                <w:sz w:val="15"/>
                <w:szCs w:val="15"/>
              </w:rPr>
              <w:t>référence</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173ABFA">
            <w:pPr>
              <w:keepNext/>
              <w:spacing w:after="0" w:line="240" w:lineRule="auto"/>
              <w:jc w:val="center"/>
            </w:pPr>
            <w:r>
              <w:rPr>
                <w:b w:val="0"/>
                <w:bCs w:val="0"/>
                <w:sz w:val="15"/>
                <w:szCs w:val="15"/>
              </w:rPr>
              <w:t>référence</w:t>
            </w:r>
          </w:p>
        </w:tc>
        <w:tc>
          <w:tcPr>
            <w:tcW w:w="160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DD07503">
            <w:pPr>
              <w:keepNext/>
              <w:spacing w:after="0" w:line="240" w:lineRule="auto"/>
              <w:jc w:val="left"/>
            </w:pPr>
            <w:r>
              <w:rPr>
                <w:b w:val="0"/>
                <w:bCs w:val="0"/>
                <w:sz w:val="15"/>
                <w:szCs w:val="15"/>
              </w:rPr>
              <w:t>Référence</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7F545F9">
            <w:pPr>
              <w:keepNext/>
              <w:spacing w:after="0" w:line="240" w:lineRule="auto"/>
              <w:jc w:val="left"/>
            </w:pPr>
            <w:r>
              <w:rPr>
                <w:b w:val="0"/>
                <w:bCs w:val="0"/>
                <w:sz w:val="15"/>
                <w:szCs w:val="15"/>
              </w:rPr>
              <w:t>1 par actif</w:t>
            </w:r>
          </w:p>
        </w:tc>
        <w:tc>
          <w:tcPr>
            <w:tcW w:w="131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194B5F7">
            <w:pPr>
              <w:keepNext/>
              <w:spacing w:after="0" w:line="240" w:lineRule="auto"/>
              <w:jc w:val="left"/>
            </w:pPr>
            <w:r>
              <w:rPr>
                <w:b w:val="0"/>
                <w:bCs w:val="0"/>
                <w:sz w:val="15"/>
                <w:szCs w:val="15"/>
              </w:rPr>
              <w:t>Négligeable</w:t>
            </w:r>
          </w:p>
        </w:tc>
        <w:tc>
          <w:tcPr>
            <w:tcW w:w="14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5DB5A92">
            <w:pPr>
              <w:keepNext/>
              <w:spacing w:after="0" w:line="240" w:lineRule="auto"/>
              <w:jc w:val="left"/>
            </w:pPr>
            <w:r>
              <w:rPr>
                <w:b w:val="0"/>
                <w:bCs w:val="0"/>
                <w:sz w:val="15"/>
                <w:szCs w:val="15"/>
              </w:rPr>
              <w:t>Totale</w:t>
            </w:r>
          </w:p>
        </w:tc>
        <w:tc>
          <w:tcPr>
            <w:tcW w:w="131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83888E6">
            <w:pPr>
              <w:keepNext/>
              <w:spacing w:after="0" w:line="240" w:lineRule="auto"/>
              <w:jc w:val="left"/>
            </w:pPr>
            <w:r>
              <w:rPr>
                <w:b w:val="0"/>
                <w:bCs w:val="0"/>
                <w:sz w:val="15"/>
                <w:szCs w:val="15"/>
              </w:rPr>
              <w:t>Résidus non normaux, effets ARCH</w:t>
            </w:r>
          </w:p>
        </w:tc>
      </w:tr>
      <w:tr w14:paraId="10BB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1"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0635E500">
            <w:pPr>
              <w:keepNext/>
              <w:spacing w:after="0" w:line="240" w:lineRule="auto"/>
              <w:jc w:val="left"/>
            </w:pPr>
            <w:r>
              <w:rPr>
                <w:b/>
                <w:bCs/>
                <w:sz w:val="15"/>
                <w:szCs w:val="15"/>
              </w:rPr>
              <w:t>VAR(0)</w:t>
            </w:r>
          </w:p>
        </w:tc>
        <w:tc>
          <w:tcPr>
            <w:tcW w:w="1166"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5DCDAE1B">
            <w:pPr>
              <w:keepNext/>
              <w:spacing w:after="0" w:line="240" w:lineRule="auto"/>
              <w:jc w:val="left"/>
            </w:pPr>
            <w:r>
              <w:rPr>
                <w:b w:val="0"/>
                <w:bCs w:val="0"/>
                <w:sz w:val="15"/>
                <w:szCs w:val="15"/>
              </w:rPr>
              <w:t>Prévision des prix</w:t>
            </w:r>
          </w:p>
        </w:tc>
        <w:tc>
          <w:tcPr>
            <w:tcW w:w="1166"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01CBFA64">
            <w:pPr>
              <w:keepNext/>
              <w:spacing w:after="0" w:line="240" w:lineRule="auto"/>
              <w:jc w:val="center"/>
            </w:pPr>
            <w:r>
              <w:rPr>
                <w:b w:val="0"/>
                <w:bCs w:val="0"/>
                <w:sz w:val="15"/>
                <w:szCs w:val="15"/>
              </w:rPr>
              <w:t>7,54 / 10,48</w:t>
            </w:r>
          </w:p>
        </w:tc>
        <w:tc>
          <w:tcPr>
            <w:tcW w:w="1166"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29D610E7">
            <w:pPr>
              <w:keepNext/>
              <w:spacing w:after="0" w:line="240" w:lineRule="auto"/>
              <w:jc w:val="center"/>
            </w:pPr>
            <w:r>
              <w:rPr>
                <w:b w:val="0"/>
                <w:bCs w:val="0"/>
                <w:sz w:val="15"/>
                <w:szCs w:val="15"/>
              </w:rPr>
              <w:t>1,64 / 2,65</w:t>
            </w:r>
          </w:p>
        </w:tc>
        <w:tc>
          <w:tcPr>
            <w:tcW w:w="1020"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4B21971B">
            <w:pPr>
              <w:keepNext/>
              <w:spacing w:after="0" w:line="240" w:lineRule="auto"/>
              <w:jc w:val="center"/>
            </w:pPr>
            <w:r>
              <w:rPr>
                <w:b w:val="0"/>
                <w:bCs w:val="0"/>
                <w:sz w:val="15"/>
                <w:szCs w:val="15"/>
              </w:rPr>
              <w:t>2,59 / 4,89</w:t>
            </w:r>
          </w:p>
        </w:tc>
        <w:tc>
          <w:tcPr>
            <w:tcW w:w="1020"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33EEAF5E">
            <w:pPr>
              <w:keepNext/>
              <w:spacing w:after="0" w:line="240" w:lineRule="auto"/>
              <w:jc w:val="center"/>
            </w:pPr>
            <w:r>
              <w:rPr>
                <w:b w:val="0"/>
                <w:bCs w:val="0"/>
                <w:sz w:val="15"/>
                <w:szCs w:val="15"/>
              </w:rPr>
              <w:t>1,1 / 2,3</w:t>
            </w:r>
          </w:p>
        </w:tc>
        <w:tc>
          <w:tcPr>
            <w:tcW w:w="1020"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CE5751E">
            <w:pPr>
              <w:keepNext/>
              <w:spacing w:after="0" w:line="240" w:lineRule="auto"/>
              <w:jc w:val="center"/>
            </w:pPr>
            <w:r>
              <w:rPr>
                <w:b w:val="0"/>
                <w:bCs w:val="0"/>
                <w:sz w:val="15"/>
                <w:szCs w:val="15"/>
              </w:rPr>
              <w:t>0,4 / 0,7</w:t>
            </w:r>
          </w:p>
        </w:tc>
        <w:tc>
          <w:tcPr>
            <w:tcW w:w="1603"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6789CA3A">
            <w:pPr>
              <w:keepNext/>
              <w:spacing w:after="0" w:line="240" w:lineRule="auto"/>
              <w:jc w:val="left"/>
            </w:pPr>
            <w:r>
              <w:rPr>
                <w:b w:val="0"/>
                <w:bCs w:val="0"/>
                <w:sz w:val="15"/>
                <w:szCs w:val="15"/>
              </w:rPr>
              <w:t>Bat le prix inchangé pour GLD h10 (p = 0,019)</w:t>
            </w:r>
          </w:p>
        </w:tc>
        <w:tc>
          <w:tcPr>
            <w:tcW w:w="1020"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3E9A9ECC">
            <w:pPr>
              <w:keepNext/>
              <w:spacing w:after="0" w:line="240" w:lineRule="auto"/>
              <w:jc w:val="left"/>
            </w:pPr>
            <w:r>
              <w:rPr>
                <w:b w:val="0"/>
                <w:bCs w:val="0"/>
                <w:sz w:val="15"/>
                <w:szCs w:val="15"/>
              </w:rPr>
              <w:t>5</w:t>
            </w:r>
          </w:p>
        </w:tc>
        <w:tc>
          <w:tcPr>
            <w:tcW w:w="1311"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7901C8FA">
            <w:pPr>
              <w:keepNext/>
              <w:spacing w:after="0" w:line="240" w:lineRule="auto"/>
              <w:jc w:val="left"/>
            </w:pPr>
            <w:r>
              <w:rPr>
                <w:b w:val="0"/>
                <w:bCs w:val="0"/>
                <w:sz w:val="15"/>
                <w:szCs w:val="15"/>
              </w:rPr>
              <w:t>Instantané</w:t>
            </w:r>
          </w:p>
        </w:tc>
        <w:tc>
          <w:tcPr>
            <w:tcW w:w="1457"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0C8A37CF">
            <w:pPr>
              <w:keepNext/>
              <w:spacing w:after="0" w:line="240" w:lineRule="auto"/>
              <w:jc w:val="left"/>
            </w:pPr>
            <w:r>
              <w:rPr>
                <w:b w:val="0"/>
                <w:bCs w:val="0"/>
                <w:sz w:val="15"/>
                <w:szCs w:val="15"/>
              </w:rPr>
              <w:t>Très bonne : rendement moyen constant</w:t>
            </w:r>
          </w:p>
        </w:tc>
        <w:tc>
          <w:tcPr>
            <w:tcW w:w="1310" w:type="dxa"/>
            <w:tcBorders>
              <w:top w:val="single" w:color="8EA9DB" w:sz="4" w:space="0"/>
              <w:left w:val="single" w:color="8EA9DB" w:sz="4" w:space="0"/>
              <w:bottom w:val="single" w:color="8EA9DB" w:sz="4" w:space="0"/>
              <w:right w:val="single" w:color="8EA9DB" w:sz="4" w:space="0"/>
            </w:tcBorders>
            <w:shd w:val="clear" w:color="auto" w:fill="DCE6F2"/>
            <w:tcMar>
              <w:top w:w="40" w:type="dxa"/>
              <w:left w:w="80" w:type="dxa"/>
              <w:bottom w:w="40" w:type="dxa"/>
              <w:right w:w="80" w:type="dxa"/>
            </w:tcMar>
            <w:vAlign w:val="center"/>
          </w:tcPr>
          <w:p w14:paraId="2597723A">
            <w:pPr>
              <w:keepNext/>
              <w:spacing w:after="0" w:line="240" w:lineRule="auto"/>
              <w:jc w:val="left"/>
            </w:pPr>
            <w:r>
              <w:rPr>
                <w:b w:val="0"/>
                <w:bCs w:val="0"/>
                <w:sz w:val="15"/>
                <w:szCs w:val="15"/>
              </w:rPr>
              <w:t>Effets ARCH dans les résidus</w:t>
            </w:r>
          </w:p>
        </w:tc>
      </w:tr>
      <w:tr w14:paraId="3C37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C7942B4">
            <w:pPr>
              <w:keepNext/>
              <w:spacing w:after="0" w:line="240" w:lineRule="auto"/>
              <w:jc w:val="left"/>
            </w:pPr>
            <w:r>
              <w:rPr>
                <w:b/>
                <w:bCs/>
                <w:sz w:val="15"/>
                <w:szCs w:val="15"/>
              </w:rPr>
              <w:t>VAR(1)</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CCF5A11">
            <w:pPr>
              <w:keepNext/>
              <w:spacing w:after="0" w:line="240" w:lineRule="auto"/>
              <w:jc w:val="left"/>
            </w:pPr>
            <w:r>
              <w:rPr>
                <w:b w:val="0"/>
                <w:bCs w:val="0"/>
                <w:sz w:val="15"/>
                <w:szCs w:val="15"/>
              </w:rPr>
              <w:t>Test de Granger</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54E439C">
            <w:pPr>
              <w:keepNext/>
              <w:spacing w:after="0" w:line="240" w:lineRule="auto"/>
              <w:jc w:val="center"/>
            </w:pPr>
            <w:r>
              <w:rPr>
                <w:b w:val="0"/>
                <w:bCs w:val="0"/>
                <w:sz w:val="15"/>
                <w:szCs w:val="15"/>
              </w:rPr>
              <w:t>7,53 / 10,47</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6B0E412">
            <w:pPr>
              <w:keepNext/>
              <w:spacing w:after="0" w:line="240" w:lineRule="auto"/>
              <w:jc w:val="center"/>
            </w:pPr>
            <w:r>
              <w:rPr>
                <w:b w:val="0"/>
                <w:bCs w:val="0"/>
                <w:sz w:val="15"/>
                <w:szCs w:val="15"/>
              </w:rPr>
              <w:t>1,64 / 2,65</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E759BBA">
            <w:pPr>
              <w:keepNext/>
              <w:spacing w:after="0" w:line="240" w:lineRule="auto"/>
              <w:jc w:val="center"/>
            </w:pPr>
            <w:r>
              <w:rPr>
                <w:b w:val="0"/>
                <w:bCs w:val="0"/>
                <w:sz w:val="15"/>
                <w:szCs w:val="15"/>
              </w:rPr>
              <w:t>2,59 / 4,89</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02916C6">
            <w:pPr>
              <w:keepNext/>
              <w:spacing w:after="0" w:line="240" w:lineRule="auto"/>
              <w:jc w:val="center"/>
            </w:pPr>
            <w:r>
              <w:rPr>
                <w:b w:val="0"/>
                <w:bCs w:val="0"/>
                <w:sz w:val="15"/>
                <w:szCs w:val="15"/>
              </w:rPr>
              <w:t>1,2 / 2,3</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F17E825">
            <w:pPr>
              <w:keepNext/>
              <w:spacing w:after="0" w:line="240" w:lineRule="auto"/>
              <w:jc w:val="center"/>
            </w:pPr>
            <w:r>
              <w:rPr>
                <w:b w:val="0"/>
                <w:bCs w:val="0"/>
                <w:sz w:val="15"/>
                <w:szCs w:val="15"/>
              </w:rPr>
              <w:t>0,4 / 0,7</w:t>
            </w:r>
          </w:p>
        </w:tc>
        <w:tc>
          <w:tcPr>
            <w:tcW w:w="160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1E7254B">
            <w:pPr>
              <w:keepNext/>
              <w:spacing w:after="0" w:line="240" w:lineRule="auto"/>
              <w:jc w:val="left"/>
            </w:pPr>
            <w:r>
              <w:rPr>
                <w:b w:val="0"/>
                <w:bCs w:val="0"/>
                <w:sz w:val="15"/>
                <w:szCs w:val="15"/>
              </w:rPr>
              <w:t>Non testé</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ED7F433">
            <w:pPr>
              <w:keepNext/>
              <w:spacing w:after="0" w:line="240" w:lineRule="auto"/>
              <w:jc w:val="left"/>
            </w:pPr>
            <w:r>
              <w:rPr>
                <w:b w:val="0"/>
                <w:bCs w:val="0"/>
                <w:sz w:val="15"/>
                <w:szCs w:val="15"/>
              </w:rPr>
              <w:t>9</w:t>
            </w:r>
          </w:p>
        </w:tc>
        <w:tc>
          <w:tcPr>
            <w:tcW w:w="131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CA46E10">
            <w:pPr>
              <w:keepNext/>
              <w:spacing w:after="0" w:line="240" w:lineRule="auto"/>
              <w:jc w:val="left"/>
            </w:pPr>
            <w:r>
              <w:rPr>
                <w:b w:val="0"/>
                <w:bCs w:val="0"/>
                <w:sz w:val="15"/>
                <w:szCs w:val="15"/>
              </w:rPr>
              <w:t>Instantané</w:t>
            </w:r>
          </w:p>
        </w:tc>
        <w:tc>
          <w:tcPr>
            <w:tcW w:w="14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18C1E04">
            <w:pPr>
              <w:keepNext/>
              <w:spacing w:after="0" w:line="240" w:lineRule="auto"/>
              <w:jc w:val="left"/>
            </w:pPr>
            <w:r>
              <w:rPr>
                <w:b w:val="0"/>
                <w:bCs w:val="0"/>
                <w:sz w:val="15"/>
                <w:szCs w:val="15"/>
              </w:rPr>
              <w:t>Bonne</w:t>
            </w:r>
          </w:p>
        </w:tc>
        <w:tc>
          <w:tcPr>
            <w:tcW w:w="131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F393A5F">
            <w:pPr>
              <w:keepNext/>
              <w:spacing w:after="0" w:line="240" w:lineRule="auto"/>
              <w:jc w:val="left"/>
            </w:pPr>
            <w:r>
              <w:rPr>
                <w:b w:val="0"/>
                <w:bCs w:val="0"/>
                <w:sz w:val="15"/>
                <w:szCs w:val="15"/>
              </w:rPr>
              <w:t>Coefficients non significatifs</w:t>
            </w:r>
          </w:p>
        </w:tc>
      </w:tr>
      <w:tr w14:paraId="2449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BD7611B">
            <w:pPr>
              <w:keepNext/>
              <w:spacing w:after="0" w:line="240" w:lineRule="auto"/>
              <w:jc w:val="left"/>
            </w:pPr>
            <w:r>
              <w:rPr>
                <w:b/>
                <w:bCs/>
                <w:sz w:val="15"/>
                <w:szCs w:val="15"/>
              </w:rPr>
              <w:t>LSTM</w:t>
            </w:r>
          </w:p>
        </w:tc>
        <w:tc>
          <w:tcPr>
            <w:tcW w:w="116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016CF3D">
            <w:pPr>
              <w:keepNext/>
              <w:spacing w:after="0" w:line="240" w:lineRule="auto"/>
              <w:jc w:val="left"/>
            </w:pPr>
            <w:r>
              <w:rPr>
                <w:b w:val="0"/>
                <w:bCs w:val="0"/>
                <w:sz w:val="15"/>
                <w:szCs w:val="15"/>
              </w:rPr>
              <w:t>Prévision des prix</w:t>
            </w:r>
          </w:p>
        </w:tc>
        <w:tc>
          <w:tcPr>
            <w:tcW w:w="116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A8BD2B4">
            <w:pPr>
              <w:keepNext/>
              <w:spacing w:after="0" w:line="240" w:lineRule="auto"/>
              <w:jc w:val="center"/>
            </w:pPr>
            <w:r>
              <w:rPr>
                <w:b w:val="0"/>
                <w:bCs w:val="0"/>
                <w:sz w:val="15"/>
                <w:szCs w:val="15"/>
              </w:rPr>
              <w:t>7,50 / 10,40</w:t>
            </w:r>
          </w:p>
        </w:tc>
        <w:tc>
          <w:tcPr>
            <w:tcW w:w="116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295285B">
            <w:pPr>
              <w:keepNext/>
              <w:spacing w:after="0" w:line="240" w:lineRule="auto"/>
              <w:jc w:val="center"/>
            </w:pPr>
            <w:r>
              <w:rPr>
                <w:b w:val="0"/>
                <w:bCs w:val="0"/>
                <w:sz w:val="15"/>
                <w:szCs w:val="15"/>
              </w:rPr>
              <w:t>1,63 / 2,63</w:t>
            </w:r>
          </w:p>
        </w:tc>
        <w:tc>
          <w:tcPr>
            <w:tcW w:w="10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78B89A5">
            <w:pPr>
              <w:keepNext/>
              <w:spacing w:after="0" w:line="240" w:lineRule="auto"/>
              <w:jc w:val="center"/>
            </w:pPr>
            <w:r>
              <w:rPr>
                <w:b w:val="0"/>
                <w:bCs w:val="0"/>
                <w:sz w:val="15"/>
                <w:szCs w:val="15"/>
              </w:rPr>
              <w:t>2,56 / 4,87</w:t>
            </w:r>
          </w:p>
        </w:tc>
        <w:tc>
          <w:tcPr>
            <w:tcW w:w="10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8E9475B">
            <w:pPr>
              <w:keepNext/>
              <w:spacing w:after="0" w:line="240" w:lineRule="auto"/>
              <w:jc w:val="center"/>
            </w:pPr>
            <w:r>
              <w:rPr>
                <w:b w:val="0"/>
                <w:bCs w:val="0"/>
                <w:sz w:val="15"/>
                <w:szCs w:val="15"/>
              </w:rPr>
              <w:t>1,6 / 3,0</w:t>
            </w:r>
          </w:p>
        </w:tc>
        <w:tc>
          <w:tcPr>
            <w:tcW w:w="10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A5A4818">
            <w:pPr>
              <w:keepNext/>
              <w:spacing w:after="0" w:line="240" w:lineRule="auto"/>
              <w:jc w:val="center"/>
            </w:pPr>
            <w:r>
              <w:rPr>
                <w:b w:val="0"/>
                <w:bCs w:val="0"/>
                <w:sz w:val="15"/>
                <w:szCs w:val="15"/>
              </w:rPr>
              <w:t>1,1 / 1,3</w:t>
            </w:r>
          </w:p>
        </w:tc>
        <w:tc>
          <w:tcPr>
            <w:tcW w:w="160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31CB39F">
            <w:pPr>
              <w:keepNext/>
              <w:spacing w:after="0" w:line="240" w:lineRule="auto"/>
              <w:jc w:val="left"/>
            </w:pPr>
            <w:r>
              <w:rPr>
                <w:b w:val="0"/>
                <w:bCs w:val="0"/>
                <w:sz w:val="15"/>
                <w:szCs w:val="15"/>
              </w:rPr>
              <w:t>Bat le prix inchangé pour GLD h10 (p = 0,007), pas le VAR(0)</w:t>
            </w:r>
          </w:p>
        </w:tc>
        <w:tc>
          <w:tcPr>
            <w:tcW w:w="10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F3EA965">
            <w:pPr>
              <w:keepNext/>
              <w:spacing w:after="0" w:line="240" w:lineRule="auto"/>
              <w:jc w:val="left"/>
            </w:pPr>
            <w:r>
              <w:rPr>
                <w:b w:val="0"/>
                <w:bCs w:val="0"/>
                <w:sz w:val="15"/>
                <w:szCs w:val="15"/>
              </w:rPr>
              <w:t>4 546</w:t>
            </w:r>
          </w:p>
        </w:tc>
        <w:tc>
          <w:tcPr>
            <w:tcW w:w="131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D816A06">
            <w:pPr>
              <w:keepNext/>
              <w:spacing w:after="0" w:line="240" w:lineRule="auto"/>
              <w:jc w:val="left"/>
            </w:pPr>
            <w:r>
              <w:rPr>
                <w:b w:val="0"/>
                <w:bCs w:val="0"/>
                <w:sz w:val="15"/>
                <w:szCs w:val="15"/>
              </w:rPr>
              <w:t>13 à 24 s par entraînement</w:t>
            </w:r>
          </w:p>
        </w:tc>
        <w:tc>
          <w:tcPr>
            <w:tcW w:w="14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16704D1">
            <w:pPr>
              <w:keepNext/>
              <w:spacing w:after="0" w:line="240" w:lineRule="auto"/>
              <w:jc w:val="left"/>
            </w:pPr>
            <w:r>
              <w:rPr>
                <w:b w:val="0"/>
                <w:bCs w:val="0"/>
                <w:sz w:val="15"/>
                <w:szCs w:val="15"/>
              </w:rPr>
              <w:t>Faible : boîte noire</w:t>
            </w:r>
          </w:p>
        </w:tc>
        <w:tc>
          <w:tcPr>
            <w:tcW w:w="131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5254A59">
            <w:pPr>
              <w:keepNext/>
              <w:spacing w:after="0" w:line="240" w:lineRule="auto"/>
              <w:jc w:val="left"/>
            </w:pPr>
            <w:r>
              <w:rPr>
                <w:b w:val="0"/>
                <w:bCs w:val="0"/>
                <w:sz w:val="15"/>
                <w:szCs w:val="15"/>
              </w:rPr>
              <w:t>Gain non confirmé en validation croisée</w:t>
            </w:r>
          </w:p>
        </w:tc>
      </w:tr>
      <w:tr w14:paraId="76C57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E16103A">
            <w:pPr>
              <w:keepNext/>
              <w:spacing w:after="0" w:line="240" w:lineRule="auto"/>
              <w:jc w:val="left"/>
            </w:pPr>
            <w:r>
              <w:rPr>
                <w:b/>
                <w:bCs/>
                <w:sz w:val="15"/>
                <w:szCs w:val="15"/>
              </w:rPr>
              <w:t>GRU</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FDB33F3">
            <w:pPr>
              <w:keepNext/>
              <w:spacing w:after="0" w:line="240" w:lineRule="auto"/>
              <w:jc w:val="left"/>
            </w:pPr>
            <w:r>
              <w:rPr>
                <w:b w:val="0"/>
                <w:bCs w:val="0"/>
                <w:sz w:val="15"/>
                <w:szCs w:val="15"/>
              </w:rPr>
              <w:t>Prévision des prix</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69B3AC4">
            <w:pPr>
              <w:keepNext/>
              <w:spacing w:after="0" w:line="240" w:lineRule="auto"/>
              <w:jc w:val="center"/>
            </w:pPr>
            <w:r>
              <w:rPr>
                <w:b w:val="0"/>
                <w:bCs w:val="0"/>
                <w:sz w:val="15"/>
                <w:szCs w:val="15"/>
              </w:rPr>
              <w:t>7,50 / 10,43</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BA74F91">
            <w:pPr>
              <w:keepNext/>
              <w:spacing w:after="0" w:line="240" w:lineRule="auto"/>
              <w:jc w:val="center"/>
            </w:pPr>
            <w:r>
              <w:rPr>
                <w:b w:val="0"/>
                <w:bCs w:val="0"/>
                <w:sz w:val="15"/>
                <w:szCs w:val="15"/>
              </w:rPr>
              <w:t>1,62 / 2,61</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F5F21CC">
            <w:pPr>
              <w:keepNext/>
              <w:spacing w:after="0" w:line="240" w:lineRule="auto"/>
              <w:jc w:val="center"/>
            </w:pPr>
            <w:r>
              <w:rPr>
                <w:b w:val="0"/>
                <w:bCs w:val="0"/>
                <w:sz w:val="15"/>
                <w:szCs w:val="15"/>
              </w:rPr>
              <w:t>2,58 / 4,85</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4C347AB">
            <w:pPr>
              <w:keepNext/>
              <w:spacing w:after="0" w:line="240" w:lineRule="auto"/>
              <w:jc w:val="center"/>
            </w:pPr>
            <w:r>
              <w:rPr>
                <w:b w:val="0"/>
                <w:bCs w:val="0"/>
                <w:sz w:val="15"/>
                <w:szCs w:val="15"/>
              </w:rPr>
              <w:t>1,6 / 2,7</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AF48310">
            <w:pPr>
              <w:keepNext/>
              <w:spacing w:after="0" w:line="240" w:lineRule="auto"/>
              <w:jc w:val="center"/>
            </w:pPr>
            <w:r>
              <w:rPr>
                <w:b w:val="0"/>
                <w:bCs w:val="0"/>
                <w:sz w:val="15"/>
                <w:szCs w:val="15"/>
              </w:rPr>
              <w:t>1,7 / 2,3</w:t>
            </w:r>
          </w:p>
        </w:tc>
        <w:tc>
          <w:tcPr>
            <w:tcW w:w="160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918B0DB">
            <w:pPr>
              <w:keepNext/>
              <w:spacing w:after="0" w:line="240" w:lineRule="auto"/>
              <w:jc w:val="left"/>
            </w:pPr>
            <w:r>
              <w:rPr>
                <w:b w:val="0"/>
                <w:bCs w:val="0"/>
                <w:sz w:val="15"/>
                <w:szCs w:val="15"/>
              </w:rPr>
              <w:t>Aucun gain significatif</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4DE7E28">
            <w:pPr>
              <w:keepNext/>
              <w:spacing w:after="0" w:line="240" w:lineRule="auto"/>
              <w:jc w:val="left"/>
            </w:pPr>
            <w:r>
              <w:rPr>
                <w:b w:val="0"/>
                <w:bCs w:val="0"/>
                <w:sz w:val="15"/>
                <w:szCs w:val="15"/>
              </w:rPr>
              <w:t>3 522</w:t>
            </w:r>
          </w:p>
        </w:tc>
        <w:tc>
          <w:tcPr>
            <w:tcW w:w="131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B3562DC">
            <w:pPr>
              <w:keepNext/>
              <w:spacing w:after="0" w:line="240" w:lineRule="auto"/>
              <w:jc w:val="left"/>
            </w:pPr>
            <w:r>
              <w:rPr>
                <w:b w:val="0"/>
                <w:bCs w:val="0"/>
                <w:sz w:val="15"/>
                <w:szCs w:val="15"/>
              </w:rPr>
              <w:t>14 à 42 s par entraînement</w:t>
            </w:r>
          </w:p>
        </w:tc>
        <w:tc>
          <w:tcPr>
            <w:tcW w:w="14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801A348">
            <w:pPr>
              <w:keepNext/>
              <w:spacing w:after="0" w:line="240" w:lineRule="auto"/>
              <w:jc w:val="left"/>
            </w:pPr>
            <w:r>
              <w:rPr>
                <w:b w:val="0"/>
                <w:bCs w:val="0"/>
                <w:sz w:val="15"/>
                <w:szCs w:val="15"/>
              </w:rPr>
              <w:t>Faible : boîte noire</w:t>
            </w:r>
          </w:p>
        </w:tc>
        <w:tc>
          <w:tcPr>
            <w:tcW w:w="131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B9D09EF">
            <w:pPr>
              <w:keepNext/>
              <w:spacing w:after="0" w:line="240" w:lineRule="auto"/>
              <w:jc w:val="left"/>
            </w:pPr>
            <w:r>
              <w:rPr>
                <w:b w:val="0"/>
                <w:bCs w:val="0"/>
                <w:sz w:val="15"/>
                <w:szCs w:val="15"/>
              </w:rPr>
              <w:t>Moins bon que le rendement nul en validation croisée</w:t>
            </w:r>
          </w:p>
        </w:tc>
      </w:tr>
      <w:tr w14:paraId="0CD6C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5F78E41">
            <w:pPr>
              <w:keepNext/>
              <w:spacing w:after="0" w:line="240" w:lineRule="auto"/>
              <w:jc w:val="left"/>
            </w:pPr>
            <w:r>
              <w:rPr>
                <w:b/>
                <w:bCs/>
                <w:sz w:val="15"/>
                <w:szCs w:val="15"/>
              </w:rPr>
              <w:t>GARCH(1,1) Student</w:t>
            </w:r>
          </w:p>
        </w:tc>
        <w:tc>
          <w:tcPr>
            <w:tcW w:w="116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FC0FC9F">
            <w:pPr>
              <w:keepNext/>
              <w:spacing w:after="0" w:line="240" w:lineRule="auto"/>
              <w:jc w:val="left"/>
            </w:pPr>
            <w:r>
              <w:rPr>
                <w:b w:val="0"/>
                <w:bCs w:val="0"/>
                <w:sz w:val="15"/>
                <w:szCs w:val="15"/>
              </w:rPr>
              <w:t>Volatilité</w:t>
            </w:r>
          </w:p>
        </w:tc>
        <w:tc>
          <w:tcPr>
            <w:tcW w:w="116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C8D96F0">
            <w:pPr>
              <w:keepNext/>
              <w:spacing w:after="0" w:line="240" w:lineRule="auto"/>
              <w:jc w:val="center"/>
            </w:pPr>
          </w:p>
        </w:tc>
        <w:tc>
          <w:tcPr>
            <w:tcW w:w="1166"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F6DBA00">
            <w:pPr>
              <w:keepNext/>
              <w:spacing w:after="0" w:line="240" w:lineRule="auto"/>
              <w:jc w:val="center"/>
            </w:pPr>
          </w:p>
        </w:tc>
        <w:tc>
          <w:tcPr>
            <w:tcW w:w="10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8E8DE07">
            <w:pPr>
              <w:keepNext/>
              <w:spacing w:after="0" w:line="240" w:lineRule="auto"/>
              <w:jc w:val="center"/>
            </w:pPr>
          </w:p>
        </w:tc>
        <w:tc>
          <w:tcPr>
            <w:tcW w:w="10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2D23603">
            <w:pPr>
              <w:keepNext/>
              <w:spacing w:after="0" w:line="240" w:lineRule="auto"/>
              <w:jc w:val="center"/>
            </w:pPr>
          </w:p>
        </w:tc>
        <w:tc>
          <w:tcPr>
            <w:tcW w:w="10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E256FDA">
            <w:pPr>
              <w:keepNext/>
              <w:spacing w:after="0" w:line="240" w:lineRule="auto"/>
              <w:jc w:val="center"/>
            </w:pPr>
          </w:p>
        </w:tc>
        <w:tc>
          <w:tcPr>
            <w:tcW w:w="160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019DD93">
            <w:pPr>
              <w:keepNext/>
              <w:spacing w:after="0" w:line="240" w:lineRule="auto"/>
              <w:jc w:val="left"/>
            </w:pPr>
            <w:r>
              <w:rPr>
                <w:b w:val="0"/>
                <w:bCs w:val="0"/>
                <w:sz w:val="15"/>
                <w:szCs w:val="15"/>
              </w:rPr>
              <w:t>Couverture 95 % : GLD 93,9 / 92,1, SLV 93,7 / 93,4</w:t>
            </w:r>
          </w:p>
        </w:tc>
        <w:tc>
          <w:tcPr>
            <w:tcW w:w="102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E973B77">
            <w:pPr>
              <w:keepNext/>
              <w:spacing w:after="0" w:line="240" w:lineRule="auto"/>
              <w:jc w:val="left"/>
            </w:pPr>
            <w:r>
              <w:rPr>
                <w:b w:val="0"/>
                <w:bCs w:val="0"/>
                <w:sz w:val="15"/>
                <w:szCs w:val="15"/>
              </w:rPr>
              <w:t>4 par actif</w:t>
            </w:r>
          </w:p>
        </w:tc>
        <w:tc>
          <w:tcPr>
            <w:tcW w:w="131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DF2D30B">
            <w:pPr>
              <w:keepNext/>
              <w:spacing w:after="0" w:line="240" w:lineRule="auto"/>
              <w:jc w:val="left"/>
            </w:pPr>
            <w:r>
              <w:rPr>
                <w:b w:val="0"/>
                <w:bCs w:val="0"/>
                <w:sz w:val="15"/>
                <w:szCs w:val="15"/>
              </w:rPr>
              <w:t>Rapide, 10 000 simulations par origine</w:t>
            </w:r>
          </w:p>
        </w:tc>
        <w:tc>
          <w:tcPr>
            <w:tcW w:w="1457"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B48A0C7">
            <w:pPr>
              <w:keepNext/>
              <w:spacing w:after="0" w:line="240" w:lineRule="auto"/>
              <w:jc w:val="left"/>
            </w:pPr>
            <w:r>
              <w:rPr>
                <w:b w:val="0"/>
                <w:bCs w:val="0"/>
                <w:sz w:val="15"/>
                <w:szCs w:val="15"/>
              </w:rPr>
              <w:t>Bonne : persistance des chocs</w:t>
            </w:r>
          </w:p>
        </w:tc>
        <w:tc>
          <w:tcPr>
            <w:tcW w:w="1310"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93D1CD6">
            <w:pPr>
              <w:keepNext/>
              <w:spacing w:after="0" w:line="240" w:lineRule="auto"/>
              <w:jc w:val="left"/>
            </w:pPr>
            <w:r>
              <w:rPr>
                <w:b w:val="0"/>
                <w:bCs w:val="0"/>
                <w:sz w:val="15"/>
                <w:szCs w:val="15"/>
              </w:rPr>
              <w:t>Effets ARCH restants pour SLV</w:t>
            </w:r>
          </w:p>
        </w:tc>
      </w:tr>
      <w:tr w14:paraId="366C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27F19A5">
            <w:pPr>
              <w:keepNext w:val="0"/>
              <w:spacing w:after="0" w:line="240" w:lineRule="auto"/>
              <w:jc w:val="left"/>
            </w:pPr>
            <w:r>
              <w:rPr>
                <w:b/>
                <w:bCs/>
                <w:sz w:val="15"/>
                <w:szCs w:val="15"/>
              </w:rPr>
              <w:t>GJR-GARCH</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CBC50C9">
            <w:pPr>
              <w:keepNext w:val="0"/>
              <w:spacing w:after="0" w:line="240" w:lineRule="auto"/>
              <w:jc w:val="left"/>
            </w:pPr>
            <w:r>
              <w:rPr>
                <w:b w:val="0"/>
                <w:bCs w:val="0"/>
                <w:sz w:val="15"/>
                <w:szCs w:val="15"/>
              </w:rPr>
              <w:t>Volatilité asymétrique</w:t>
            </w: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DEEF908">
            <w:pPr>
              <w:keepNext w:val="0"/>
              <w:spacing w:after="0" w:line="240" w:lineRule="auto"/>
              <w:jc w:val="center"/>
            </w:pPr>
          </w:p>
        </w:tc>
        <w:tc>
          <w:tcPr>
            <w:tcW w:w="1166"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F445EFB">
            <w:pPr>
              <w:keepNext w:val="0"/>
              <w:spacing w:after="0" w:line="240" w:lineRule="auto"/>
              <w:jc w:val="center"/>
            </w:pP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5F49F57">
            <w:pPr>
              <w:keepNext w:val="0"/>
              <w:spacing w:after="0" w:line="240" w:lineRule="auto"/>
              <w:jc w:val="center"/>
            </w:pP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31023A9">
            <w:pPr>
              <w:keepNext w:val="0"/>
              <w:spacing w:after="0" w:line="240" w:lineRule="auto"/>
              <w:jc w:val="center"/>
            </w:pP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67C7EA5">
            <w:pPr>
              <w:keepNext w:val="0"/>
              <w:spacing w:after="0" w:line="240" w:lineRule="auto"/>
              <w:jc w:val="center"/>
            </w:pPr>
          </w:p>
        </w:tc>
        <w:tc>
          <w:tcPr>
            <w:tcW w:w="160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9D5B188">
            <w:pPr>
              <w:keepNext w:val="0"/>
              <w:spacing w:after="0" w:line="240" w:lineRule="auto"/>
              <w:jc w:val="left"/>
            </w:pPr>
            <w:r>
              <w:rPr>
                <w:b w:val="0"/>
                <w:bCs w:val="0"/>
                <w:sz w:val="15"/>
                <w:szCs w:val="15"/>
              </w:rPr>
              <w:t>γ significatif, BIC moins bon</w:t>
            </w:r>
          </w:p>
        </w:tc>
        <w:tc>
          <w:tcPr>
            <w:tcW w:w="102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9C7D4B6">
            <w:pPr>
              <w:keepNext w:val="0"/>
              <w:spacing w:after="0" w:line="240" w:lineRule="auto"/>
              <w:jc w:val="left"/>
            </w:pPr>
            <w:r>
              <w:rPr>
                <w:b w:val="0"/>
                <w:bCs w:val="0"/>
                <w:sz w:val="15"/>
                <w:szCs w:val="15"/>
              </w:rPr>
              <w:t>5 par actif</w:t>
            </w:r>
          </w:p>
        </w:tc>
        <w:tc>
          <w:tcPr>
            <w:tcW w:w="131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1400889">
            <w:pPr>
              <w:keepNext w:val="0"/>
              <w:spacing w:after="0" w:line="240" w:lineRule="auto"/>
              <w:jc w:val="left"/>
            </w:pPr>
            <w:r>
              <w:rPr>
                <w:b w:val="0"/>
                <w:bCs w:val="0"/>
                <w:sz w:val="15"/>
                <w:szCs w:val="15"/>
              </w:rPr>
              <w:t>Rapide</w:t>
            </w:r>
          </w:p>
        </w:tc>
        <w:tc>
          <w:tcPr>
            <w:tcW w:w="1457"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E7E1906">
            <w:pPr>
              <w:keepNext w:val="0"/>
              <w:spacing w:after="0" w:line="240" w:lineRule="auto"/>
              <w:jc w:val="left"/>
            </w:pPr>
            <w:r>
              <w:rPr>
                <w:b w:val="0"/>
                <w:bCs w:val="0"/>
                <w:sz w:val="15"/>
                <w:szCs w:val="15"/>
              </w:rPr>
              <w:t>Bonne</w:t>
            </w:r>
          </w:p>
        </w:tc>
        <w:tc>
          <w:tcPr>
            <w:tcW w:w="1310"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2C6FF26">
            <w:pPr>
              <w:keepNext w:val="0"/>
              <w:spacing w:after="0" w:line="240" w:lineRule="auto"/>
              <w:jc w:val="left"/>
            </w:pPr>
            <w:r>
              <w:rPr>
                <w:b w:val="0"/>
                <w:bCs w:val="0"/>
                <w:sz w:val="15"/>
                <w:szCs w:val="15"/>
              </w:rPr>
              <w:t>Non retenu</w:t>
            </w:r>
          </w:p>
        </w:tc>
      </w:tr>
    </w:tbl>
    <w:p w14:paraId="7DFD395F">
      <w:pPr>
        <w:spacing w:before="0" w:after="80"/>
      </w:pPr>
    </w:p>
    <w:p w14:paraId="3EFAB1BD">
      <w:pPr>
        <w:spacing w:before="120" w:after="120" w:line="276" w:lineRule="auto"/>
        <w:jc w:val="both"/>
      </w:pPr>
      <w:r>
        <w:t>Les réseaux gagnent moins d’un point de RMSE de plus que le VAR(0) pour GLD, sans différence significative, avec des milliers de paramètres au lieu de cinq. Le VAR(0) offre donc le meilleur équilibre entre précision, simplicité et interprétabilité.</w:t>
      </w:r>
    </w:p>
    <w:p w14:paraId="157DE62E">
      <w:pPr>
        <w:sectPr>
          <w:footerReference r:id="rId4" w:type="default"/>
          <w:pgSz w:w="16838" w:h="11906" w:orient="landscape"/>
          <w:pgMar w:top="1000" w:right="1134" w:bottom="1000" w:left="1134" w:header="500" w:footer="500" w:gutter="0"/>
          <w:cols w:space="720" w:num="1"/>
          <w:docGrid w:linePitch="360" w:charSpace="0"/>
        </w:sectPr>
      </w:pPr>
    </w:p>
    <w:p w14:paraId="037A02F5">
      <w:pPr>
        <w:pStyle w:val="2"/>
        <w:keepNext/>
        <w:spacing w:before="360" w:after="200"/>
      </w:pPr>
      <w:r>
        <w:t>8. Interprétation des résultats et apport des LLM</w:t>
      </w:r>
    </w:p>
    <w:p w14:paraId="7C37F295">
      <w:pPr>
        <w:pStyle w:val="3"/>
        <w:keepNext/>
      </w:pPr>
      <w:r>
        <w:t>8.1. Réponses aux questions</w:t>
      </w:r>
    </w:p>
    <w:p w14:paraId="343EAA97">
      <w:pPr>
        <w:spacing w:after="120" w:line="276" w:lineRule="auto"/>
        <w:jc w:val="both"/>
      </w:pPr>
      <w:r>
        <w:t>Prévision : les prix de GLD et SLV se comportent presque comme une marche aléatoire. Les modèles battent le prix inchangé de 0,4 % à 3,0 % en RMSE, et ce gain n’est significatif que pour GLD à 10 séances. Les réseaux ne font pas significativement mieux qu’un modèle linéaire simple.</w:t>
      </w:r>
    </w:p>
    <w:p w14:paraId="57542883">
      <w:pPr>
        <w:spacing w:after="120" w:line="276" w:lineRule="auto"/>
        <w:jc w:val="both"/>
      </w:pPr>
      <w:r>
        <w:t>Liens entre actifs : l’or et l’argent bougent ensemble le même jour (corrélation de 0,79). Avec les spécifications retenues, les tests ne détectent ni causalité de Granger avec un retard ni cointégration.</w:t>
      </w:r>
    </w:p>
    <w:p w14:paraId="37E5B1CC">
      <w:pPr>
        <w:spacing w:after="120" w:line="276" w:lineRule="auto"/>
        <w:jc w:val="both"/>
      </w:pPr>
      <w:r>
        <w:t>Volatilité : elle est très persistante et plus forte pour l’argent. Les intervalles GARCH ont une couverture proche de 95 %, un peu trop étroite sur le test. Leur qualité n’a pas été comparée à une autre méthode.</w:t>
      </w:r>
    </w:p>
    <w:p w14:paraId="0E20CA09">
      <w:pPr>
        <w:pStyle w:val="3"/>
        <w:keepNext/>
      </w:pPr>
      <w:r>
        <w:t>8.2. Origine des gains de prévision</w:t>
      </w:r>
    </w:p>
    <w:p w14:paraId="09F9799E">
      <w:pPr>
        <w:spacing w:after="120" w:line="276" w:lineRule="auto"/>
        <w:jc w:val="both"/>
      </w:pPr>
      <w:r>
        <w:t>Entre le 22/05/2024 et le 31/12/2025, GLD monte de 80 % et SLV de 128 % : la période de test est très haussière. Le VAR(0) ajoute chaque jour le rendement moyen de l’apprentissage (+0,019 % pour GLD, +0,014 % pour SLV) et les réseaux prévoient aussi de petites hausses (+0,05 % à +0,25 % au 22/05/2024). Le caractère haussier du test peut favoriser une prévision avec une légère dérive positive. Cette explication reste une hypothèse : elle n’est pas démontrée sans analyse supplémentaire, par exemple une évaluation sur une période de baisse ou sans tendance.</w:t>
      </w:r>
    </w:p>
    <w:p w14:paraId="3775B5E2">
      <w:pPr>
        <w:pStyle w:val="3"/>
        <w:keepNext/>
      </w:pPr>
      <w:r>
        <w:t>8.3. Limites</w:t>
      </w:r>
    </w:p>
    <w:p w14:paraId="6A2184EF">
      <w:pPr>
        <w:pStyle w:val="18"/>
        <w:numPr>
          <w:ilvl w:val="0"/>
          <w:numId w:val="2"/>
        </w:numPr>
        <w:spacing w:after="60" w:line="264" w:lineRule="auto"/>
        <w:jc w:val="both"/>
      </w:pPr>
      <w:r>
        <w:t>Une seule période de test, très haussière : les résultats peuvent changer sur une autre période.</w:t>
      </w:r>
    </w:p>
    <w:p w14:paraId="0E029BB3">
      <w:pPr>
        <w:pStyle w:val="18"/>
        <w:numPr>
          <w:ilvl w:val="0"/>
          <w:numId w:val="2"/>
        </w:numPr>
        <w:spacing w:after="60" w:line="264" w:lineRule="auto"/>
        <w:jc w:val="both"/>
      </w:pPr>
      <w:r>
        <w:t>Paramètres fixés pendant tout le test, sans réestimation.</w:t>
      </w:r>
    </w:p>
    <w:p w14:paraId="1FC855DE">
      <w:pPr>
        <w:pStyle w:val="18"/>
        <w:numPr>
          <w:ilvl w:val="0"/>
          <w:numId w:val="2"/>
        </w:numPr>
        <w:spacing w:after="60" w:line="264" w:lineRule="auto"/>
        <w:jc w:val="both"/>
      </w:pPr>
      <w:r>
        <w:t>Une seule architecture de réseau et aucune variable externe (dollar, taux d’intérêt).</w:t>
      </w:r>
    </w:p>
    <w:p w14:paraId="1B3B89CA">
      <w:pPr>
        <w:pStyle w:val="18"/>
        <w:numPr>
          <w:ilvl w:val="0"/>
          <w:numId w:val="2"/>
        </w:numPr>
        <w:spacing w:after="60" w:line="264" w:lineRule="auto"/>
        <w:jc w:val="both"/>
      </w:pPr>
      <w:r>
        <w:t>GARCH imparfait pour SLV et intervalles qui ignorent l’incertitude des paramètres.</w:t>
      </w:r>
    </w:p>
    <w:p w14:paraId="7EBA92A0">
      <w:pPr>
        <w:pStyle w:val="18"/>
        <w:numPr>
          <w:ilvl w:val="0"/>
          <w:numId w:val="2"/>
        </w:numPr>
        <w:spacing w:after="60" w:line="264" w:lineRule="auto"/>
        <w:jc w:val="both"/>
      </w:pPr>
      <w:r>
        <w:t>Aucune stratégie d’investissement testée avec les frais.</w:t>
      </w:r>
    </w:p>
    <w:p w14:paraId="15A10C5E">
      <w:pPr>
        <w:pStyle w:val="3"/>
        <w:keepNext/>
      </w:pPr>
      <w:r>
        <w:t>8.4. Apport des LLM</w:t>
      </w:r>
    </w:p>
    <w:p w14:paraId="49AF375A">
      <w:pPr>
        <w:keepNext/>
        <w:spacing w:before="160" w:after="80"/>
      </w:pPr>
      <w:r>
        <w:rPr>
          <w:b/>
          <w:bCs/>
          <w:color w:val="1F3864"/>
          <w:sz w:val="20"/>
          <w:szCs w:val="20"/>
        </w:rPr>
        <w:t xml:space="preserve">Tableau 19 : </w:t>
      </w:r>
      <w:r>
        <w:rPr>
          <w:color w:val="1F3864"/>
          <w:sz w:val="20"/>
          <w:szCs w:val="20"/>
        </w:rPr>
        <w:t>Ce que les LLM ont apporté et ce qu’ils n’ont pas su faire</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77BD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F33F25A">
            <w:pPr>
              <w:keepNext/>
              <w:spacing w:after="0" w:line="240" w:lineRule="auto"/>
              <w:jc w:val="left"/>
            </w:pPr>
            <w:r>
              <w:rPr>
                <w:b/>
                <w:bCs/>
                <w:color w:val="FFFFFF"/>
                <w:sz w:val="18"/>
                <w:szCs w:val="18"/>
              </w:rPr>
              <w:t>Ce qu’ils ont apporté</w:t>
            </w:r>
          </w:p>
        </w:tc>
        <w:tc>
          <w:tcPr>
            <w:tcW w:w="4819"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4FDA327">
            <w:pPr>
              <w:keepNext/>
              <w:spacing w:after="0" w:line="240" w:lineRule="auto"/>
              <w:jc w:val="left"/>
            </w:pPr>
            <w:r>
              <w:rPr>
                <w:b/>
                <w:bCs/>
                <w:color w:val="FFFFFF"/>
                <w:sz w:val="18"/>
                <w:szCs w:val="18"/>
              </w:rPr>
              <w:t>Ce qu’ils n’ont pas su faire</w:t>
            </w:r>
          </w:p>
        </w:tc>
      </w:tr>
      <w:tr w14:paraId="1029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797CEA0">
            <w:pPr>
              <w:keepNext/>
              <w:spacing w:after="0" w:line="240" w:lineRule="auto"/>
              <w:jc w:val="left"/>
            </w:pPr>
            <w:r>
              <w:rPr>
                <w:sz w:val="18"/>
                <w:szCs w:val="18"/>
              </w:rPr>
              <w:t>La liste des tests à faire avant chaque modèle.</w:t>
            </w:r>
          </w:p>
        </w:tc>
        <w:tc>
          <w:tcPr>
            <w:tcW w:w="481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0057D84">
            <w:pPr>
              <w:keepNext/>
              <w:spacing w:after="0" w:line="240" w:lineRule="auto"/>
              <w:jc w:val="left"/>
            </w:pPr>
            <w:r>
              <w:rPr>
                <w:sz w:val="18"/>
                <w:szCs w:val="18"/>
              </w:rPr>
              <w:t>Expliquer l’origine des gains sur le test.</w:t>
            </w:r>
          </w:p>
        </w:tc>
      </w:tr>
      <w:tr w14:paraId="1972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E007347">
            <w:pPr>
              <w:keepNext/>
              <w:spacing w:after="0" w:line="240" w:lineRule="auto"/>
              <w:jc w:val="left"/>
            </w:pPr>
            <w:r>
              <w:rPr>
                <w:sz w:val="18"/>
                <w:szCs w:val="18"/>
              </w:rPr>
              <w:t>Une méthode d’évaluation des réseaux sans fuite.</w:t>
            </w:r>
          </w:p>
        </w:tc>
        <w:tc>
          <w:tcPr>
            <w:tcW w:w="481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21B67D8">
            <w:pPr>
              <w:keepNext/>
              <w:spacing w:after="0" w:line="240" w:lineRule="auto"/>
              <w:jc w:val="left"/>
            </w:pPr>
            <w:r>
              <w:rPr>
                <w:sz w:val="18"/>
                <w:szCs w:val="18"/>
              </w:rPr>
              <w:t>Choisir les ordres (faits par l’AIC et le BIC).</w:t>
            </w:r>
          </w:p>
        </w:tc>
      </w:tr>
      <w:tr w14:paraId="7FBF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2BC27FB">
            <w:pPr>
              <w:keepNext/>
              <w:spacing w:after="0" w:line="240" w:lineRule="auto"/>
              <w:jc w:val="left"/>
            </w:pPr>
            <w:r>
              <w:rPr>
                <w:sz w:val="18"/>
                <w:szCs w:val="18"/>
              </w:rPr>
              <w:t>Un texte clair pour un non-spécialiste.</w:t>
            </w:r>
          </w:p>
        </w:tc>
        <w:tc>
          <w:tcPr>
            <w:tcW w:w="481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AE64342">
            <w:pPr>
              <w:keepNext/>
              <w:spacing w:after="0" w:line="240" w:lineRule="auto"/>
              <w:jc w:val="left"/>
            </w:pPr>
            <w:r>
              <w:rPr>
                <w:sz w:val="18"/>
                <w:szCs w:val="18"/>
              </w:rPr>
              <w:t>Prévoir le γ négatif du GJR-GARCH.</w:t>
            </w:r>
          </w:p>
        </w:tc>
      </w:tr>
      <w:tr w14:paraId="1633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FB566C6">
            <w:pPr>
              <w:keepNext/>
              <w:spacing w:after="0" w:line="240" w:lineRule="auto"/>
              <w:jc w:val="left"/>
            </w:pPr>
            <w:r>
              <w:rPr>
                <w:sz w:val="18"/>
                <w:szCs w:val="18"/>
              </w:rPr>
              <w:t>Un vocabulaire prudent et juste.</w:t>
            </w:r>
          </w:p>
        </w:tc>
        <w:tc>
          <w:tcPr>
            <w:tcW w:w="4819"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C61A49E">
            <w:pPr>
              <w:keepNext/>
              <w:spacing w:after="0" w:line="240" w:lineRule="auto"/>
              <w:jc w:val="left"/>
            </w:pPr>
            <w:r>
              <w:rPr>
                <w:sz w:val="18"/>
                <w:szCs w:val="18"/>
              </w:rPr>
              <w:t>Donner un avis vraiment indépendant.</w:t>
            </w:r>
          </w:p>
        </w:tc>
      </w:tr>
      <w:tr w14:paraId="540B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0AE335B">
            <w:pPr>
              <w:keepNext w:val="0"/>
              <w:spacing w:after="0" w:line="240" w:lineRule="auto"/>
              <w:jc w:val="left"/>
            </w:pPr>
            <w:r>
              <w:rPr>
                <w:sz w:val="18"/>
                <w:szCs w:val="18"/>
              </w:rPr>
              <w:t>Du temps gagné pour la rédaction.</w:t>
            </w:r>
          </w:p>
        </w:tc>
        <w:tc>
          <w:tcPr>
            <w:tcW w:w="4819"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FA03FCE">
            <w:pPr>
              <w:keepNext w:val="0"/>
              <w:spacing w:after="0" w:line="240" w:lineRule="auto"/>
              <w:jc w:val="left"/>
            </w:pPr>
            <w:r>
              <w:rPr>
                <w:sz w:val="18"/>
                <w:szCs w:val="18"/>
              </w:rPr>
              <w:t>Vérifier eux-mêmes les chiffres.</w:t>
            </w:r>
          </w:p>
        </w:tc>
      </w:tr>
    </w:tbl>
    <w:p w14:paraId="1E6B7A2A">
      <w:pPr>
        <w:spacing w:before="0" w:after="80"/>
      </w:pPr>
    </w:p>
    <w:p w14:paraId="13830DA4">
      <w:pPr>
        <w:spacing w:after="120" w:line="276" w:lineRule="auto"/>
        <w:jc w:val="both"/>
      </w:pPr>
      <w:r>
        <w:t>Les LLM ont fait gagner du temps pour structurer et rédiger, mais pas pour l’analyse elle-même : ils reformulent bien ce qu’on leur donne sans remettre en question nos interprétations.</w:t>
      </w:r>
    </w:p>
    <w:p w14:paraId="4102561E">
      <w:pPr>
        <w:pStyle w:val="2"/>
        <w:keepNext/>
        <w:spacing w:before="360" w:after="200"/>
      </w:pPr>
      <w:r>
        <w:t>Conclusion</w:t>
      </w:r>
    </w:p>
    <w:p w14:paraId="188AB3EB">
      <w:pPr>
        <w:keepLines/>
        <w:spacing w:after="120" w:line="276" w:lineRule="auto"/>
        <w:jc w:val="both"/>
      </w:pPr>
      <w:r>
        <w:t>Les prix de GLD et SLV sont proches d’une marche aléatoire. Sur le test, le LSTM a les meilleures métriques pour GLD et le GRU pour SLV, mais ces écarts ne sont pas significatifs face au VAR(0) : après correction de Holm, seules deux comparaisons sur 24 battent le prix inchangé. Le VAR(0) reste le meilleur compromis entre précision, simplicité et coût, et le GARCH(1,1) Student décrit la volatilité. Pour prolonger ce travail, il faudrait tester les modèles sur plusieurs périodes, dont une période de baisse, et ajouter des variables externes comme le dollar ou les taux d’intérêt.</w:t>
      </w:r>
    </w:p>
    <w:p w14:paraId="5BF27DD5">
      <w:pPr>
        <w:sectPr>
          <w:footerReference r:id="rId5" w:type="default"/>
          <w:pgSz w:w="11906" w:h="16838"/>
          <w:pgMar w:top="1134" w:right="1134" w:bottom="1134" w:left="1134" w:header="567" w:footer="567" w:gutter="0"/>
          <w:cols w:space="720" w:num="1"/>
          <w:docGrid w:linePitch="360" w:charSpace="0"/>
        </w:sectPr>
      </w:pPr>
    </w:p>
    <w:p w14:paraId="28C9A846">
      <w:pPr>
        <w:pStyle w:val="2"/>
        <w:keepNext/>
        <w:spacing w:before="360" w:after="200"/>
      </w:pPr>
      <w:r>
        <w:t>Annexes</w:t>
      </w:r>
    </w:p>
    <w:p w14:paraId="570E4DA1">
      <w:pPr>
        <w:spacing w:after="120" w:line="276" w:lineRule="auto"/>
        <w:jc w:val="both"/>
      </w:pPr>
      <w:r>
        <w:t>Les annexes contiennent les prompts envoyés au LLM et l’organisation du dépôt.</w:t>
      </w:r>
    </w:p>
    <w:p w14:paraId="1E1E46A0">
      <w:pPr>
        <w:pStyle w:val="3"/>
        <w:keepNext/>
      </w:pPr>
      <w:r>
        <w:t>Annexe A. Prompts envoyés au LLM</w:t>
      </w:r>
    </w:p>
    <w:p w14:paraId="23594EC6">
      <w:pPr>
        <w:spacing w:after="120" w:line="276" w:lineRule="auto"/>
        <w:jc w:val="both"/>
      </w:pPr>
      <w:r>
        <w:t xml:space="preserve">Les grilles de critique du groupe (04, 07 et 10) et la synthèse (01) sont dans </w:t>
      </w:r>
      <w:r>
        <w:rPr>
          <w:rFonts w:ascii="Consolas" w:hAnsi="Consolas" w:eastAsia="Consolas" w:cs="Consolas"/>
          <w:sz w:val="20"/>
          <w:szCs w:val="20"/>
        </w:rPr>
        <w:t>reports/llm/</w:t>
      </w:r>
      <w:r>
        <w:t>. Les tableaux de chiffres des prompts 2 et 3 sont ceux de la section 6 et sont abrégés ici ; les réponses du LLM sont reproduites en entier.</w:t>
      </w:r>
    </w:p>
    <w:p w14:paraId="00EFD994">
      <w:pPr>
        <w:pStyle w:val="4"/>
        <w:keepNext/>
      </w:pPr>
      <w:r>
        <w:t>A.1. Hypothèses de modèles (02_prompt_hypotheses.txt)</w:t>
      </w:r>
    </w:p>
    <w:p w14:paraId="45BCE429">
      <w:pPr>
        <w:spacing w:after="120" w:line="276" w:lineRule="auto"/>
        <w:jc w:val="both"/>
      </w:pPr>
      <w:r>
        <w:rPr>
          <w:b/>
          <w:bCs/>
          <w:sz w:val="20"/>
          <w:szCs w:val="20"/>
        </w:rPr>
        <w:t>Prompt :</w:t>
      </w:r>
    </w:p>
    <w:p w14:paraId="3903FBAF">
      <w:pPr>
        <w:shd w:val="clear" w:color="auto" w:fill="F4F6F9"/>
        <w:spacing w:after="0" w:line="220" w:lineRule="auto"/>
      </w:pPr>
      <w:r>
        <w:rPr>
          <w:rFonts w:ascii="Consolas" w:hAnsi="Consolas" w:eastAsia="Consolas" w:cs="Consolas"/>
          <w:sz w:val="15"/>
          <w:szCs w:val="15"/>
        </w:rPr>
        <w:t>Je réalise un projet de séries temporelles sur GLD et SLV,</w:t>
      </w:r>
    </w:p>
    <w:p w14:paraId="4FD4F25E">
      <w:pPr>
        <w:shd w:val="clear" w:color="auto" w:fill="F4F6F9"/>
        <w:spacing w:after="0" w:line="220" w:lineRule="auto"/>
      </w:pPr>
      <w:r>
        <w:rPr>
          <w:rFonts w:ascii="Consolas" w:hAnsi="Consolas" w:eastAsia="Consolas" w:cs="Consolas"/>
          <w:sz w:val="15"/>
          <w:szCs w:val="15"/>
        </w:rPr>
        <w:t>deux instruments donnant une exposition à l’or et à l’argent.</w:t>
      </w:r>
    </w:p>
    <w:p w14:paraId="74507047">
      <w:pPr>
        <w:shd w:val="clear" w:color="auto" w:fill="F4F6F9"/>
        <w:spacing w:after="0" w:line="220" w:lineRule="auto"/>
      </w:pPr>
      <w:r>
        <w:rPr>
          <w:rFonts w:ascii="Consolas" w:hAnsi="Consolas" w:eastAsia="Consolas" w:cs="Consolas"/>
          <w:sz w:val="15"/>
          <w:szCs w:val="15"/>
        </w:rPr>
        <w:t xml:space="preserve"> </w:t>
      </w:r>
    </w:p>
    <w:p w14:paraId="6B2DF809">
      <w:pPr>
        <w:shd w:val="clear" w:color="auto" w:fill="F4F6F9"/>
        <w:spacing w:after="0" w:line="220" w:lineRule="auto"/>
      </w:pPr>
      <w:r>
        <w:rPr>
          <w:rFonts w:ascii="Consolas" w:hAnsi="Consolas" w:eastAsia="Consolas" w:cs="Consolas"/>
          <w:sz w:val="15"/>
          <w:szCs w:val="15"/>
        </w:rPr>
        <w:t>Les observations sont quotidiennes, par séance boursière.</w:t>
      </w:r>
    </w:p>
    <w:p w14:paraId="27388BB2">
      <w:pPr>
        <w:shd w:val="clear" w:color="auto" w:fill="F4F6F9"/>
        <w:spacing w:after="0" w:line="220" w:lineRule="auto"/>
      </w:pPr>
      <w:r>
        <w:rPr>
          <w:rFonts w:ascii="Consolas" w:hAnsi="Consolas" w:eastAsia="Consolas" w:cs="Consolas"/>
          <w:sz w:val="15"/>
          <w:szCs w:val="15"/>
        </w:rPr>
        <w:t>L’historique couvre 2010–2025 et les derniers 10 % sont réservés</w:t>
      </w:r>
    </w:p>
    <w:p w14:paraId="0EC0887F">
      <w:pPr>
        <w:shd w:val="clear" w:color="auto" w:fill="F4F6F9"/>
        <w:spacing w:after="0" w:line="220" w:lineRule="auto"/>
      </w:pPr>
      <w:r>
        <w:rPr>
          <w:rFonts w:ascii="Consolas" w:hAnsi="Consolas" w:eastAsia="Consolas" w:cs="Consolas"/>
          <w:sz w:val="15"/>
          <w:szCs w:val="15"/>
        </w:rPr>
        <w:t>au test. Les tableaux ci-dessous concernent uniquement</w:t>
      </w:r>
    </w:p>
    <w:p w14:paraId="4564FB77">
      <w:pPr>
        <w:shd w:val="clear" w:color="auto" w:fill="F4F6F9"/>
        <w:spacing w:after="0" w:line="220" w:lineRule="auto"/>
      </w:pPr>
      <w:r>
        <w:rPr>
          <w:rFonts w:ascii="Consolas" w:hAnsi="Consolas" w:eastAsia="Consolas" w:cs="Consolas"/>
          <w:sz w:val="15"/>
          <w:szCs w:val="15"/>
        </w:rPr>
        <w:t>la période d’apprentissage.</w:t>
      </w:r>
    </w:p>
    <w:p w14:paraId="0F71C4E1">
      <w:pPr>
        <w:shd w:val="clear" w:color="auto" w:fill="F4F6F9"/>
        <w:spacing w:after="0" w:line="220" w:lineRule="auto"/>
      </w:pPr>
      <w:r>
        <w:rPr>
          <w:rFonts w:ascii="Consolas" w:hAnsi="Consolas" w:eastAsia="Consolas" w:cs="Consolas"/>
          <w:sz w:val="15"/>
          <w:szCs w:val="15"/>
        </w:rPr>
        <w:t xml:space="preserve"> </w:t>
      </w:r>
    </w:p>
    <w:p w14:paraId="6AA8DDA2">
      <w:pPr>
        <w:shd w:val="clear" w:color="auto" w:fill="F4F6F9"/>
        <w:spacing w:after="0" w:line="220" w:lineRule="auto"/>
      </w:pPr>
      <w:r>
        <w:rPr>
          <w:rFonts w:ascii="Consolas" w:hAnsi="Consolas" w:eastAsia="Consolas" w:cs="Consolas"/>
          <w:sz w:val="15"/>
          <w:szCs w:val="15"/>
        </w:rPr>
        <w:t>Les rendements sont calculés comme :</w:t>
      </w:r>
    </w:p>
    <w:p w14:paraId="4D78D416">
      <w:pPr>
        <w:shd w:val="clear" w:color="auto" w:fill="F4F6F9"/>
        <w:spacing w:after="0" w:line="220" w:lineRule="auto"/>
      </w:pPr>
      <w:r>
        <w:rPr>
          <w:rFonts w:ascii="Consolas" w:hAnsi="Consolas" w:eastAsia="Consolas" w:cs="Consolas"/>
          <w:sz w:val="15"/>
          <w:szCs w:val="15"/>
        </w:rPr>
        <w:t>100 × différence du logarithme des prix ajustés.</w:t>
      </w:r>
    </w:p>
    <w:p w14:paraId="7BCA08FD">
      <w:pPr>
        <w:shd w:val="clear" w:color="auto" w:fill="F4F6F9"/>
        <w:spacing w:after="0" w:line="220" w:lineRule="auto"/>
      </w:pPr>
      <w:r>
        <w:rPr>
          <w:rFonts w:ascii="Consolas" w:hAnsi="Consolas" w:eastAsia="Consolas" w:cs="Consolas"/>
          <w:sz w:val="15"/>
          <w:szCs w:val="15"/>
        </w:rPr>
        <w:t>La kurtosis présentée est un excès de kurtosis.</w:t>
      </w:r>
    </w:p>
    <w:p w14:paraId="26A09C6C">
      <w:pPr>
        <w:shd w:val="clear" w:color="auto" w:fill="F4F6F9"/>
        <w:spacing w:after="0" w:line="220" w:lineRule="auto"/>
      </w:pPr>
      <w:r>
        <w:rPr>
          <w:rFonts w:ascii="Consolas" w:hAnsi="Consolas" w:eastAsia="Consolas" w:cs="Consolas"/>
          <w:sz w:val="15"/>
          <w:szCs w:val="15"/>
        </w:rPr>
        <w:t xml:space="preserve"> </w:t>
      </w:r>
    </w:p>
    <w:p w14:paraId="2329A121">
      <w:pPr>
        <w:shd w:val="clear" w:color="auto" w:fill="F4F6F9"/>
        <w:spacing w:after="0" w:line="220" w:lineRule="auto"/>
      </w:pPr>
      <w:r>
        <w:rPr>
          <w:rFonts w:ascii="Consolas" w:hAnsi="Consolas" w:eastAsia="Consolas" w:cs="Consolas"/>
          <w:sz w:val="15"/>
          <w:szCs w:val="15"/>
        </w:rPr>
        <w:t>STATISTIQUES DES RENDEMENTS</w:t>
      </w:r>
    </w:p>
    <w:p w14:paraId="5A83948E">
      <w:pPr>
        <w:shd w:val="clear" w:color="auto" w:fill="F4F6F9"/>
        <w:spacing w:after="0" w:line="220" w:lineRule="auto"/>
      </w:pPr>
      <w:r>
        <w:rPr>
          <w:rFonts w:ascii="Consolas" w:hAnsi="Consolas" w:eastAsia="Consolas" w:cs="Consolas"/>
          <w:sz w:val="15"/>
          <w:szCs w:val="15"/>
        </w:rPr>
        <w:t xml:space="preserve">     Moyenne (%)  Écart-type (%)  Variance  Minimum (%)  Maximum (%)  Asymétrie  Excès de kurtosis</w:t>
      </w:r>
    </w:p>
    <w:p w14:paraId="2119E330">
      <w:pPr>
        <w:shd w:val="clear" w:color="auto" w:fill="F4F6F9"/>
        <w:spacing w:after="0" w:line="220" w:lineRule="auto"/>
      </w:pPr>
      <w:r>
        <w:rPr>
          <w:rFonts w:ascii="Consolas" w:hAnsi="Consolas" w:eastAsia="Consolas" w:cs="Consolas"/>
          <w:sz w:val="15"/>
          <w:szCs w:val="15"/>
        </w:rPr>
        <w:t>GLD     0.019212        0.977263  0.955044    -9.190507     4.787391  -0.501465           4.995916</w:t>
      </w:r>
    </w:p>
    <w:p w14:paraId="1368A877">
      <w:pPr>
        <w:shd w:val="clear" w:color="auto" w:fill="F4F6F9"/>
        <w:spacing w:after="0" w:line="220" w:lineRule="auto"/>
      </w:pPr>
      <w:r>
        <w:rPr>
          <w:rFonts w:ascii="Consolas" w:hAnsi="Consolas" w:eastAsia="Consolas" w:cs="Consolas"/>
          <w:sz w:val="15"/>
          <w:szCs w:val="15"/>
        </w:rPr>
        <w:t>SLV     0.013629        1.820814  3.315364   -15.252920     8.748747  -0.716639           7.079888</w:t>
      </w:r>
    </w:p>
    <w:p w14:paraId="759605AA">
      <w:pPr>
        <w:shd w:val="clear" w:color="auto" w:fill="F4F6F9"/>
        <w:spacing w:after="0" w:line="220" w:lineRule="auto"/>
      </w:pPr>
      <w:r>
        <w:rPr>
          <w:rFonts w:ascii="Consolas" w:hAnsi="Consolas" w:eastAsia="Consolas" w:cs="Consolas"/>
          <w:sz w:val="15"/>
          <w:szCs w:val="15"/>
        </w:rPr>
        <w:t xml:space="preserve"> </w:t>
      </w:r>
    </w:p>
    <w:p w14:paraId="0839D2C0">
      <w:pPr>
        <w:shd w:val="clear" w:color="auto" w:fill="F4F6F9"/>
        <w:spacing w:after="0" w:line="220" w:lineRule="auto"/>
      </w:pPr>
      <w:r>
        <w:rPr>
          <w:rFonts w:ascii="Consolas" w:hAnsi="Consolas" w:eastAsia="Consolas" w:cs="Consolas"/>
          <w:sz w:val="15"/>
          <w:szCs w:val="15"/>
        </w:rPr>
        <w:t>TESTS DE STATIONNARITÉ</w:t>
      </w:r>
    </w:p>
    <w:p w14:paraId="2C9A0441">
      <w:pPr>
        <w:shd w:val="clear" w:color="auto" w:fill="F4F6F9"/>
        <w:spacing w:after="0" w:line="220" w:lineRule="auto"/>
      </w:pPr>
      <w:r>
        <w:rPr>
          <w:rFonts w:ascii="Consolas" w:hAnsi="Consolas" w:eastAsia="Consolas" w:cs="Consolas"/>
          <w:sz w:val="15"/>
          <w:szCs w:val="15"/>
        </w:rPr>
        <w:t>Actif     Série Spécification  ADF statistique  ADF p-value  ADF retards  KPSS statistique  KPSS p-value  KPSS retards</w:t>
      </w:r>
    </w:p>
    <w:p w14:paraId="3D49D8E5">
      <w:pPr>
        <w:shd w:val="clear" w:color="auto" w:fill="F4F6F9"/>
        <w:spacing w:after="0" w:line="220" w:lineRule="auto"/>
      </w:pPr>
      <w:r>
        <w:rPr>
          <w:rFonts w:ascii="Consolas" w:hAnsi="Consolas" w:eastAsia="Consolas" w:cs="Consolas"/>
          <w:sz w:val="15"/>
          <w:szCs w:val="15"/>
        </w:rPr>
        <w:t xml:space="preserve">  GLD  Log-prix             c        -0.969130     0.764356            0          3.438896          0.01            38</w:t>
      </w:r>
    </w:p>
    <w:p w14:paraId="6078BF48">
      <w:pPr>
        <w:shd w:val="clear" w:color="auto" w:fill="F4F6F9"/>
        <w:spacing w:after="0" w:line="220" w:lineRule="auto"/>
      </w:pPr>
      <w:r>
        <w:rPr>
          <w:rFonts w:ascii="Consolas" w:hAnsi="Consolas" w:eastAsia="Consolas" w:cs="Consolas"/>
          <w:sz w:val="15"/>
          <w:szCs w:val="15"/>
        </w:rPr>
        <w:t xml:space="preserve">  GLD  Log-prix            ct        -1.463296     0.841364            0          1.535507          0.01            38</w:t>
      </w:r>
    </w:p>
    <w:p w14:paraId="2D2BEBC5">
      <w:pPr>
        <w:shd w:val="clear" w:color="auto" w:fill="F4F6F9"/>
        <w:spacing w:after="0" w:line="220" w:lineRule="auto"/>
      </w:pPr>
      <w:r>
        <w:rPr>
          <w:rFonts w:ascii="Consolas" w:hAnsi="Consolas" w:eastAsia="Consolas" w:cs="Consolas"/>
          <w:sz w:val="15"/>
          <w:szCs w:val="15"/>
        </w:rPr>
        <w:t xml:space="preserve">  GLD Rendement             c       -60.607564     0.000000            0          0.138119          0.10             5</w:t>
      </w:r>
    </w:p>
    <w:p w14:paraId="2ECB40C0">
      <w:pPr>
        <w:shd w:val="clear" w:color="auto" w:fill="F4F6F9"/>
        <w:spacing w:after="0" w:line="220" w:lineRule="auto"/>
      </w:pPr>
      <w:r>
        <w:rPr>
          <w:rFonts w:ascii="Consolas" w:hAnsi="Consolas" w:eastAsia="Consolas" w:cs="Consolas"/>
          <w:sz w:val="15"/>
          <w:szCs w:val="15"/>
        </w:rPr>
        <w:t xml:space="preserve">  SLV  Log-prix             c        -1.849578     0.356140            0          1.969996          0.01            38</w:t>
      </w:r>
    </w:p>
    <w:p w14:paraId="204DBDA1">
      <w:pPr>
        <w:shd w:val="clear" w:color="auto" w:fill="F4F6F9"/>
        <w:spacing w:after="0" w:line="220" w:lineRule="auto"/>
      </w:pPr>
      <w:r>
        <w:rPr>
          <w:rFonts w:ascii="Consolas" w:hAnsi="Consolas" w:eastAsia="Consolas" w:cs="Consolas"/>
          <w:sz w:val="15"/>
          <w:szCs w:val="15"/>
        </w:rPr>
        <w:t xml:space="preserve">  SLV  Log-prix            ct        -1.823687     0.693226            0          1.308746          0.01            38</w:t>
      </w:r>
    </w:p>
    <w:p w14:paraId="3C5EFD6E">
      <w:pPr>
        <w:shd w:val="clear" w:color="auto" w:fill="F4F6F9"/>
        <w:spacing w:after="0" w:line="220" w:lineRule="auto"/>
      </w:pPr>
      <w:r>
        <w:rPr>
          <w:rFonts w:ascii="Consolas" w:hAnsi="Consolas" w:eastAsia="Consolas" w:cs="Consolas"/>
          <w:sz w:val="15"/>
          <w:szCs w:val="15"/>
        </w:rPr>
        <w:t xml:space="preserve">  SLV Rendement             c       -59.032185     0.000000            0          0.100892          0.10             2</w:t>
      </w:r>
    </w:p>
    <w:p w14:paraId="33327273">
      <w:pPr>
        <w:shd w:val="clear" w:color="auto" w:fill="F4F6F9"/>
        <w:spacing w:after="0" w:line="220" w:lineRule="auto"/>
      </w:pPr>
      <w:r>
        <w:rPr>
          <w:rFonts w:ascii="Consolas" w:hAnsi="Consolas" w:eastAsia="Consolas" w:cs="Consolas"/>
          <w:sz w:val="15"/>
          <w:szCs w:val="15"/>
        </w:rPr>
        <w:t xml:space="preserve"> </w:t>
      </w:r>
    </w:p>
    <w:p w14:paraId="2D872375">
      <w:pPr>
        <w:shd w:val="clear" w:color="auto" w:fill="F4F6F9"/>
        <w:spacing w:after="0" w:line="220" w:lineRule="auto"/>
      </w:pPr>
      <w:r>
        <w:rPr>
          <w:rFonts w:ascii="Consolas" w:hAnsi="Consolas" w:eastAsia="Consolas" w:cs="Consolas"/>
          <w:sz w:val="15"/>
          <w:szCs w:val="15"/>
        </w:rPr>
        <w:t>À partir de ces informations :</w:t>
      </w:r>
    </w:p>
    <w:p w14:paraId="1F8AEB1C">
      <w:pPr>
        <w:shd w:val="clear" w:color="auto" w:fill="F4F6F9"/>
        <w:spacing w:after="0" w:line="220" w:lineRule="auto"/>
      </w:pPr>
      <w:r>
        <w:rPr>
          <w:rFonts w:ascii="Consolas" w:hAnsi="Consolas" w:eastAsia="Consolas" w:cs="Consolas"/>
          <w:sz w:val="15"/>
          <w:szCs w:val="15"/>
        </w:rPr>
        <w:t>1. Propose des hypothèses de modèles de moyenne et de volatilité</w:t>
      </w:r>
    </w:p>
    <w:p w14:paraId="6C38A639">
      <w:pPr>
        <w:shd w:val="clear" w:color="auto" w:fill="F4F6F9"/>
        <w:spacing w:after="0" w:line="220" w:lineRule="auto"/>
      </w:pPr>
      <w:r>
        <w:rPr>
          <w:rFonts w:ascii="Consolas" w:hAnsi="Consolas" w:eastAsia="Consolas" w:cs="Consolas"/>
          <w:sz w:val="15"/>
          <w:szCs w:val="15"/>
        </w:rPr>
        <w:t xml:space="preserve">   à tester, en justifiant chaque proposition.</w:t>
      </w:r>
    </w:p>
    <w:p w14:paraId="7936B0F9">
      <w:pPr>
        <w:shd w:val="clear" w:color="auto" w:fill="F4F6F9"/>
        <w:spacing w:after="0" w:line="220" w:lineRule="auto"/>
      </w:pPr>
      <w:r>
        <w:rPr>
          <w:rFonts w:ascii="Consolas" w:hAnsi="Consolas" w:eastAsia="Consolas" w:cs="Consolas"/>
          <w:sz w:val="15"/>
          <w:szCs w:val="15"/>
        </w:rPr>
        <w:t>2. Précise les diagnostics supplémentaires nécessaires avant</w:t>
      </w:r>
    </w:p>
    <w:p w14:paraId="452632A5">
      <w:pPr>
        <w:shd w:val="clear" w:color="auto" w:fill="F4F6F9"/>
        <w:spacing w:after="0" w:line="220" w:lineRule="auto"/>
      </w:pPr>
      <w:r>
        <w:rPr>
          <w:rFonts w:ascii="Consolas" w:hAnsi="Consolas" w:eastAsia="Consolas" w:cs="Consolas"/>
          <w:sz w:val="15"/>
          <w:szCs w:val="15"/>
        </w:rPr>
        <w:t xml:space="preserve">   de retenir ARIMA, SARIMA, VAR, VECM ou GARCH.</w:t>
      </w:r>
    </w:p>
    <w:p w14:paraId="4323F2BD">
      <w:pPr>
        <w:shd w:val="clear" w:color="auto" w:fill="F4F6F9"/>
        <w:spacing w:after="0" w:line="220" w:lineRule="auto"/>
      </w:pPr>
      <w:r>
        <w:rPr>
          <w:rFonts w:ascii="Consolas" w:hAnsi="Consolas" w:eastAsia="Consolas" w:cs="Consolas"/>
          <w:sz w:val="15"/>
          <w:szCs w:val="15"/>
        </w:rPr>
        <w:t>3. Explique comment comparer LSTM et GRU aux modèles classiques</w:t>
      </w:r>
    </w:p>
    <w:p w14:paraId="7A326909">
      <w:pPr>
        <w:shd w:val="clear" w:color="auto" w:fill="F4F6F9"/>
        <w:spacing w:after="0" w:line="220" w:lineRule="auto"/>
      </w:pPr>
      <w:r>
        <w:rPr>
          <w:rFonts w:ascii="Consolas" w:hAnsi="Consolas" w:eastAsia="Consolas" w:cs="Consolas"/>
          <w:sz w:val="15"/>
          <w:szCs w:val="15"/>
        </w:rPr>
        <w:t xml:space="preserve">   sans fuite d’information.</w:t>
      </w:r>
    </w:p>
    <w:p w14:paraId="5F9799C8">
      <w:pPr>
        <w:shd w:val="clear" w:color="auto" w:fill="F4F6F9"/>
        <w:spacing w:after="0" w:line="220" w:lineRule="auto"/>
      </w:pPr>
      <w:r>
        <w:rPr>
          <w:rFonts w:ascii="Consolas" w:hAnsi="Consolas" w:eastAsia="Consolas" w:cs="Consolas"/>
          <w:sz w:val="15"/>
          <w:szCs w:val="15"/>
        </w:rPr>
        <w:t>4. Distingue les conclusions soutenues par les tableaux des</w:t>
      </w:r>
    </w:p>
    <w:p w14:paraId="36C97CA7">
      <w:pPr>
        <w:shd w:val="clear" w:color="auto" w:fill="F4F6F9"/>
        <w:spacing w:after="0" w:line="220" w:lineRule="auto"/>
      </w:pPr>
      <w:r>
        <w:rPr>
          <w:rFonts w:ascii="Consolas" w:hAnsi="Consolas" w:eastAsia="Consolas" w:cs="Consolas"/>
          <w:sz w:val="15"/>
          <w:szCs w:val="15"/>
        </w:rPr>
        <w:t xml:space="preserve">   hypothèses qui restent à vérifier.</w:t>
      </w:r>
    </w:p>
    <w:p w14:paraId="693B6FA2">
      <w:pPr>
        <w:shd w:val="clear" w:color="auto" w:fill="F4F6F9"/>
        <w:spacing w:after="0" w:line="220" w:lineRule="auto"/>
      </w:pPr>
      <w:r>
        <w:rPr>
          <w:rFonts w:ascii="Consolas" w:hAnsi="Consolas" w:eastAsia="Consolas" w:cs="Consolas"/>
          <w:sz w:val="15"/>
          <w:szCs w:val="15"/>
        </w:rPr>
        <w:t xml:space="preserve"> </w:t>
      </w:r>
    </w:p>
    <w:p w14:paraId="7EEC394E">
      <w:pPr>
        <w:shd w:val="clear" w:color="auto" w:fill="F4F6F9"/>
        <w:spacing w:after="0" w:line="220" w:lineRule="auto"/>
      </w:pPr>
      <w:r>
        <w:rPr>
          <w:rFonts w:ascii="Consolas" w:hAnsi="Consolas" w:eastAsia="Consolas" w:cs="Consolas"/>
          <w:sz w:val="15"/>
          <w:szCs w:val="15"/>
        </w:rPr>
        <w:t>N’invente aucun résultat, aucune p-value ni aucune causalité.</w:t>
      </w:r>
    </w:p>
    <w:p w14:paraId="5D52416B">
      <w:pPr>
        <w:shd w:val="clear" w:color="auto" w:fill="F4F6F9"/>
        <w:spacing w:after="0" w:line="220" w:lineRule="auto"/>
      </w:pPr>
      <w:r>
        <w:rPr>
          <w:rFonts w:ascii="Consolas" w:hAnsi="Consolas" w:eastAsia="Consolas" w:cs="Consolas"/>
          <w:sz w:val="15"/>
          <w:szCs w:val="15"/>
        </w:rPr>
        <w:t>Ne suppose pas une saisonnalité ou une cointégration non testée.</w:t>
      </w:r>
    </w:p>
    <w:p w14:paraId="02DE4BC0">
      <w:pPr>
        <w:shd w:val="clear" w:color="auto" w:fill="F4F6F9"/>
        <w:spacing w:after="0" w:line="220" w:lineRule="auto"/>
      </w:pPr>
      <w:r>
        <w:rPr>
          <w:rFonts w:ascii="Consolas" w:hAnsi="Consolas" w:eastAsia="Consolas" w:cs="Consolas"/>
          <w:sz w:val="15"/>
          <w:szCs w:val="15"/>
        </w:rPr>
        <w:t>Ne formule pas de recommandation d’investissement à cette étape.</w:t>
      </w:r>
    </w:p>
    <w:p w14:paraId="433AC04A">
      <w:pPr>
        <w:spacing w:after="120" w:line="276" w:lineRule="auto"/>
        <w:jc w:val="both"/>
      </w:pPr>
      <w:r>
        <w:rPr>
          <w:b/>
          <w:bCs/>
          <w:sz w:val="20"/>
          <w:szCs w:val="20"/>
        </w:rPr>
        <w:t>Réponse du LLM (03_reponse_hypotheses.md) :</w:t>
      </w:r>
    </w:p>
    <w:p w14:paraId="02AFA2DA">
      <w:pPr>
        <w:spacing w:after="80" w:line="250" w:lineRule="auto"/>
        <w:jc w:val="both"/>
      </w:pPr>
      <w:r>
        <w:rPr>
          <w:i/>
          <w:iCs/>
          <w:sz w:val="19"/>
          <w:szCs w:val="19"/>
        </w:rPr>
        <w:t>Les tableaux soutiennent une modélisation des log-prix avec une première différenciation et des rendements sans différenciation supplémentaire. Ils motivent aussi l’étude de distributions à queues épaisses. Ils ne suffisent pas à choisir les ordres des modèles ni à établir la présence d’effets GARCH.</w:t>
      </w:r>
    </w:p>
    <w:p w14:paraId="62E86436">
      <w:pPr>
        <w:spacing w:before="120" w:after="40"/>
      </w:pPr>
      <w:r>
        <w:rPr>
          <w:b/>
          <w:bCs/>
          <w:color w:val="1F3864"/>
          <w:sz w:val="20"/>
          <w:szCs w:val="20"/>
        </w:rPr>
        <w:t>1. Hypothèses de modèles à tester</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3"/>
        <w:gridCol w:w="3662"/>
        <w:gridCol w:w="4723"/>
      </w:tblGrid>
      <w:tr w14:paraId="104E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53"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43CE6448">
            <w:pPr>
              <w:keepNext/>
              <w:spacing w:after="0" w:line="240" w:lineRule="auto"/>
              <w:jc w:val="left"/>
            </w:pPr>
            <w:r>
              <w:rPr>
                <w:b/>
                <w:bCs/>
                <w:color w:val="FFFFFF"/>
                <w:sz w:val="15"/>
                <w:szCs w:val="15"/>
              </w:rPr>
              <w:t>Composante</w:t>
            </w:r>
          </w:p>
        </w:tc>
        <w:tc>
          <w:tcPr>
            <w:tcW w:w="3662"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71E3D9A">
            <w:pPr>
              <w:keepNext/>
              <w:spacing w:after="0" w:line="240" w:lineRule="auto"/>
              <w:jc w:val="left"/>
            </w:pPr>
            <w:r>
              <w:rPr>
                <w:b/>
                <w:bCs/>
                <w:color w:val="FFFFFF"/>
                <w:sz w:val="15"/>
                <w:szCs w:val="15"/>
              </w:rPr>
              <w:t>Candidats</w:t>
            </w:r>
          </w:p>
        </w:tc>
        <w:tc>
          <w:tcPr>
            <w:tcW w:w="4723"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E653203">
            <w:pPr>
              <w:keepNext/>
              <w:spacing w:after="0" w:line="240" w:lineRule="auto"/>
              <w:jc w:val="left"/>
            </w:pPr>
            <w:r>
              <w:rPr>
                <w:b/>
                <w:bCs/>
                <w:color w:val="FFFFFF"/>
                <w:sz w:val="15"/>
                <w:szCs w:val="15"/>
              </w:rPr>
              <w:t>Justification</w:t>
            </w:r>
          </w:p>
        </w:tc>
      </w:tr>
      <w:tr w14:paraId="3071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D2C53C1">
            <w:pPr>
              <w:keepNext/>
              <w:spacing w:after="0" w:line="240" w:lineRule="auto"/>
              <w:jc w:val="left"/>
            </w:pPr>
            <w:r>
              <w:rPr>
                <w:sz w:val="15"/>
                <w:szCs w:val="15"/>
              </w:rPr>
              <w:t>Moyenne univariée</w:t>
            </w:r>
          </w:p>
        </w:tc>
        <w:tc>
          <w:tcPr>
            <w:tcW w:w="366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C7C2C24">
            <w:pPr>
              <w:keepNext/>
              <w:spacing w:after="0" w:line="240" w:lineRule="auto"/>
              <w:jc w:val="left"/>
            </w:pPr>
            <w:r>
              <w:rPr>
                <w:sz w:val="15"/>
                <w:szCs w:val="15"/>
              </w:rPr>
              <w:t>ARIMA(0,1,0) sur les log-prix, avec et sans dérive</w:t>
            </w:r>
          </w:p>
        </w:tc>
        <w:tc>
          <w:tcPr>
            <w:tcW w:w="472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5A46D0E">
            <w:pPr>
              <w:keepNext/>
              <w:spacing w:after="0" w:line="240" w:lineRule="auto"/>
              <w:jc w:val="left"/>
            </w:pPr>
            <w:r>
              <w:rPr>
                <w:sz w:val="15"/>
                <w:szCs w:val="15"/>
              </w:rPr>
              <w:t>Référence simple compatible avec les résultats de stationnarité</w:t>
            </w:r>
          </w:p>
        </w:tc>
      </w:tr>
      <w:tr w14:paraId="2EF4C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29A755F">
            <w:pPr>
              <w:keepNext/>
              <w:spacing w:after="0" w:line="240" w:lineRule="auto"/>
              <w:jc w:val="left"/>
            </w:pPr>
            <w:r>
              <w:rPr>
                <w:sz w:val="15"/>
                <w:szCs w:val="15"/>
              </w:rPr>
              <w:t>Dépendance des rendements</w:t>
            </w:r>
          </w:p>
        </w:tc>
        <w:tc>
          <w:tcPr>
            <w:tcW w:w="366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58393C5">
            <w:pPr>
              <w:keepNext/>
              <w:spacing w:after="0" w:line="240" w:lineRule="auto"/>
              <w:jc w:val="left"/>
            </w:pPr>
            <w:r>
              <w:rPr>
                <w:sz w:val="15"/>
                <w:szCs w:val="15"/>
              </w:rPr>
              <w:t>Petits modèles ARMA(p,q), équivalents à des ARIMA(p,1,q) des log-prix</w:t>
            </w:r>
          </w:p>
        </w:tc>
        <w:tc>
          <w:tcPr>
            <w:tcW w:w="472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7AE53A2">
            <w:pPr>
              <w:keepNext/>
              <w:spacing w:after="0" w:line="240" w:lineRule="auto"/>
              <w:jc w:val="left"/>
            </w:pPr>
            <w:r>
              <w:rPr>
                <w:sz w:val="15"/>
                <w:szCs w:val="15"/>
              </w:rPr>
              <w:t>À tester si les ACF/PACF révèlent une dépendance temporelle</w:t>
            </w:r>
          </w:p>
        </w:tc>
      </w:tr>
      <w:tr w14:paraId="0C39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801D9CF">
            <w:pPr>
              <w:keepNext/>
              <w:spacing w:after="0" w:line="240" w:lineRule="auto"/>
              <w:jc w:val="left"/>
            </w:pPr>
            <w:r>
              <w:rPr>
                <w:sz w:val="15"/>
                <w:szCs w:val="15"/>
              </w:rPr>
              <w:t>Moyenne multivariée</w:t>
            </w:r>
          </w:p>
        </w:tc>
        <w:tc>
          <w:tcPr>
            <w:tcW w:w="366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A3A0278">
            <w:pPr>
              <w:keepNext/>
              <w:spacing w:after="0" w:line="240" w:lineRule="auto"/>
              <w:jc w:val="left"/>
            </w:pPr>
            <w:r>
              <w:rPr>
                <w:sz w:val="15"/>
                <w:szCs w:val="15"/>
              </w:rPr>
              <w:t>VAR sur les rendements de GLD et SLV</w:t>
            </w:r>
          </w:p>
        </w:tc>
        <w:tc>
          <w:tcPr>
            <w:tcW w:w="472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E58B812">
            <w:pPr>
              <w:keepNext/>
              <w:spacing w:after="0" w:line="240" w:lineRule="auto"/>
              <w:jc w:val="left"/>
            </w:pPr>
            <w:r>
              <w:rPr>
                <w:sz w:val="15"/>
                <w:szCs w:val="15"/>
              </w:rPr>
              <w:t>Permet de tester une information prédictive croisée, non établie par les tableaux</w:t>
            </w:r>
          </w:p>
        </w:tc>
      </w:tr>
      <w:tr w14:paraId="4B97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67E922D">
            <w:pPr>
              <w:keepNext/>
              <w:spacing w:after="0" w:line="240" w:lineRule="auto"/>
              <w:jc w:val="left"/>
            </w:pPr>
            <w:r>
              <w:rPr>
                <w:sz w:val="15"/>
                <w:szCs w:val="15"/>
              </w:rPr>
              <w:t>Relation de long terme</w:t>
            </w:r>
          </w:p>
        </w:tc>
        <w:tc>
          <w:tcPr>
            <w:tcW w:w="366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9F8789A">
            <w:pPr>
              <w:keepNext/>
              <w:spacing w:after="0" w:line="240" w:lineRule="auto"/>
              <w:jc w:val="left"/>
            </w:pPr>
            <w:r>
              <w:rPr>
                <w:sz w:val="15"/>
                <w:szCs w:val="15"/>
              </w:rPr>
              <w:t>VECM, uniquement si une cointégration est détectée</w:t>
            </w:r>
          </w:p>
        </w:tc>
        <w:tc>
          <w:tcPr>
            <w:tcW w:w="472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7CACE3A">
            <w:pPr>
              <w:keepNext/>
              <w:spacing w:after="0" w:line="240" w:lineRule="auto"/>
              <w:jc w:val="left"/>
            </w:pPr>
            <w:r>
              <w:rPr>
                <w:sz w:val="15"/>
                <w:szCs w:val="15"/>
              </w:rPr>
              <w:t>La non-stationnarité individuelle ne démontre pas une relation d’équilibre</w:t>
            </w:r>
          </w:p>
        </w:tc>
      </w:tr>
      <w:tr w14:paraId="0928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27CA23C">
            <w:pPr>
              <w:keepNext/>
              <w:spacing w:after="0" w:line="240" w:lineRule="auto"/>
              <w:jc w:val="left"/>
            </w:pPr>
            <w:r>
              <w:rPr>
                <w:sz w:val="15"/>
                <w:szCs w:val="15"/>
              </w:rPr>
              <w:t>Volatilité</w:t>
            </w:r>
          </w:p>
        </w:tc>
        <w:tc>
          <w:tcPr>
            <w:tcW w:w="3662"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59115EF">
            <w:pPr>
              <w:keepNext/>
              <w:spacing w:after="0" w:line="240" w:lineRule="auto"/>
              <w:jc w:val="left"/>
            </w:pPr>
            <w:r>
              <w:rPr>
                <w:sz w:val="15"/>
                <w:szCs w:val="15"/>
              </w:rPr>
              <w:t>GARCH(1,1) avec innovations de Student, si des effets ARCH sont détectés</w:t>
            </w:r>
          </w:p>
        </w:tc>
        <w:tc>
          <w:tcPr>
            <w:tcW w:w="4723"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396BA08E">
            <w:pPr>
              <w:keepNext/>
              <w:spacing w:after="0" w:line="240" w:lineRule="auto"/>
              <w:jc w:val="left"/>
            </w:pPr>
            <w:r>
              <w:rPr>
                <w:sz w:val="15"/>
                <w:szCs w:val="15"/>
              </w:rPr>
              <w:t>Les queues épaisses rendent la Student pertinente comme candidate</w:t>
            </w:r>
          </w:p>
        </w:tc>
      </w:tr>
      <w:tr w14:paraId="7E21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8674D65">
            <w:pPr>
              <w:keepNext w:val="0"/>
              <w:spacing w:after="0" w:line="240" w:lineRule="auto"/>
              <w:jc w:val="left"/>
            </w:pPr>
            <w:r>
              <w:rPr>
                <w:sz w:val="15"/>
                <w:szCs w:val="15"/>
              </w:rPr>
              <w:t>Volatilité asymétrique</w:t>
            </w:r>
          </w:p>
        </w:tc>
        <w:tc>
          <w:tcPr>
            <w:tcW w:w="3662"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36C68FE2">
            <w:pPr>
              <w:keepNext w:val="0"/>
              <w:spacing w:after="0" w:line="240" w:lineRule="auto"/>
              <w:jc w:val="left"/>
            </w:pPr>
            <w:r>
              <w:rPr>
                <w:sz w:val="15"/>
                <w:szCs w:val="15"/>
              </w:rPr>
              <w:t>GJR-GARCH ou EGARCH</w:t>
            </w:r>
          </w:p>
        </w:tc>
        <w:tc>
          <w:tcPr>
            <w:tcW w:w="4723"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897075C">
            <w:pPr>
              <w:keepNext w:val="0"/>
              <w:spacing w:after="0" w:line="240" w:lineRule="auto"/>
              <w:jc w:val="left"/>
            </w:pPr>
            <w:r>
              <w:rPr>
                <w:sz w:val="15"/>
                <w:szCs w:val="15"/>
              </w:rPr>
              <w:t>À envisager si les diagnostics montrent une réponse différente aux chocs positifs et négatifs</w:t>
            </w:r>
          </w:p>
        </w:tc>
      </w:tr>
    </w:tbl>
    <w:p w14:paraId="69E54DA5">
      <w:pPr>
        <w:spacing w:before="0" w:after="80"/>
      </w:pPr>
    </w:p>
    <w:p w14:paraId="58352BA4">
      <w:pPr>
        <w:spacing w:after="80" w:line="250" w:lineRule="auto"/>
        <w:jc w:val="both"/>
      </w:pPr>
      <w:r>
        <w:rPr>
          <w:i/>
          <w:iCs/>
          <w:sz w:val="19"/>
          <w:szCs w:val="19"/>
        </w:rPr>
        <w:t>Une moyenne empirique positive ne démontre pas une dérive significative. De même, l’asymétrie négative des rendements ne prouve pas une asymétrie de la volatilité conditionnelle.</w:t>
      </w:r>
    </w:p>
    <w:p w14:paraId="79778B88">
      <w:pPr>
        <w:spacing w:before="120" w:after="40"/>
      </w:pPr>
      <w:r>
        <w:rPr>
          <w:b/>
          <w:bCs/>
          <w:color w:val="1F3864"/>
          <w:sz w:val="20"/>
          <w:szCs w:val="20"/>
        </w:rPr>
        <w:t>2. Diagnostics nécessaires</w:t>
      </w:r>
    </w:p>
    <w:p w14:paraId="6DCE4A1A">
      <w:pPr>
        <w:spacing w:after="80" w:line="250" w:lineRule="auto"/>
        <w:jc w:val="both"/>
      </w:pPr>
      <w:r>
        <w:rPr>
          <w:i/>
          <w:iCs/>
          <w:sz w:val="19"/>
          <w:szCs w:val="19"/>
        </w:rPr>
        <w:t>- ARIMA : examiner ACF/PACF des rendements, comparer des ordres modestes par AIC/BIC, vérifier la convergence, puis tester les résidus avec Ljung–Box, Jarque–Bera et ARCH-LM. - SARIMA : rechercher d’abord une saisonnalité reproductible, par graphiques, décomposition et autocorrélations aux retards pertinents. Une semaine de cinq séances ne suffit pas à justifier une saisonnalité. - VAR : vérifier l’alignement des séries, sélectionner les retards par critères d’information et contrôler la stabilité lorsque le modèle comporte des retards. Examiner la blancheur multivariée, la normalité et les effets ARCH des résidus. Une causalité de Granger indique une dépendance prédictive, pas une causalité économique. - VECM : confirmer que les séries sont compatibles avec une intégration I(1), tester la cointégration avec une spécification déterministe justifiée et vérifier la sensibilité aux retards et aux ruptures. - GARCH : examiner les rendements ou résidus au carré et appliquer ARCH-LM avant estimation. Après estimation, vérifier convergence, contraintes des paramètres et diagnostics des résidus standardisés et de leurs carrés. Évaluer également les prévisions de variance ou la couverture des intervalles hors échantillon.</w:t>
      </w:r>
    </w:p>
    <w:p w14:paraId="599403B3">
      <w:pPr>
        <w:spacing w:after="80" w:line="250" w:lineRule="auto"/>
        <w:jc w:val="both"/>
      </w:pPr>
      <w:r>
        <w:rPr>
          <w:i/>
          <w:iCs/>
          <w:sz w:val="19"/>
          <w:szCs w:val="19"/>
        </w:rPr>
        <w:t>Les fortes valeurs extrêmes doivent être vérifiées avant toute correction ; elles peuvent représenter des mouvements authentiques.</w:t>
      </w:r>
    </w:p>
    <w:p w14:paraId="444F4B57">
      <w:pPr>
        <w:spacing w:before="120" w:after="40"/>
      </w:pPr>
      <w:r>
        <w:rPr>
          <w:b/>
          <w:bCs/>
          <w:color w:val="1F3864"/>
          <w:sz w:val="20"/>
          <w:szCs w:val="20"/>
        </w:rPr>
        <w:t>3. Comparaison de LSTM et GRU sans fuite d’information</w:t>
      </w:r>
    </w:p>
    <w:p w14:paraId="19BB2C99">
      <w:pPr>
        <w:spacing w:after="80" w:line="250" w:lineRule="auto"/>
        <w:jc w:val="both"/>
      </w:pPr>
      <w:r>
        <w:rPr>
          <w:i/>
          <w:iCs/>
          <w:sz w:val="19"/>
          <w:szCs w:val="19"/>
        </w:rPr>
        <w:t>Conserver les derniers 10 % comme test final et effectuer les choix d’architecture uniquement dans les premiers 90 %, avec une validation temporelle à historique croissant.</w:t>
      </w:r>
    </w:p>
    <w:p w14:paraId="4D2E4BCD">
      <w:pPr>
        <w:spacing w:after="80" w:line="250" w:lineRule="auto"/>
        <w:jc w:val="both"/>
      </w:pPr>
      <w:r>
        <w:rPr>
          <w:i/>
          <w:iCs/>
          <w:sz w:val="19"/>
          <w:szCs w:val="19"/>
        </w:rPr>
        <w:t>Pour chaque découpage :</w:t>
      </w:r>
    </w:p>
    <w:p w14:paraId="4D96517B">
      <w:pPr>
        <w:spacing w:after="80" w:line="250" w:lineRule="auto"/>
        <w:jc w:val="both"/>
      </w:pPr>
      <w:r>
        <w:rPr>
          <w:i/>
          <w:iCs/>
          <w:sz w:val="19"/>
          <w:szCs w:val="19"/>
        </w:rPr>
        <w:t>1. Ajuster le scaler uniquement sur les observations utilisées pour entraîner le réseau. 2. Construire chaque fenêtre avec des observations antérieures à sa cible. 3. Utiliser une validation interne pour l’arrêt anticipé et un bloc ultérieur distinct pour l’évaluation. 4. Réinitialiser les poids des réseaux entre les découpages.</w:t>
      </w:r>
    </w:p>
    <w:p w14:paraId="4C21E8D1">
      <w:pPr>
        <w:spacing w:after="80" w:line="250" w:lineRule="auto"/>
        <w:jc w:val="both"/>
      </w:pPr>
      <w:r>
        <w:rPr>
          <w:i/>
          <w:iCs/>
          <w:sz w:val="19"/>
          <w:szCs w:val="19"/>
        </w:rPr>
        <w:t>Comparer tous les modèles sur les mêmes origines, cibles et horizons, avec un protocole identique d’actualisation des observations et de réestimation des paramètres. Pour une prévision récursive à plusieurs séances, réinjecter les prévisions plutôt que les rendements futurs réels.</w:t>
      </w:r>
    </w:p>
    <w:p w14:paraId="2E7428B0">
      <w:pPr>
        <w:spacing w:after="80" w:line="250" w:lineRule="auto"/>
        <w:jc w:val="both"/>
      </w:pPr>
      <w:r>
        <w:rPr>
          <w:i/>
          <w:iCs/>
          <w:sz w:val="19"/>
          <w:szCs w:val="19"/>
        </w:rPr>
        <w:t>Inclure une référence de rendement nul, correspondant à un prix inchangé. Calculer MSE, RMSE et MAE sur les rendements ou les prix, en précisant l’unité ; réserver de préférence la MAPE aux prix positifs, car elle devient instable pour des rendements proches de zéro. Documenter le coût de calcul et la sensibilité aux graines aléatoires. Un test de Diebold–Mariano doit tenir compte du chevauchement des horizons.</w:t>
      </w:r>
    </w:p>
    <w:p w14:paraId="640A1AE8">
      <w:pPr>
        <w:spacing w:before="120" w:after="40"/>
      </w:pPr>
      <w:r>
        <w:rPr>
          <w:b/>
          <w:bCs/>
          <w:color w:val="1F3864"/>
          <w:sz w:val="20"/>
          <w:szCs w:val="20"/>
        </w:rPr>
        <w:t>4. Conclusions établies et hypothèses restantes</w:t>
      </w:r>
    </w:p>
    <w:p w14:paraId="5894A4B8">
      <w:pPr>
        <w:spacing w:after="80" w:line="250" w:lineRule="auto"/>
        <w:jc w:val="both"/>
      </w:pPr>
      <w:r>
        <w:rPr>
          <w:i/>
          <w:iCs/>
          <w:sz w:val="19"/>
          <w:szCs w:val="19"/>
        </w:rPr>
        <w:t>Les tableaux montrent :</w:t>
      </w:r>
    </w:p>
    <w:p w14:paraId="230FA8BE">
      <w:pPr>
        <w:spacing w:after="80" w:line="250" w:lineRule="auto"/>
        <w:jc w:val="both"/>
      </w:pPr>
      <w:r>
        <w:rPr>
          <w:i/>
          <w:iCs/>
          <w:sz w:val="19"/>
          <w:szCs w:val="19"/>
        </w:rPr>
        <w:t xml:space="preserve">- Une dispersion plus </w:t>
      </w:r>
      <w:bookmarkStart w:id="0" w:name="_GoBack"/>
      <w:bookmarkEnd w:id="0"/>
      <w:r>
        <w:rPr>
          <w:i/>
          <w:iCs/>
          <w:sz w:val="19"/>
          <w:szCs w:val="19"/>
        </w:rPr>
        <w:t>élevée pour SLV : son écart-type quotidien est de 1,820814 %, contre 0,977263 % pour GLD. - Une asymétrie empirique négative et un excès de kurtosis positif pour les deux actifs. - Des résultats ADF et KPSS concordants avec des log-prix non stationnaires et des rendements stationnaires. Cela soutient une intégration I(1) des log-prix, sans constituer une preuve définitive.</w:t>
      </w:r>
    </w:p>
    <w:p w14:paraId="246C2612">
      <w:pPr>
        <w:spacing w:after="80" w:line="250" w:lineRule="auto"/>
        <w:jc w:val="both"/>
      </w:pPr>
      <w:r>
        <w:rPr>
          <w:i/>
          <w:iCs/>
          <w:sz w:val="19"/>
          <w:szCs w:val="19"/>
        </w:rPr>
        <w:t xml:space="preserve">Les p-values ADF affichées à </w:t>
      </w:r>
      <w:r>
        <w:rPr>
          <w:rFonts w:ascii="Consolas" w:hAnsi="Consolas" w:eastAsia="Consolas" w:cs="Consolas"/>
          <w:i/>
          <w:iCs/>
          <w:sz w:val="17"/>
          <w:szCs w:val="17"/>
        </w:rPr>
        <w:t>0,000000</w:t>
      </w:r>
      <w:r>
        <w:rPr>
          <w:i/>
          <w:iCs/>
          <w:sz w:val="19"/>
          <w:szCs w:val="19"/>
        </w:rPr>
        <w:t xml:space="preserve"> sont arrondies. Les valeurs KPSS de </w:t>
      </w:r>
      <w:r>
        <w:rPr>
          <w:rFonts w:ascii="Consolas" w:hAnsi="Consolas" w:eastAsia="Consolas" w:cs="Consolas"/>
          <w:i/>
          <w:iCs/>
          <w:sz w:val="17"/>
          <w:szCs w:val="17"/>
        </w:rPr>
        <w:t>0,01</w:t>
      </w:r>
      <w:r>
        <w:rPr>
          <w:i/>
          <w:iCs/>
          <w:sz w:val="19"/>
          <w:szCs w:val="19"/>
        </w:rPr>
        <w:t xml:space="preserve"> et </w:t>
      </w:r>
      <w:r>
        <w:rPr>
          <w:rFonts w:ascii="Consolas" w:hAnsi="Consolas" w:eastAsia="Consolas" w:cs="Consolas"/>
          <w:i/>
          <w:iCs/>
          <w:sz w:val="17"/>
          <w:szCs w:val="17"/>
        </w:rPr>
        <w:t>0,10</w:t>
      </w:r>
      <w:r>
        <w:rPr>
          <w:i/>
          <w:iCs/>
          <w:sz w:val="19"/>
          <w:szCs w:val="19"/>
        </w:rPr>
        <w:t xml:space="preserve"> peuvent correspondre aux bornes des tables utilisées ; elles ne doivent pas être interprétées comme des probabilités exactes.</w:t>
      </w:r>
    </w:p>
    <w:p w14:paraId="6A79C741">
      <w:pPr>
        <w:spacing w:after="80" w:line="250" w:lineRule="auto"/>
        <w:jc w:val="both"/>
      </w:pPr>
      <w:r>
        <w:rPr>
          <w:i/>
          <w:iCs/>
          <w:sz w:val="19"/>
          <w:szCs w:val="19"/>
        </w:rPr>
        <w:t>Restent à vérifier : les ordres AR/MA, une éventuelle saisonnalité, les effets ARCH, l’asymétrie conditionnelle, la cointégration, les relations prédictives croisées et la supériorité des réseaux. Les tableaux descriptifs et de stationnarité ne permettent pas, à eux seuls, de conclure sur ces points.</w:t>
      </w:r>
    </w:p>
    <w:p w14:paraId="75FF8E4B">
      <w:pPr>
        <w:pStyle w:val="4"/>
        <w:keepNext/>
      </w:pPr>
      <w:r>
        <w:t>A.2. Explication pour un décideur (05_prompt_vulgarisation.txt)</w:t>
      </w:r>
    </w:p>
    <w:p w14:paraId="78B09576">
      <w:pPr>
        <w:spacing w:after="120" w:line="276" w:lineRule="auto"/>
        <w:jc w:val="both"/>
      </w:pPr>
      <w:r>
        <w:rPr>
          <w:b/>
          <w:bCs/>
          <w:sz w:val="20"/>
          <w:szCs w:val="20"/>
        </w:rPr>
        <w:t>Prompt (tableaux de chiffres abrégés) :</w:t>
      </w:r>
    </w:p>
    <w:p w14:paraId="4E8E94F0">
      <w:pPr>
        <w:shd w:val="clear" w:color="auto" w:fill="F4F6F9"/>
        <w:spacing w:after="0" w:line="220" w:lineRule="auto"/>
      </w:pPr>
      <w:r>
        <w:rPr>
          <w:rFonts w:ascii="Consolas" w:hAnsi="Consolas" w:eastAsia="Consolas" w:cs="Consolas"/>
          <w:sz w:val="15"/>
          <w:szCs w:val="15"/>
        </w:rPr>
        <w:t>Explique les résultats de mon étude GLD/SLV à un décideur</w:t>
      </w:r>
    </w:p>
    <w:p w14:paraId="13921382">
      <w:pPr>
        <w:shd w:val="clear" w:color="auto" w:fill="F4F6F9"/>
        <w:spacing w:after="0" w:line="220" w:lineRule="auto"/>
      </w:pPr>
      <w:r>
        <w:rPr>
          <w:rFonts w:ascii="Consolas" w:hAnsi="Consolas" w:eastAsia="Consolas" w:cs="Consolas"/>
          <w:sz w:val="15"/>
          <w:szCs w:val="15"/>
        </w:rPr>
        <w:t>non statisticien, en français, en 400 à 600 mots.</w:t>
      </w:r>
    </w:p>
    <w:p w14:paraId="2C32B2D5">
      <w:pPr>
        <w:shd w:val="clear" w:color="auto" w:fill="F4F6F9"/>
        <w:spacing w:after="0" w:line="220" w:lineRule="auto"/>
      </w:pPr>
      <w:r>
        <w:rPr>
          <w:rFonts w:ascii="Consolas" w:hAnsi="Consolas" w:eastAsia="Consolas" w:cs="Consolas"/>
          <w:sz w:val="15"/>
          <w:szCs w:val="15"/>
        </w:rPr>
        <w:t xml:space="preserve"> </w:t>
      </w:r>
    </w:p>
    <w:p w14:paraId="328368E8">
      <w:pPr>
        <w:shd w:val="clear" w:color="auto" w:fill="F4F6F9"/>
        <w:spacing w:after="0" w:line="220" w:lineRule="auto"/>
      </w:pPr>
      <w:r>
        <w:rPr>
          <w:rFonts w:ascii="Consolas" w:hAnsi="Consolas" w:eastAsia="Consolas" w:cs="Consolas"/>
          <w:sz w:val="15"/>
          <w:szCs w:val="15"/>
        </w:rPr>
        <w:t>PROTOCOLE</w:t>
      </w:r>
    </w:p>
    <w:p w14:paraId="3974C952">
      <w:pPr>
        <w:shd w:val="clear" w:color="auto" w:fill="F4F6F9"/>
        <w:spacing w:after="0" w:line="220" w:lineRule="auto"/>
      </w:pPr>
      <w:r>
        <w:rPr>
          <w:rFonts w:ascii="Consolas" w:hAnsi="Consolas" w:eastAsia="Consolas" w:cs="Consolas"/>
          <w:sz w:val="15"/>
          <w:szCs w:val="15"/>
        </w:rPr>
        <w:t>Les modèles sont estimés sur les premiers 90 % de l’historique.</w:t>
      </w:r>
    </w:p>
    <w:p w14:paraId="7184DD82">
      <w:pPr>
        <w:shd w:val="clear" w:color="auto" w:fill="F4F6F9"/>
        <w:spacing w:after="0" w:line="220" w:lineRule="auto"/>
      </w:pPr>
      <w:r>
        <w:rPr>
          <w:rFonts w:ascii="Consolas" w:hAnsi="Consolas" w:eastAsia="Consolas" w:cs="Consolas"/>
          <w:sz w:val="15"/>
          <w:szCs w:val="15"/>
        </w:rPr>
        <w:t>LSTM et GRU ont été évalués par validation croisée temporelle.</w:t>
      </w:r>
    </w:p>
    <w:p w14:paraId="589BF6BA">
      <w:pPr>
        <w:shd w:val="clear" w:color="auto" w:fill="F4F6F9"/>
        <w:spacing w:after="0" w:line="220" w:lineRule="auto"/>
      </w:pPr>
      <w:r>
        <w:rPr>
          <w:rFonts w:ascii="Consolas" w:hAnsi="Consolas" w:eastAsia="Consolas" w:cs="Consolas"/>
          <w:sz w:val="15"/>
          <w:szCs w:val="15"/>
        </w:rPr>
        <w:t>Sur le test final, les prévisions utilisent 394 origines communes,</w:t>
      </w:r>
    </w:p>
    <w:p w14:paraId="6561CEC4">
      <w:pPr>
        <w:shd w:val="clear" w:color="auto" w:fill="F4F6F9"/>
        <w:spacing w:after="0" w:line="220" w:lineRule="auto"/>
      </w:pPr>
      <w:r>
        <w:rPr>
          <w:rFonts w:ascii="Consolas" w:hAnsi="Consolas" w:eastAsia="Consolas" w:cs="Consolas"/>
          <w:sz w:val="15"/>
          <w:szCs w:val="15"/>
        </w:rPr>
        <w:t>aux horizons de 5 et 10 séances. Les paramètres restent fixes,</w:t>
      </w:r>
    </w:p>
    <w:p w14:paraId="3A950C3B">
      <w:pPr>
        <w:shd w:val="clear" w:color="auto" w:fill="F4F6F9"/>
        <w:spacing w:after="0" w:line="220" w:lineRule="auto"/>
      </w:pPr>
      <w:r>
        <w:rPr>
          <w:rFonts w:ascii="Consolas" w:hAnsi="Consolas" w:eastAsia="Consolas" w:cs="Consolas"/>
          <w:sz w:val="15"/>
          <w:szCs w:val="15"/>
        </w:rPr>
        <w:t>mais les observations disponibles sont actualisées à chaque origine.</w:t>
      </w:r>
    </w:p>
    <w:p w14:paraId="1B24DAA2">
      <w:pPr>
        <w:shd w:val="clear" w:color="auto" w:fill="F4F6F9"/>
        <w:spacing w:after="0" w:line="220" w:lineRule="auto"/>
      </w:pPr>
      <w:r>
        <w:rPr>
          <w:rFonts w:ascii="Consolas" w:hAnsi="Consolas" w:eastAsia="Consolas" w:cs="Consolas"/>
          <w:sz w:val="15"/>
          <w:szCs w:val="15"/>
        </w:rPr>
        <w:t xml:space="preserve"> </w:t>
      </w:r>
    </w:p>
    <w:p w14:paraId="23A6A4DA">
      <w:pPr>
        <w:shd w:val="clear" w:color="auto" w:fill="F4F6F9"/>
        <w:spacing w:after="0" w:line="220" w:lineRule="auto"/>
      </w:pPr>
      <w:r>
        <w:rPr>
          <w:rFonts w:ascii="Consolas" w:hAnsi="Consolas" w:eastAsia="Consolas" w:cs="Consolas"/>
          <w:sz w:val="15"/>
          <w:szCs w:val="15"/>
        </w:rPr>
        <w:t>Les métriques ci-dessous portent sur les prix à l’échéance exacte.</w:t>
      </w:r>
    </w:p>
    <w:p w14:paraId="3FF43A89">
      <w:pPr>
        <w:shd w:val="clear" w:color="auto" w:fill="F4F6F9"/>
        <w:spacing w:after="0" w:line="220" w:lineRule="auto"/>
      </w:pPr>
      <w:r>
        <w:rPr>
          <w:rFonts w:ascii="Consolas" w:hAnsi="Consolas" w:eastAsia="Consolas" w:cs="Consolas"/>
          <w:sz w:val="15"/>
          <w:szCs w:val="15"/>
        </w:rPr>
        <w:t>ARIMA(0,1,0) sans dérive et prix inchangé donnent les mêmes prévisions.</w:t>
      </w:r>
    </w:p>
    <w:p w14:paraId="3B146A8B">
      <w:pPr>
        <w:shd w:val="clear" w:color="auto" w:fill="F4F6F9"/>
        <w:spacing w:after="0" w:line="220" w:lineRule="auto"/>
      </w:pPr>
      <w:r>
        <w:rPr>
          <w:rFonts w:ascii="Consolas" w:hAnsi="Consolas" w:eastAsia="Consolas" w:cs="Consolas"/>
          <w:sz w:val="15"/>
          <w:szCs w:val="15"/>
        </w:rPr>
        <w:t xml:space="preserve"> </w:t>
      </w:r>
    </w:p>
    <w:p w14:paraId="75F5B8AA">
      <w:pPr>
        <w:shd w:val="clear" w:color="auto" w:fill="F4F6F9"/>
        <w:spacing w:after="0" w:line="220" w:lineRule="auto"/>
      </w:pPr>
      <w:r>
        <w:rPr>
          <w:rFonts w:ascii="Consolas" w:hAnsi="Consolas" w:eastAsia="Consolas" w:cs="Consolas"/>
          <w:sz w:val="15"/>
          <w:szCs w:val="15"/>
        </w:rPr>
        <w:t>MÉTRIQUES SUR LE TEST</w:t>
      </w:r>
    </w:p>
    <w:p w14:paraId="6C18AD51">
      <w:pPr>
        <w:shd w:val="clear" w:color="auto" w:fill="F4F6F9"/>
        <w:spacing w:after="0" w:line="220" w:lineRule="auto"/>
      </w:pPr>
      <w:r>
        <w:rPr>
          <w:rFonts w:ascii="Consolas" w:hAnsi="Consolas" w:eastAsia="Consolas" w:cs="Consolas"/>
          <w:sz w:val="15"/>
          <w:szCs w:val="15"/>
        </w:rPr>
        <w:t>[tableau abrégé, voir le fichier]</w:t>
      </w:r>
    </w:p>
    <w:p w14:paraId="778780B7">
      <w:pPr>
        <w:shd w:val="clear" w:color="auto" w:fill="F4F6F9"/>
        <w:spacing w:after="0" w:line="220" w:lineRule="auto"/>
      </w:pPr>
      <w:r>
        <w:rPr>
          <w:rFonts w:ascii="Consolas" w:hAnsi="Consolas" w:eastAsia="Consolas" w:cs="Consolas"/>
          <w:sz w:val="15"/>
          <w:szCs w:val="15"/>
        </w:rPr>
        <w:t xml:space="preserve"> </w:t>
      </w:r>
    </w:p>
    <w:p w14:paraId="53795286">
      <w:pPr>
        <w:shd w:val="clear" w:color="auto" w:fill="F4F6F9"/>
        <w:spacing w:after="0" w:line="220" w:lineRule="auto"/>
      </w:pPr>
      <w:r>
        <w:rPr>
          <w:rFonts w:ascii="Consolas" w:hAnsi="Consolas" w:eastAsia="Consolas" w:cs="Consolas"/>
          <w:sz w:val="15"/>
          <w:szCs w:val="15"/>
        </w:rPr>
        <w:t>TESTS DE DIEBOLD–MARIANO</w:t>
      </w:r>
    </w:p>
    <w:p w14:paraId="57A8F87A">
      <w:pPr>
        <w:shd w:val="clear" w:color="auto" w:fill="F4F6F9"/>
        <w:spacing w:after="0" w:line="220" w:lineRule="auto"/>
      </w:pPr>
      <w:r>
        <w:rPr>
          <w:rFonts w:ascii="Consolas" w:hAnsi="Consolas" w:eastAsia="Consolas" w:cs="Consolas"/>
          <w:sz w:val="15"/>
          <w:szCs w:val="15"/>
        </w:rPr>
        <w:t>La perte comparée est l’erreur quadratique.</w:t>
      </w:r>
    </w:p>
    <w:p w14:paraId="38038BB1">
      <w:pPr>
        <w:shd w:val="clear" w:color="auto" w:fill="F4F6F9"/>
        <w:spacing w:after="0" w:line="220" w:lineRule="auto"/>
      </w:pPr>
      <w:r>
        <w:rPr>
          <w:rFonts w:ascii="Consolas" w:hAnsi="Consolas" w:eastAsia="Consolas" w:cs="Consolas"/>
          <w:sz w:val="15"/>
          <w:szCs w:val="15"/>
        </w:rPr>
        <w:t>La variance est estimée par HAC ; la correction de Holm</w:t>
      </w:r>
    </w:p>
    <w:p w14:paraId="7D1A693B">
      <w:pPr>
        <w:shd w:val="clear" w:color="auto" w:fill="F4F6F9"/>
        <w:spacing w:after="0" w:line="220" w:lineRule="auto"/>
      </w:pPr>
      <w:r>
        <w:rPr>
          <w:rFonts w:ascii="Consolas" w:hAnsi="Consolas" w:eastAsia="Consolas" w:cs="Consolas"/>
          <w:sz w:val="15"/>
          <w:szCs w:val="15"/>
        </w:rPr>
        <w:t>porte sur les 24 comparaisons.</w:t>
      </w:r>
    </w:p>
    <w:p w14:paraId="0E4AE603">
      <w:pPr>
        <w:shd w:val="clear" w:color="auto" w:fill="F4F6F9"/>
        <w:spacing w:after="0" w:line="220" w:lineRule="auto"/>
      </w:pPr>
      <w:r>
        <w:rPr>
          <w:rFonts w:ascii="Consolas" w:hAnsi="Consolas" w:eastAsia="Consolas" w:cs="Consolas"/>
          <w:sz w:val="15"/>
          <w:szCs w:val="15"/>
        </w:rPr>
        <w:t>[tableau abrégé, voir le fichier]</w:t>
      </w:r>
    </w:p>
    <w:p w14:paraId="7D1EF12F">
      <w:pPr>
        <w:shd w:val="clear" w:color="auto" w:fill="F4F6F9"/>
        <w:spacing w:after="0" w:line="220" w:lineRule="auto"/>
      </w:pPr>
      <w:r>
        <w:rPr>
          <w:rFonts w:ascii="Consolas" w:hAnsi="Consolas" w:eastAsia="Consolas" w:cs="Consolas"/>
          <w:sz w:val="15"/>
          <w:szCs w:val="15"/>
        </w:rPr>
        <w:t xml:space="preserve"> </w:t>
      </w:r>
    </w:p>
    <w:p w14:paraId="06B07909">
      <w:pPr>
        <w:shd w:val="clear" w:color="auto" w:fill="F4F6F9"/>
        <w:spacing w:after="0" w:line="220" w:lineRule="auto"/>
      </w:pPr>
      <w:r>
        <w:rPr>
          <w:rFonts w:ascii="Consolas" w:hAnsi="Consolas" w:eastAsia="Consolas" w:cs="Consolas"/>
          <w:sz w:val="15"/>
          <w:szCs w:val="15"/>
        </w:rPr>
        <w:t>INTERVALLES GARCH</w:t>
      </w:r>
    </w:p>
    <w:p w14:paraId="54260425">
      <w:pPr>
        <w:shd w:val="clear" w:color="auto" w:fill="F4F6F9"/>
        <w:spacing w:after="0" w:line="220" w:lineRule="auto"/>
      </w:pPr>
      <w:r>
        <w:rPr>
          <w:rFonts w:ascii="Consolas" w:hAnsi="Consolas" w:eastAsia="Consolas" w:cs="Consolas"/>
          <w:sz w:val="15"/>
          <w:szCs w:val="15"/>
        </w:rPr>
        <w:t>Intervalles ponctuels nominaux à 95 %, simulés avec innovations</w:t>
      </w:r>
    </w:p>
    <w:p w14:paraId="383C72A4">
      <w:pPr>
        <w:shd w:val="clear" w:color="auto" w:fill="F4F6F9"/>
        <w:spacing w:after="0" w:line="220" w:lineRule="auto"/>
      </w:pPr>
      <w:r>
        <w:rPr>
          <w:rFonts w:ascii="Consolas" w:hAnsi="Consolas" w:eastAsia="Consolas" w:cs="Consolas"/>
          <w:sz w:val="15"/>
          <w:szCs w:val="15"/>
        </w:rPr>
        <w:t>de Student. Les paramètres sont fixes et leur incertitude</w:t>
      </w:r>
    </w:p>
    <w:p w14:paraId="505192DC">
      <w:pPr>
        <w:shd w:val="clear" w:color="auto" w:fill="F4F6F9"/>
        <w:spacing w:after="0" w:line="220" w:lineRule="auto"/>
      </w:pPr>
      <w:r>
        <w:rPr>
          <w:rFonts w:ascii="Consolas" w:hAnsi="Consolas" w:eastAsia="Consolas" w:cs="Consolas"/>
          <w:sz w:val="15"/>
          <w:szCs w:val="15"/>
        </w:rPr>
        <w:t>d’estimation n’est pas intégrée.</w:t>
      </w:r>
    </w:p>
    <w:p w14:paraId="49C21CF7">
      <w:pPr>
        <w:shd w:val="clear" w:color="auto" w:fill="F4F6F9"/>
        <w:spacing w:after="0" w:line="220" w:lineRule="auto"/>
      </w:pPr>
      <w:r>
        <w:rPr>
          <w:rFonts w:ascii="Consolas" w:hAnsi="Consolas" w:eastAsia="Consolas" w:cs="Consolas"/>
          <w:sz w:val="15"/>
          <w:szCs w:val="15"/>
        </w:rPr>
        <w:t>Actif  Horizon   N  Couverture_pct  Largeur_moyenne_USD  Score_moyen</w:t>
      </w:r>
    </w:p>
    <w:p w14:paraId="681D52C1">
      <w:pPr>
        <w:shd w:val="clear" w:color="auto" w:fill="F4F6F9"/>
        <w:spacing w:after="0" w:line="220" w:lineRule="auto"/>
      </w:pPr>
      <w:r>
        <w:rPr>
          <w:rFonts w:ascii="Consolas" w:hAnsi="Consolas" w:eastAsia="Consolas" w:cs="Consolas"/>
          <w:sz w:val="15"/>
          <w:szCs w:val="15"/>
        </w:rPr>
        <w:t xml:space="preserve">  GLD        5 394       93.908629            28.132106    38.305739</w:t>
      </w:r>
    </w:p>
    <w:p w14:paraId="596EFBF5">
      <w:pPr>
        <w:shd w:val="clear" w:color="auto" w:fill="F4F6F9"/>
        <w:spacing w:after="0" w:line="220" w:lineRule="auto"/>
      </w:pPr>
      <w:r>
        <w:rPr>
          <w:rFonts w:ascii="Consolas" w:hAnsi="Consolas" w:eastAsia="Consolas" w:cs="Consolas"/>
          <w:sz w:val="15"/>
          <w:szCs w:val="15"/>
        </w:rPr>
        <w:t xml:space="preserve">  GLD       10 394       92.131980            39.714791    58.535340</w:t>
      </w:r>
    </w:p>
    <w:p w14:paraId="2757E1C9">
      <w:pPr>
        <w:shd w:val="clear" w:color="auto" w:fill="F4F6F9"/>
        <w:spacing w:after="0" w:line="220" w:lineRule="auto"/>
      </w:pPr>
      <w:r>
        <w:rPr>
          <w:rFonts w:ascii="Consolas" w:hAnsi="Consolas" w:eastAsia="Consolas" w:cs="Consolas"/>
          <w:sz w:val="15"/>
          <w:szCs w:val="15"/>
        </w:rPr>
        <w:t xml:space="preserve">  SLV        5 394       93.654822             5.487049     7.614444</w:t>
      </w:r>
    </w:p>
    <w:p w14:paraId="49EC86DD">
      <w:pPr>
        <w:shd w:val="clear" w:color="auto" w:fill="F4F6F9"/>
        <w:spacing w:after="0" w:line="220" w:lineRule="auto"/>
      </w:pPr>
      <w:r>
        <w:rPr>
          <w:rFonts w:ascii="Consolas" w:hAnsi="Consolas" w:eastAsia="Consolas" w:cs="Consolas"/>
          <w:sz w:val="15"/>
          <w:szCs w:val="15"/>
        </w:rPr>
        <w:t xml:space="preserve">  SLV       10 394       93.401015             7.783514    10.203909</w:t>
      </w:r>
    </w:p>
    <w:p w14:paraId="69A868D5">
      <w:pPr>
        <w:shd w:val="clear" w:color="auto" w:fill="F4F6F9"/>
        <w:spacing w:after="0" w:line="220" w:lineRule="auto"/>
      </w:pPr>
      <w:r>
        <w:rPr>
          <w:rFonts w:ascii="Consolas" w:hAnsi="Consolas" w:eastAsia="Consolas" w:cs="Consolas"/>
          <w:sz w:val="15"/>
          <w:szCs w:val="15"/>
        </w:rPr>
        <w:t xml:space="preserve"> </w:t>
      </w:r>
    </w:p>
    <w:p w14:paraId="7C08D80C">
      <w:pPr>
        <w:shd w:val="clear" w:color="auto" w:fill="F4F6F9"/>
        <w:spacing w:after="0" w:line="220" w:lineRule="auto"/>
      </w:pPr>
      <w:r>
        <w:rPr>
          <w:rFonts w:ascii="Consolas" w:hAnsi="Consolas" w:eastAsia="Consolas" w:cs="Consolas"/>
          <w:sz w:val="15"/>
          <w:szCs w:val="15"/>
        </w:rPr>
        <w:t>LIMITES CONNUES</w:t>
      </w:r>
    </w:p>
    <w:p w14:paraId="11A7A910">
      <w:pPr>
        <w:shd w:val="clear" w:color="auto" w:fill="F4F6F9"/>
        <w:spacing w:after="0" w:line="220" w:lineRule="auto"/>
      </w:pPr>
      <w:r>
        <w:rPr>
          <w:rFonts w:ascii="Consolas" w:hAnsi="Consolas" w:eastAsia="Consolas" w:cs="Consolas"/>
          <w:sz w:val="15"/>
          <w:szCs w:val="15"/>
        </w:rPr>
        <w:t>La validation temporelle ne montre pas un avantage régulier</w:t>
      </w:r>
    </w:p>
    <w:p w14:paraId="60DFA36D">
      <w:pPr>
        <w:shd w:val="clear" w:color="auto" w:fill="F4F6F9"/>
        <w:spacing w:after="0" w:line="220" w:lineRule="auto"/>
      </w:pPr>
      <w:r>
        <w:rPr>
          <w:rFonts w:ascii="Consolas" w:hAnsi="Consolas" w:eastAsia="Consolas" w:cs="Consolas"/>
          <w:sz w:val="15"/>
          <w:szCs w:val="15"/>
        </w:rPr>
        <w:t>des réseaux face au rendement nul.</w:t>
      </w:r>
    </w:p>
    <w:p w14:paraId="430FC12B">
      <w:pPr>
        <w:shd w:val="clear" w:color="auto" w:fill="F4F6F9"/>
        <w:spacing w:after="0" w:line="220" w:lineRule="auto"/>
      </w:pPr>
      <w:r>
        <w:rPr>
          <w:rFonts w:ascii="Consolas" w:hAnsi="Consolas" w:eastAsia="Consolas" w:cs="Consolas"/>
          <w:sz w:val="15"/>
          <w:szCs w:val="15"/>
        </w:rPr>
        <w:t>Des effets ARCH résiduels persistent après estimation GARCH,</w:t>
      </w:r>
    </w:p>
    <w:p w14:paraId="1609BFEF">
      <w:pPr>
        <w:shd w:val="clear" w:color="auto" w:fill="F4F6F9"/>
        <w:spacing w:after="0" w:line="220" w:lineRule="auto"/>
      </w:pPr>
      <w:r>
        <w:rPr>
          <w:rFonts w:ascii="Consolas" w:hAnsi="Consolas" w:eastAsia="Consolas" w:cs="Consolas"/>
          <w:sz w:val="15"/>
          <w:szCs w:val="15"/>
        </w:rPr>
        <w:t>particulièrement pour SLV.</w:t>
      </w:r>
    </w:p>
    <w:p w14:paraId="341840CD">
      <w:pPr>
        <w:shd w:val="clear" w:color="auto" w:fill="F4F6F9"/>
        <w:spacing w:after="0" w:line="220" w:lineRule="auto"/>
      </w:pPr>
      <w:r>
        <w:rPr>
          <w:rFonts w:ascii="Consolas" w:hAnsi="Consolas" w:eastAsia="Consolas" w:cs="Consolas"/>
          <w:sz w:val="15"/>
          <w:szCs w:val="15"/>
        </w:rPr>
        <w:t>Aucune stratégie de trading ni rentabilité après frais n’a été testée.</w:t>
      </w:r>
    </w:p>
    <w:p w14:paraId="22E8293D">
      <w:pPr>
        <w:shd w:val="clear" w:color="auto" w:fill="F4F6F9"/>
        <w:spacing w:after="0" w:line="220" w:lineRule="auto"/>
      </w:pPr>
      <w:r>
        <w:rPr>
          <w:rFonts w:ascii="Consolas" w:hAnsi="Consolas" w:eastAsia="Consolas" w:cs="Consolas"/>
          <w:sz w:val="15"/>
          <w:szCs w:val="15"/>
        </w:rPr>
        <w:t xml:space="preserve"> </w:t>
      </w:r>
    </w:p>
    <w:p w14:paraId="3D477268">
      <w:pPr>
        <w:shd w:val="clear" w:color="auto" w:fill="F4F6F9"/>
        <w:spacing w:after="0" w:line="220" w:lineRule="auto"/>
      </w:pPr>
      <w:r>
        <w:rPr>
          <w:rFonts w:ascii="Consolas" w:hAnsi="Consolas" w:eastAsia="Consolas" w:cs="Consolas"/>
          <w:sz w:val="15"/>
          <w:szCs w:val="15"/>
        </w:rPr>
        <w:t>CONSIGNES</w:t>
      </w:r>
    </w:p>
    <w:p w14:paraId="32721216">
      <w:pPr>
        <w:shd w:val="clear" w:color="auto" w:fill="F4F6F9"/>
        <w:spacing w:after="0" w:line="220" w:lineRule="auto"/>
      </w:pPr>
      <w:r>
        <w:rPr>
          <w:rFonts w:ascii="Consolas" w:hAnsi="Consolas" w:eastAsia="Consolas" w:cs="Consolas"/>
          <w:sz w:val="15"/>
          <w:szCs w:val="15"/>
        </w:rPr>
        <w:t>- Explique les rôles différents de la prévision du prix et de GARCH.</w:t>
      </w:r>
    </w:p>
    <w:p w14:paraId="6E74E1DC">
      <w:pPr>
        <w:shd w:val="clear" w:color="auto" w:fill="F4F6F9"/>
        <w:spacing w:after="0" w:line="220" w:lineRule="auto"/>
      </w:pPr>
      <w:r>
        <w:rPr>
          <w:rFonts w:ascii="Consolas" w:hAnsi="Consolas" w:eastAsia="Consolas" w:cs="Consolas"/>
          <w:sz w:val="15"/>
          <w:szCs w:val="15"/>
        </w:rPr>
        <w:t>- Distingue meilleur score numérique et différence significative.</w:t>
      </w:r>
    </w:p>
    <w:p w14:paraId="6C9620DE">
      <w:pPr>
        <w:shd w:val="clear" w:color="auto" w:fill="F4F6F9"/>
        <w:spacing w:after="0" w:line="220" w:lineRule="auto"/>
      </w:pPr>
      <w:r>
        <w:rPr>
          <w:rFonts w:ascii="Consolas" w:hAnsi="Consolas" w:eastAsia="Consolas" w:cs="Consolas"/>
          <w:sz w:val="15"/>
          <w:szCs w:val="15"/>
        </w:rPr>
        <w:t>- Compare précision, simplicité et coût de calcul sans inventer</w:t>
      </w:r>
    </w:p>
    <w:p w14:paraId="3D550110">
      <w:pPr>
        <w:shd w:val="clear" w:color="auto" w:fill="F4F6F9"/>
        <w:spacing w:after="0" w:line="220" w:lineRule="auto"/>
      </w:pPr>
      <w:r>
        <w:rPr>
          <w:rFonts w:ascii="Consolas" w:hAnsi="Consolas" w:eastAsia="Consolas" w:cs="Consolas"/>
          <w:sz w:val="15"/>
          <w:szCs w:val="15"/>
        </w:rPr>
        <w:t xml:space="preserve">  de mesures de temps.</w:t>
      </w:r>
    </w:p>
    <w:p w14:paraId="5136333C">
      <w:pPr>
        <w:shd w:val="clear" w:color="auto" w:fill="F4F6F9"/>
        <w:spacing w:after="0" w:line="220" w:lineRule="auto"/>
      </w:pPr>
      <w:r>
        <w:rPr>
          <w:rFonts w:ascii="Consolas" w:hAnsi="Consolas" w:eastAsia="Consolas" w:cs="Consolas"/>
          <w:sz w:val="15"/>
          <w:szCs w:val="15"/>
        </w:rPr>
        <w:t>- Explique les couvertures observées sans affirmer qu’un test</w:t>
      </w:r>
    </w:p>
    <w:p w14:paraId="5343D3E4">
      <w:pPr>
        <w:shd w:val="clear" w:color="auto" w:fill="F4F6F9"/>
        <w:spacing w:after="0" w:line="220" w:lineRule="auto"/>
      </w:pPr>
      <w:r>
        <w:rPr>
          <w:rFonts w:ascii="Consolas" w:hAnsi="Consolas" w:eastAsia="Consolas" w:cs="Consolas"/>
          <w:sz w:val="15"/>
          <w:szCs w:val="15"/>
        </w:rPr>
        <w:t xml:space="preserve">  formel de calibration a été réalisé.</w:t>
      </w:r>
    </w:p>
    <w:p w14:paraId="41D32E85">
      <w:pPr>
        <w:shd w:val="clear" w:color="auto" w:fill="F4F6F9"/>
        <w:spacing w:after="0" w:line="220" w:lineRule="auto"/>
      </w:pPr>
      <w:r>
        <w:rPr>
          <w:rFonts w:ascii="Consolas" w:hAnsi="Consolas" w:eastAsia="Consolas" w:cs="Consolas"/>
          <w:sz w:val="15"/>
          <w:szCs w:val="15"/>
        </w:rPr>
        <w:t>- Une différence non significative ne prouve pas l’équivalence.</w:t>
      </w:r>
    </w:p>
    <w:p w14:paraId="05B980F9">
      <w:pPr>
        <w:shd w:val="clear" w:color="auto" w:fill="F4F6F9"/>
        <w:spacing w:after="0" w:line="220" w:lineRule="auto"/>
      </w:pPr>
      <w:r>
        <w:rPr>
          <w:rFonts w:ascii="Consolas" w:hAnsi="Consolas" w:eastAsia="Consolas" w:cs="Consolas"/>
          <w:sz w:val="15"/>
          <w:szCs w:val="15"/>
        </w:rPr>
        <w:t>- N’invente aucune valeur ni causalité.</w:t>
      </w:r>
    </w:p>
    <w:p w14:paraId="63F53469">
      <w:pPr>
        <w:shd w:val="clear" w:color="auto" w:fill="F4F6F9"/>
        <w:spacing w:after="0" w:line="220" w:lineRule="auto"/>
      </w:pPr>
      <w:r>
        <w:rPr>
          <w:rFonts w:ascii="Consolas" w:hAnsi="Consolas" w:eastAsia="Consolas" w:cs="Consolas"/>
          <w:sz w:val="15"/>
          <w:szCs w:val="15"/>
        </w:rPr>
        <w:t>- Ne donne pas encore de recommandation d’investissement.</w:t>
      </w:r>
    </w:p>
    <w:p w14:paraId="2C285472">
      <w:pPr>
        <w:spacing w:after="120" w:line="276" w:lineRule="auto"/>
        <w:jc w:val="both"/>
      </w:pPr>
      <w:r>
        <w:rPr>
          <w:b/>
          <w:bCs/>
          <w:sz w:val="20"/>
          <w:szCs w:val="20"/>
        </w:rPr>
        <w:t>Réponse du LLM (06_reponse_vulgarisation.md) :</w:t>
      </w:r>
    </w:p>
    <w:p w14:paraId="7D2446A3">
      <w:pPr>
        <w:spacing w:after="80" w:line="250" w:lineRule="auto"/>
        <w:jc w:val="both"/>
      </w:pPr>
      <w:r>
        <w:rPr>
          <w:i/>
          <w:iCs/>
          <w:sz w:val="19"/>
          <w:szCs w:val="19"/>
        </w:rPr>
        <w:t>L’étude montre que les modèles les plus complexes améliorent certains scores de prévision, mais leur avantage n’est pas systématiquement établi. Elle distingue deux besoins : prévoir un niveau de prix et mesurer l’incertitude autour de ce prix. La comparaison repose sur 394 dates de départ communes, avec des prévisions à cinq et dix séances boursières. Les paramètres des modèles restent fixes pendant le test, tandis que les nouvelles observations disponibles alimentent les prévisions suivantes. Ce protocole permet de comparer les méthodes dans les mêmes conditions, sans utiliser les prix futurs au moment de prévoir. La référence la plus simple consiste à prévoir un prix inchangé. L’ARIMA retenu, sans dérive, donne exactement cette même prévision. Le VAR(0) ajoute un rendement moyen estimé sur l’apprentissage ; malgré son nom multivarié, il n’utilise aucun rendement passé pour anticiper la séance suivante. LSTM et GRU cherchent, eux, des relations dans des fenêtres de rendements passés. Pour GLD, le LSTM obtient les meilleures erreurs parmi les modèles comparés. À dix séances, son erreur absolue moyenne est d’environ 7,72 USD, contre 8,00 USD pour le prix inchangé et 7,78 USD pour le VAR(0). Il améliore donc la précision numérique, mais l’écart avec le VAR(0) est limité. Pour SLV, le GRU obtient les meilleurs scores aux deux horizons. À dix séances, son erreur absolue moyenne atteint environ 1,78 USD, contre 1,81 USD pour le prix inchangé. Les erreurs relatives moyennes restent plus élevées pour SLV que pour GLD. Les erreurs en dollars ne doivent toutefois pas être comparées directement entre les deux actifs, dont les niveaux de prix diffèrent. Les tests statistiques nuancent ces classements. Après correction des 24 comparaisons, seules deux améliorations restent significatives : pour GLD à dix séances, le LSTM et le VAR(0) font mieux que le prix inchangé. Aucun avantage significatif du LSTM face au VAR(0), ni du LSTM face au GRU, n’est établi. Pour SLV, les gains numériques ne restent pas significatifs après correction. Cela ne prouve pas que les modèles sont équivalents : les données et le test ne permettent simplement pas de distinguer leurs performances avec suffisamment de certitude. Le GARCH répond à une autre question : quelle amplitude de fluctuations faut-il envisager ? Ses intervalles annoncés à 95 % couvrent environ 92,13 % à 93,91 % des prix observés. Ils présentent donc une sous-couverture descriptive sur cette période, particulièrement pour GLD à dix séances. Aucun test formel de calibration n’a cependant été réalisé. Les intervalles s’élargissent avec l’horizon, mais ignorent l’incertitude d’estimation des paramètres ; des effets de volatilité restent également présents dans les résidus. Le choix d’un outil doit ainsi tenir compte de la précision et de sa complexité. Le VAR(0) est simple à expliquer et à calculer. Les réseaux demandent davantage d’entraînement et de suivi, sans avantage régulier lors de la validation temporelle. Le LSTM conserve le meilleur score pour GLD sur ce test, mais sa complexité supplémentaire n’apporte pas de supériorité statistique démontrée face au VAR(0). Enfin, ces résultats évaluent la prévision et l’incertitude, pas la rentabilité d’une stratégie après frais.</w:t>
      </w:r>
    </w:p>
    <w:p w14:paraId="74D97263">
      <w:pPr>
        <w:pStyle w:val="4"/>
        <w:keepNext/>
      </w:pPr>
      <w:r>
        <w:t>A.3. Recommandations simulées (08_prompt_recommandations.txt)</w:t>
      </w:r>
    </w:p>
    <w:p w14:paraId="3472AC57">
      <w:pPr>
        <w:spacing w:after="120" w:line="276" w:lineRule="auto"/>
        <w:jc w:val="both"/>
      </w:pPr>
      <w:r>
        <w:rPr>
          <w:b/>
          <w:bCs/>
          <w:sz w:val="20"/>
          <w:szCs w:val="20"/>
        </w:rPr>
        <w:t>Prompt (tableaux de chiffres abrégés) :</w:t>
      </w:r>
    </w:p>
    <w:p w14:paraId="63082707">
      <w:pPr>
        <w:shd w:val="clear" w:color="auto" w:fill="F4F6F9"/>
        <w:spacing w:after="0" w:line="220" w:lineRule="auto"/>
      </w:pPr>
      <w:r>
        <w:rPr>
          <w:rFonts w:ascii="Consolas" w:hAnsi="Consolas" w:eastAsia="Consolas" w:cs="Consolas"/>
          <w:sz w:val="15"/>
          <w:szCs w:val="15"/>
        </w:rPr>
        <w:t>Dans un exercice pédagogique, place-toi au 2024-05-22,</w:t>
      </w:r>
    </w:p>
    <w:p w14:paraId="377E9752">
      <w:pPr>
        <w:shd w:val="clear" w:color="auto" w:fill="F4F6F9"/>
        <w:spacing w:after="0" w:line="220" w:lineRule="auto"/>
      </w:pPr>
      <w:r>
        <w:rPr>
          <w:rFonts w:ascii="Consolas" w:hAnsi="Consolas" w:eastAsia="Consolas" w:cs="Consolas"/>
          <w:sz w:val="15"/>
          <w:szCs w:val="15"/>
        </w:rPr>
        <w:t>à la clôture. Propose des recommandations d’investissement simulées</w:t>
      </w:r>
    </w:p>
    <w:p w14:paraId="55526231">
      <w:pPr>
        <w:shd w:val="clear" w:color="auto" w:fill="F4F6F9"/>
        <w:spacing w:after="0" w:line="220" w:lineRule="auto"/>
      </w:pPr>
      <w:r>
        <w:rPr>
          <w:rFonts w:ascii="Consolas" w:hAnsi="Consolas" w:eastAsia="Consolas" w:cs="Consolas"/>
          <w:sz w:val="15"/>
          <w:szCs w:val="15"/>
        </w:rPr>
        <w:t>pour GLD et SLV aux horizons de 5 et 10 séances.</w:t>
      </w:r>
    </w:p>
    <w:p w14:paraId="0E70F61A">
      <w:pPr>
        <w:shd w:val="clear" w:color="auto" w:fill="F4F6F9"/>
        <w:spacing w:after="0" w:line="220" w:lineRule="auto"/>
      </w:pPr>
      <w:r>
        <w:rPr>
          <w:rFonts w:ascii="Consolas" w:hAnsi="Consolas" w:eastAsia="Consolas" w:cs="Consolas"/>
          <w:sz w:val="15"/>
          <w:szCs w:val="15"/>
        </w:rPr>
        <w:t xml:space="preserve"> </w:t>
      </w:r>
    </w:p>
    <w:p w14:paraId="39C09ABA">
      <w:pPr>
        <w:shd w:val="clear" w:color="auto" w:fill="F4F6F9"/>
        <w:spacing w:after="0" w:line="220" w:lineRule="auto"/>
      </w:pPr>
      <w:r>
        <w:rPr>
          <w:rFonts w:ascii="Consolas" w:hAnsi="Consolas" w:eastAsia="Consolas" w:cs="Consolas"/>
          <w:sz w:val="15"/>
          <w:szCs w:val="15"/>
        </w:rPr>
        <w:t>PRÉVISIONS DISPONIBLES À CETTE DATE</w:t>
      </w:r>
    </w:p>
    <w:p w14:paraId="14CC4FDE">
      <w:pPr>
        <w:shd w:val="clear" w:color="auto" w:fill="F4F6F9"/>
        <w:spacing w:after="0" w:line="220" w:lineRule="auto"/>
      </w:pPr>
      <w:r>
        <w:rPr>
          <w:rFonts w:ascii="Consolas" w:hAnsi="Consolas" w:eastAsia="Consolas" w:cs="Consolas"/>
          <w:sz w:val="15"/>
          <w:szCs w:val="15"/>
        </w:rPr>
        <w:t>[tableau abrégé, voir le fichier]</w:t>
      </w:r>
    </w:p>
    <w:p w14:paraId="273B12C4">
      <w:pPr>
        <w:shd w:val="clear" w:color="auto" w:fill="F4F6F9"/>
        <w:spacing w:after="0" w:line="220" w:lineRule="auto"/>
      </w:pPr>
      <w:r>
        <w:rPr>
          <w:rFonts w:ascii="Consolas" w:hAnsi="Consolas" w:eastAsia="Consolas" w:cs="Consolas"/>
          <w:sz w:val="15"/>
          <w:szCs w:val="15"/>
        </w:rPr>
        <w:t xml:space="preserve"> </w:t>
      </w:r>
    </w:p>
    <w:p w14:paraId="0CFF3327">
      <w:pPr>
        <w:shd w:val="clear" w:color="auto" w:fill="F4F6F9"/>
        <w:spacing w:after="0" w:line="220" w:lineRule="auto"/>
      </w:pPr>
      <w:r>
        <w:rPr>
          <w:rFonts w:ascii="Consolas" w:hAnsi="Consolas" w:eastAsia="Consolas" w:cs="Consolas"/>
          <w:sz w:val="15"/>
          <w:szCs w:val="15"/>
        </w:rPr>
        <w:t>INTERVALLES GARCH PONCTUELS À 95 %</w:t>
      </w:r>
    </w:p>
    <w:p w14:paraId="3FF45DAF">
      <w:pPr>
        <w:shd w:val="clear" w:color="auto" w:fill="F4F6F9"/>
        <w:spacing w:after="0" w:line="220" w:lineRule="auto"/>
      </w:pPr>
      <w:r>
        <w:rPr>
          <w:rFonts w:ascii="Consolas" w:hAnsi="Consolas" w:eastAsia="Consolas" w:cs="Consolas"/>
          <w:sz w:val="15"/>
          <w:szCs w:val="15"/>
        </w:rPr>
        <w:t>Actif  Horizon  Mediane theorique  Borne basse 95 %  Borne haute 95 %</w:t>
      </w:r>
    </w:p>
    <w:p w14:paraId="0B5459AB">
      <w:pPr>
        <w:shd w:val="clear" w:color="auto" w:fill="F4F6F9"/>
        <w:spacing w:after="0" w:line="220" w:lineRule="auto"/>
      </w:pPr>
      <w:r>
        <w:rPr>
          <w:rFonts w:ascii="Consolas" w:hAnsi="Consolas" w:eastAsia="Consolas" w:cs="Consolas"/>
          <w:sz w:val="15"/>
          <w:szCs w:val="15"/>
        </w:rPr>
        <w:t xml:space="preserve">  GLD        5         220.110001        210.346752        230.592337</w:t>
      </w:r>
    </w:p>
    <w:p w14:paraId="65EEE938">
      <w:pPr>
        <w:shd w:val="clear" w:color="auto" w:fill="F4F6F9"/>
        <w:spacing w:after="0" w:line="220" w:lineRule="auto"/>
      </w:pPr>
      <w:r>
        <w:rPr>
          <w:rFonts w:ascii="Consolas" w:hAnsi="Consolas" w:eastAsia="Consolas" w:cs="Consolas"/>
          <w:sz w:val="15"/>
          <w:szCs w:val="15"/>
        </w:rPr>
        <w:t xml:space="preserve">  GLD       10         220.110001        206.358877        234.938624</w:t>
      </w:r>
    </w:p>
    <w:p w14:paraId="2AEF6901">
      <w:pPr>
        <w:shd w:val="clear" w:color="auto" w:fill="F4F6F9"/>
        <w:spacing w:after="0" w:line="220" w:lineRule="auto"/>
      </w:pPr>
      <w:r>
        <w:rPr>
          <w:rFonts w:ascii="Consolas" w:hAnsi="Consolas" w:eastAsia="Consolas" w:cs="Consolas"/>
          <w:sz w:val="15"/>
          <w:szCs w:val="15"/>
        </w:rPr>
        <w:t xml:space="preserve">  SLV        5          28.219999         25.674490         31.121380</w:t>
      </w:r>
    </w:p>
    <w:p w14:paraId="566BDC2E">
      <w:pPr>
        <w:shd w:val="clear" w:color="auto" w:fill="F4F6F9"/>
        <w:spacing w:after="0" w:line="220" w:lineRule="auto"/>
      </w:pPr>
      <w:r>
        <w:rPr>
          <w:rFonts w:ascii="Consolas" w:hAnsi="Consolas" w:eastAsia="Consolas" w:cs="Consolas"/>
          <w:sz w:val="15"/>
          <w:szCs w:val="15"/>
        </w:rPr>
        <w:t xml:space="preserve">  SLV       10          28.219999         24.623281         32.332263</w:t>
      </w:r>
    </w:p>
    <w:p w14:paraId="6E78D218">
      <w:pPr>
        <w:shd w:val="clear" w:color="auto" w:fill="F4F6F9"/>
        <w:spacing w:after="0" w:line="220" w:lineRule="auto"/>
      </w:pPr>
      <w:r>
        <w:rPr>
          <w:rFonts w:ascii="Consolas" w:hAnsi="Consolas" w:eastAsia="Consolas" w:cs="Consolas"/>
          <w:sz w:val="15"/>
          <w:szCs w:val="15"/>
        </w:rPr>
        <w:t xml:space="preserve"> </w:t>
      </w:r>
    </w:p>
    <w:p w14:paraId="76BE7CCE">
      <w:pPr>
        <w:shd w:val="clear" w:color="auto" w:fill="F4F6F9"/>
        <w:spacing w:after="0" w:line="220" w:lineRule="auto"/>
      </w:pPr>
      <w:r>
        <w:rPr>
          <w:rFonts w:ascii="Consolas" w:hAnsi="Consolas" w:eastAsia="Consolas" w:cs="Consolas"/>
          <w:sz w:val="15"/>
          <w:szCs w:val="15"/>
        </w:rPr>
        <w:t>CONTEXTE DISPONIBLE</w:t>
      </w:r>
    </w:p>
    <w:p w14:paraId="7A4FBDDD">
      <w:pPr>
        <w:shd w:val="clear" w:color="auto" w:fill="F4F6F9"/>
        <w:spacing w:after="0" w:line="220" w:lineRule="auto"/>
      </w:pPr>
      <w:r>
        <w:rPr>
          <w:rFonts w:ascii="Consolas" w:hAnsi="Consolas" w:eastAsia="Consolas" w:cs="Consolas"/>
          <w:sz w:val="15"/>
          <w:szCs w:val="15"/>
        </w:rPr>
        <w:t>Les réseaux utilisent une fenêtre de 30 rendements passés.</w:t>
      </w:r>
    </w:p>
    <w:p w14:paraId="02653608">
      <w:pPr>
        <w:shd w:val="clear" w:color="auto" w:fill="F4F6F9"/>
        <w:spacing w:after="0" w:line="220" w:lineRule="auto"/>
      </w:pPr>
      <w:r>
        <w:rPr>
          <w:rFonts w:ascii="Consolas" w:hAnsi="Consolas" w:eastAsia="Consolas" w:cs="Consolas"/>
          <w:sz w:val="15"/>
          <w:szCs w:val="15"/>
        </w:rPr>
        <w:t>La validation temporelle réalisée avant cette date ne montre</w:t>
      </w:r>
    </w:p>
    <w:p w14:paraId="37D3B27C">
      <w:pPr>
        <w:shd w:val="clear" w:color="auto" w:fill="F4F6F9"/>
        <w:spacing w:after="0" w:line="220" w:lineRule="auto"/>
      </w:pPr>
      <w:r>
        <w:rPr>
          <w:rFonts w:ascii="Consolas" w:hAnsi="Consolas" w:eastAsia="Consolas" w:cs="Consolas"/>
          <w:sz w:val="15"/>
          <w:szCs w:val="15"/>
        </w:rPr>
        <w:t>pas un avantage régulier face au rendement nul.</w:t>
      </w:r>
    </w:p>
    <w:p w14:paraId="44FDB47D">
      <w:pPr>
        <w:shd w:val="clear" w:color="auto" w:fill="F4F6F9"/>
        <w:spacing w:after="0" w:line="220" w:lineRule="auto"/>
      </w:pPr>
      <w:r>
        <w:rPr>
          <w:rFonts w:ascii="Consolas" w:hAnsi="Consolas" w:eastAsia="Consolas" w:cs="Consolas"/>
          <w:sz w:val="15"/>
          <w:szCs w:val="15"/>
        </w:rPr>
        <w:t>Les diagnostics GARCH sur l’apprentissage indiquent des effets</w:t>
      </w:r>
    </w:p>
    <w:p w14:paraId="2317870D">
      <w:pPr>
        <w:shd w:val="clear" w:color="auto" w:fill="F4F6F9"/>
        <w:spacing w:after="0" w:line="220" w:lineRule="auto"/>
      </w:pPr>
      <w:r>
        <w:rPr>
          <w:rFonts w:ascii="Consolas" w:hAnsi="Consolas" w:eastAsia="Consolas" w:cs="Consolas"/>
          <w:sz w:val="15"/>
          <w:szCs w:val="15"/>
        </w:rPr>
        <w:t>ARCH résiduels, particulièrement pour SLV.</w:t>
      </w:r>
    </w:p>
    <w:p w14:paraId="3C4B591A">
      <w:pPr>
        <w:shd w:val="clear" w:color="auto" w:fill="F4F6F9"/>
        <w:spacing w:after="0" w:line="220" w:lineRule="auto"/>
      </w:pPr>
      <w:r>
        <w:rPr>
          <w:rFonts w:ascii="Consolas" w:hAnsi="Consolas" w:eastAsia="Consolas" w:cs="Consolas"/>
          <w:sz w:val="15"/>
          <w:szCs w:val="15"/>
        </w:rPr>
        <w:t>Aucune stratégie de trading après frais n’a été évaluée.</w:t>
      </w:r>
    </w:p>
    <w:p w14:paraId="3B7A2FAA">
      <w:pPr>
        <w:shd w:val="clear" w:color="auto" w:fill="F4F6F9"/>
        <w:spacing w:after="0" w:line="220" w:lineRule="auto"/>
      </w:pPr>
      <w:r>
        <w:rPr>
          <w:rFonts w:ascii="Consolas" w:hAnsi="Consolas" w:eastAsia="Consolas" w:cs="Consolas"/>
          <w:sz w:val="15"/>
          <w:szCs w:val="15"/>
        </w:rPr>
        <w:t xml:space="preserve"> </w:t>
      </w:r>
    </w:p>
    <w:p w14:paraId="7999B2AA">
      <w:pPr>
        <w:shd w:val="clear" w:color="auto" w:fill="F4F6F9"/>
        <w:spacing w:after="0" w:line="220" w:lineRule="auto"/>
      </w:pPr>
      <w:r>
        <w:rPr>
          <w:rFonts w:ascii="Consolas" w:hAnsi="Consolas" w:eastAsia="Consolas" w:cs="Consolas"/>
          <w:sz w:val="15"/>
          <w:szCs w:val="15"/>
        </w:rPr>
        <w:t>CONSIGNES</w:t>
      </w:r>
    </w:p>
    <w:p w14:paraId="0B473CE8">
      <w:pPr>
        <w:shd w:val="clear" w:color="auto" w:fill="F4F6F9"/>
        <w:spacing w:after="0" w:line="220" w:lineRule="auto"/>
      </w:pPr>
      <w:r>
        <w:rPr>
          <w:rFonts w:ascii="Consolas" w:hAnsi="Consolas" w:eastAsia="Consolas" w:cs="Consolas"/>
          <w:sz w:val="15"/>
          <w:szCs w:val="15"/>
        </w:rPr>
        <w:t>1. Propose pour chaque actif une position simulée justifiée :</w:t>
      </w:r>
    </w:p>
    <w:p w14:paraId="639DD55F">
      <w:pPr>
        <w:shd w:val="clear" w:color="auto" w:fill="F4F6F9"/>
        <w:spacing w:after="0" w:line="220" w:lineRule="auto"/>
      </w:pPr>
      <w:r>
        <w:rPr>
          <w:rFonts w:ascii="Consolas" w:hAnsi="Consolas" w:eastAsia="Consolas" w:cs="Consolas"/>
          <w:sz w:val="15"/>
          <w:szCs w:val="15"/>
        </w:rPr>
        <w:t xml:space="preserve">   achat, vente ou abstention. L’abstention est une option valable.</w:t>
      </w:r>
    </w:p>
    <w:p w14:paraId="2C24FFCB">
      <w:pPr>
        <w:shd w:val="clear" w:color="auto" w:fill="F4F6F9"/>
        <w:spacing w:after="0" w:line="220" w:lineRule="auto"/>
      </w:pPr>
      <w:r>
        <w:rPr>
          <w:rFonts w:ascii="Consolas" w:hAnsi="Consolas" w:eastAsia="Consolas" w:cs="Consolas"/>
          <w:sz w:val="15"/>
          <w:szCs w:val="15"/>
        </w:rPr>
        <w:t>2. Relie les propositions aux variations prévues et à l’incertitude.</w:t>
      </w:r>
    </w:p>
    <w:p w14:paraId="253062B6">
      <w:pPr>
        <w:shd w:val="clear" w:color="auto" w:fill="F4F6F9"/>
        <w:spacing w:after="0" w:line="220" w:lineRule="auto"/>
      </w:pPr>
      <w:r>
        <w:rPr>
          <w:rFonts w:ascii="Consolas" w:hAnsi="Consolas" w:eastAsia="Consolas" w:cs="Consolas"/>
          <w:sz w:val="15"/>
          <w:szCs w:val="15"/>
        </w:rPr>
        <w:t>3. Explique les limites : désaccord entre modèles, erreurs possibles,</w:t>
      </w:r>
    </w:p>
    <w:p w14:paraId="6F1B1876">
      <w:pPr>
        <w:shd w:val="clear" w:color="auto" w:fill="F4F6F9"/>
        <w:spacing w:after="0" w:line="220" w:lineRule="auto"/>
      </w:pPr>
      <w:r>
        <w:rPr>
          <w:rFonts w:ascii="Consolas" w:hAnsi="Consolas" w:eastAsia="Consolas" w:cs="Consolas"/>
          <w:sz w:val="15"/>
          <w:szCs w:val="15"/>
        </w:rPr>
        <w:t xml:space="preserve">   frais, liquidité, changements de régime et estimation du risque.</w:t>
      </w:r>
    </w:p>
    <w:p w14:paraId="7A3DCFB2">
      <w:pPr>
        <w:shd w:val="clear" w:color="auto" w:fill="F4F6F9"/>
        <w:spacing w:after="0" w:line="220" w:lineRule="auto"/>
      </w:pPr>
      <w:r>
        <w:rPr>
          <w:rFonts w:ascii="Consolas" w:hAnsi="Consolas" w:eastAsia="Consolas" w:cs="Consolas"/>
          <w:sz w:val="15"/>
          <w:szCs w:val="15"/>
        </w:rPr>
        <w:t>4. Distingue les prévisions de prix des intervalles GARCH :</w:t>
      </w:r>
    </w:p>
    <w:p w14:paraId="58DD5EAE">
      <w:pPr>
        <w:shd w:val="clear" w:color="auto" w:fill="F4F6F9"/>
        <w:spacing w:after="0" w:line="220" w:lineRule="auto"/>
      </w:pPr>
      <w:r>
        <w:rPr>
          <w:rFonts w:ascii="Consolas" w:hAnsi="Consolas" w:eastAsia="Consolas" w:cs="Consolas"/>
          <w:sz w:val="15"/>
          <w:szCs w:val="15"/>
        </w:rPr>
        <w:t xml:space="preserve">   ces derniers ne sont pas des intervalles autour du LSTM ou du GRU.</w:t>
      </w:r>
    </w:p>
    <w:p w14:paraId="38C4A9B4">
      <w:pPr>
        <w:shd w:val="clear" w:color="auto" w:fill="F4F6F9"/>
        <w:spacing w:after="0" w:line="220" w:lineRule="auto"/>
      </w:pPr>
      <w:r>
        <w:rPr>
          <w:rFonts w:ascii="Consolas" w:hAnsi="Consolas" w:eastAsia="Consolas" w:cs="Consolas"/>
          <w:sz w:val="15"/>
          <w:szCs w:val="15"/>
        </w:rPr>
        <w:t>5. Ne transforme pas les intervalles en garantie de résultat.</w:t>
      </w:r>
    </w:p>
    <w:p w14:paraId="075FB7F8">
      <w:pPr>
        <w:shd w:val="clear" w:color="auto" w:fill="F4F6F9"/>
        <w:spacing w:after="0" w:line="220" w:lineRule="auto"/>
      </w:pPr>
      <w:r>
        <w:rPr>
          <w:rFonts w:ascii="Consolas" w:hAnsi="Consolas" w:eastAsia="Consolas" w:cs="Consolas"/>
          <w:sz w:val="15"/>
          <w:szCs w:val="15"/>
        </w:rPr>
        <w:t>6. N’invente pas de probabilité de hausse, de rendement garanti,</w:t>
      </w:r>
    </w:p>
    <w:p w14:paraId="61622CE2">
      <w:pPr>
        <w:shd w:val="clear" w:color="auto" w:fill="F4F6F9"/>
        <w:spacing w:after="0" w:line="220" w:lineRule="auto"/>
      </w:pPr>
      <w:r>
        <w:rPr>
          <w:rFonts w:ascii="Consolas" w:hAnsi="Consolas" w:eastAsia="Consolas" w:cs="Consolas"/>
          <w:sz w:val="15"/>
          <w:szCs w:val="15"/>
        </w:rPr>
        <w:t xml:space="preserve">   de seuil optimal ni de montant à investir.</w:t>
      </w:r>
    </w:p>
    <w:p w14:paraId="1C86C00D">
      <w:pPr>
        <w:shd w:val="clear" w:color="auto" w:fill="F4F6F9"/>
        <w:spacing w:after="0" w:line="220" w:lineRule="auto"/>
      </w:pPr>
      <w:r>
        <w:rPr>
          <w:rFonts w:ascii="Consolas" w:hAnsi="Consolas" w:eastAsia="Consolas" w:cs="Consolas"/>
          <w:sz w:val="15"/>
          <w:szCs w:val="15"/>
        </w:rPr>
        <w:t>7. N’utilise aucune observation ni performance postérieure</w:t>
      </w:r>
    </w:p>
    <w:p w14:paraId="559E020C">
      <w:pPr>
        <w:shd w:val="clear" w:color="auto" w:fill="F4F6F9"/>
        <w:spacing w:after="0" w:line="220" w:lineRule="auto"/>
      </w:pPr>
      <w:r>
        <w:rPr>
          <w:rFonts w:ascii="Consolas" w:hAnsi="Consolas" w:eastAsia="Consolas" w:cs="Consolas"/>
          <w:sz w:val="15"/>
          <w:szCs w:val="15"/>
        </w:rPr>
        <w:t xml:space="preserve">   à la date de décision. Ne recherche pas d’informations externes.</w:t>
      </w:r>
    </w:p>
    <w:p w14:paraId="714B5127">
      <w:pPr>
        <w:shd w:val="clear" w:color="auto" w:fill="F4F6F9"/>
        <w:spacing w:after="0" w:line="220" w:lineRule="auto"/>
      </w:pPr>
      <w:r>
        <w:rPr>
          <w:rFonts w:ascii="Consolas" w:hAnsi="Consolas" w:eastAsia="Consolas" w:cs="Consolas"/>
          <w:sz w:val="15"/>
          <w:szCs w:val="15"/>
        </w:rPr>
        <w:t xml:space="preserve"> </w:t>
      </w:r>
    </w:p>
    <w:p w14:paraId="63A76E48">
      <w:pPr>
        <w:shd w:val="clear" w:color="auto" w:fill="F4F6F9"/>
        <w:spacing w:after="0" w:line="220" w:lineRule="auto"/>
      </w:pPr>
      <w:r>
        <w:rPr>
          <w:rFonts w:ascii="Consolas" w:hAnsi="Consolas" w:eastAsia="Consolas" w:cs="Consolas"/>
          <w:sz w:val="15"/>
          <w:szCs w:val="15"/>
        </w:rPr>
        <w:t>Présente une réponse concise, avec un tableau de décisions simulées</w:t>
      </w:r>
    </w:p>
    <w:p w14:paraId="16E3007D">
      <w:pPr>
        <w:shd w:val="clear" w:color="auto" w:fill="F4F6F9"/>
        <w:spacing w:after="0" w:line="220" w:lineRule="auto"/>
      </w:pPr>
      <w:r>
        <w:rPr>
          <w:rFonts w:ascii="Consolas" w:hAnsi="Consolas" w:eastAsia="Consolas" w:cs="Consolas"/>
          <w:sz w:val="15"/>
          <w:szCs w:val="15"/>
        </w:rPr>
        <w:t>et une explication des risques. Il s’agit d’un scénario historique,</w:t>
      </w:r>
    </w:p>
    <w:p w14:paraId="0B21F17E">
      <w:pPr>
        <w:shd w:val="clear" w:color="auto" w:fill="F4F6F9"/>
        <w:spacing w:after="0" w:line="220" w:lineRule="auto"/>
      </w:pPr>
      <w:r>
        <w:rPr>
          <w:rFonts w:ascii="Consolas" w:hAnsi="Consolas" w:eastAsia="Consolas" w:cs="Consolas"/>
          <w:sz w:val="15"/>
          <w:szCs w:val="15"/>
        </w:rPr>
        <w:t>pas d’une recommandation actuelle.</w:t>
      </w:r>
    </w:p>
    <w:p w14:paraId="16566781">
      <w:pPr>
        <w:spacing w:after="120" w:line="276" w:lineRule="auto"/>
        <w:jc w:val="both"/>
      </w:pPr>
      <w:r>
        <w:rPr>
          <w:b/>
          <w:bCs/>
          <w:sz w:val="20"/>
          <w:szCs w:val="20"/>
        </w:rPr>
        <w:t>Réponse du LLM (09_reponse_recommandations.md) :</w:t>
      </w:r>
    </w:p>
    <w:p w14:paraId="68B685F4">
      <w:pPr>
        <w:spacing w:after="80" w:line="250" w:lineRule="auto"/>
        <w:jc w:val="both"/>
      </w:pPr>
      <w:r>
        <w:rPr>
          <w:i/>
          <w:iCs/>
          <w:sz w:val="19"/>
          <w:szCs w:val="19"/>
        </w:rPr>
        <w:t>Au 22 mai 2024 à la clôture, l’abstention est la décision simulée retenue pour les deux actifs aux deux horizons. Les réseaux prévoient de faibles hausses, mais leur avantage prédictif n’est pas régulier dans la validation disponible à cette date.</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1"/>
        <w:gridCol w:w="771"/>
        <w:gridCol w:w="1638"/>
        <w:gridCol w:w="964"/>
        <w:gridCol w:w="5494"/>
      </w:tblGrid>
      <w:tr w14:paraId="7ABD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7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72848D9">
            <w:pPr>
              <w:keepNext/>
              <w:spacing w:after="0" w:line="240" w:lineRule="auto"/>
              <w:jc w:val="left"/>
            </w:pPr>
            <w:r>
              <w:rPr>
                <w:b/>
                <w:bCs/>
                <w:color w:val="FFFFFF"/>
                <w:sz w:val="15"/>
                <w:szCs w:val="15"/>
              </w:rPr>
              <w:t>Actif</w:t>
            </w:r>
          </w:p>
        </w:tc>
        <w:tc>
          <w:tcPr>
            <w:tcW w:w="771"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5A19A2B1">
            <w:pPr>
              <w:keepNext/>
              <w:spacing w:after="0" w:line="240" w:lineRule="auto"/>
              <w:jc w:val="left"/>
            </w:pPr>
            <w:r>
              <w:rPr>
                <w:b/>
                <w:bCs/>
                <w:color w:val="FFFFFF"/>
                <w:sz w:val="15"/>
                <w:szCs w:val="15"/>
              </w:rPr>
              <w:t>Horizon</w:t>
            </w:r>
          </w:p>
        </w:tc>
        <w:tc>
          <w:tcPr>
            <w:tcW w:w="1638"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2D81E804">
            <w:pPr>
              <w:keepNext/>
              <w:spacing w:after="0" w:line="240" w:lineRule="auto"/>
              <w:jc w:val="left"/>
            </w:pPr>
            <w:r>
              <w:rPr>
                <w:b/>
                <w:bCs/>
                <w:color w:val="FFFFFF"/>
                <w:sz w:val="15"/>
                <w:szCs w:val="15"/>
              </w:rPr>
              <w:t>Variation prévue LSTM / GRU</w:t>
            </w:r>
          </w:p>
        </w:tc>
        <w:tc>
          <w:tcPr>
            <w:tcW w:w="96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652DF05F">
            <w:pPr>
              <w:keepNext/>
              <w:spacing w:after="0" w:line="240" w:lineRule="auto"/>
              <w:jc w:val="left"/>
            </w:pPr>
            <w:r>
              <w:rPr>
                <w:b/>
                <w:bCs/>
                <w:color w:val="FFFFFF"/>
                <w:sz w:val="15"/>
                <w:szCs w:val="15"/>
              </w:rPr>
              <w:t>Décision simulée</w:t>
            </w:r>
          </w:p>
        </w:tc>
        <w:tc>
          <w:tcPr>
            <w:tcW w:w="549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389E2F80">
            <w:pPr>
              <w:keepNext/>
              <w:spacing w:after="0" w:line="240" w:lineRule="auto"/>
              <w:jc w:val="left"/>
            </w:pPr>
            <w:r>
              <w:rPr>
                <w:b/>
                <w:bCs/>
                <w:color w:val="FFFFFF"/>
                <w:sz w:val="15"/>
                <w:szCs w:val="15"/>
              </w:rPr>
              <w:t>Justification</w:t>
            </w:r>
          </w:p>
        </w:tc>
      </w:tr>
      <w:tr w14:paraId="11F3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391BCF7">
            <w:pPr>
              <w:keepNext/>
              <w:spacing w:after="0" w:line="240" w:lineRule="auto"/>
              <w:jc w:val="left"/>
            </w:pPr>
            <w:r>
              <w:rPr>
                <w:sz w:val="15"/>
                <w:szCs w:val="15"/>
              </w:rPr>
              <w:t>GLD</w:t>
            </w:r>
          </w:p>
        </w:tc>
        <w:tc>
          <w:tcPr>
            <w:tcW w:w="77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182243B">
            <w:pPr>
              <w:keepNext/>
              <w:spacing w:after="0" w:line="240" w:lineRule="auto"/>
              <w:jc w:val="left"/>
            </w:pPr>
            <w:r>
              <w:rPr>
                <w:sz w:val="15"/>
                <w:szCs w:val="15"/>
              </w:rPr>
              <w:t>5 séances</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050457B">
            <w:pPr>
              <w:keepNext/>
              <w:spacing w:after="0" w:line="240" w:lineRule="auto"/>
              <w:jc w:val="left"/>
            </w:pPr>
            <w:r>
              <w:rPr>
                <w:sz w:val="15"/>
                <w:szCs w:val="15"/>
              </w:rPr>
              <w:t>+0,136 % / +0,155 %</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BB650B4">
            <w:pPr>
              <w:keepNext/>
              <w:spacing w:after="0" w:line="240" w:lineRule="auto"/>
              <w:jc w:val="left"/>
            </w:pPr>
            <w:r>
              <w:rPr>
                <w:sz w:val="15"/>
                <w:szCs w:val="15"/>
              </w:rPr>
              <w:t>Abstention</w:t>
            </w:r>
          </w:p>
        </w:tc>
        <w:tc>
          <w:tcPr>
            <w:tcW w:w="549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93899D9">
            <w:pPr>
              <w:keepNext/>
              <w:spacing w:after="0" w:line="240" w:lineRule="auto"/>
              <w:jc w:val="left"/>
            </w:pPr>
            <w:r>
              <w:rPr>
                <w:sz w:val="15"/>
                <w:szCs w:val="15"/>
              </w:rPr>
              <w:t>Signal positif faible ; la référence prévoit un prix inchangé et l’incertitude GARCH est large.</w:t>
            </w:r>
          </w:p>
        </w:tc>
      </w:tr>
      <w:tr w14:paraId="19E9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4D05256">
            <w:pPr>
              <w:keepNext/>
              <w:spacing w:after="0" w:line="240" w:lineRule="auto"/>
              <w:jc w:val="left"/>
            </w:pPr>
            <w:r>
              <w:rPr>
                <w:sz w:val="15"/>
                <w:szCs w:val="15"/>
              </w:rPr>
              <w:t>GLD</w:t>
            </w:r>
          </w:p>
        </w:tc>
        <w:tc>
          <w:tcPr>
            <w:tcW w:w="77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D51DA04">
            <w:pPr>
              <w:keepNext/>
              <w:spacing w:after="0" w:line="240" w:lineRule="auto"/>
              <w:jc w:val="left"/>
            </w:pPr>
            <w:r>
              <w:rPr>
                <w:sz w:val="15"/>
                <w:szCs w:val="15"/>
              </w:rPr>
              <w:t>10 séances</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B2DC8B1">
            <w:pPr>
              <w:keepNext/>
              <w:spacing w:after="0" w:line="240" w:lineRule="auto"/>
              <w:jc w:val="left"/>
            </w:pPr>
            <w:r>
              <w:rPr>
                <w:sz w:val="15"/>
                <w:szCs w:val="15"/>
              </w:rPr>
              <w:t>+0,249 % / +0,251 %</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6132C8C7">
            <w:pPr>
              <w:keepNext/>
              <w:spacing w:after="0" w:line="240" w:lineRule="auto"/>
              <w:jc w:val="left"/>
            </w:pPr>
            <w:r>
              <w:rPr>
                <w:sz w:val="15"/>
                <w:szCs w:val="15"/>
              </w:rPr>
              <w:t>Abstention</w:t>
            </w:r>
          </w:p>
        </w:tc>
        <w:tc>
          <w:tcPr>
            <w:tcW w:w="549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EC0C0D0">
            <w:pPr>
              <w:keepNext/>
              <w:spacing w:after="0" w:line="240" w:lineRule="auto"/>
              <w:jc w:val="left"/>
            </w:pPr>
            <w:r>
              <w:rPr>
                <w:sz w:val="15"/>
                <w:szCs w:val="15"/>
              </w:rPr>
              <w:t>Les réseaux concordent, mais cette concordance ne démontre pas une occasion rentable après frais.</w:t>
            </w:r>
          </w:p>
        </w:tc>
      </w:tr>
      <w:tr w14:paraId="53997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39A6E47">
            <w:pPr>
              <w:keepNext/>
              <w:spacing w:after="0" w:line="240" w:lineRule="auto"/>
              <w:jc w:val="left"/>
            </w:pPr>
            <w:r>
              <w:rPr>
                <w:sz w:val="15"/>
                <w:szCs w:val="15"/>
              </w:rPr>
              <w:t>SLV</w:t>
            </w:r>
          </w:p>
        </w:tc>
        <w:tc>
          <w:tcPr>
            <w:tcW w:w="771"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1C4D764A">
            <w:pPr>
              <w:keepNext/>
              <w:spacing w:after="0" w:line="240" w:lineRule="auto"/>
              <w:jc w:val="left"/>
            </w:pPr>
            <w:r>
              <w:rPr>
                <w:sz w:val="15"/>
                <w:szCs w:val="15"/>
              </w:rPr>
              <w:t>5 séances</w:t>
            </w:r>
          </w:p>
        </w:tc>
        <w:tc>
          <w:tcPr>
            <w:tcW w:w="1638"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ABC4EDE">
            <w:pPr>
              <w:keepNext/>
              <w:spacing w:after="0" w:line="240" w:lineRule="auto"/>
              <w:jc w:val="left"/>
            </w:pPr>
            <w:r>
              <w:rPr>
                <w:sz w:val="15"/>
                <w:szCs w:val="15"/>
              </w:rPr>
              <w:t>+0,054 % / +0,074 %</w:t>
            </w:r>
          </w:p>
        </w:tc>
        <w:tc>
          <w:tcPr>
            <w:tcW w:w="96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47A10ACA">
            <w:pPr>
              <w:keepNext/>
              <w:spacing w:after="0" w:line="240" w:lineRule="auto"/>
              <w:jc w:val="left"/>
            </w:pPr>
            <w:r>
              <w:rPr>
                <w:sz w:val="15"/>
                <w:szCs w:val="15"/>
              </w:rPr>
              <w:t>Abstention</w:t>
            </w:r>
          </w:p>
        </w:tc>
        <w:tc>
          <w:tcPr>
            <w:tcW w:w="549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565CF2E8">
            <w:pPr>
              <w:keepNext/>
              <w:spacing w:after="0" w:line="240" w:lineRule="auto"/>
              <w:jc w:val="left"/>
            </w:pPr>
            <w:r>
              <w:rPr>
                <w:sz w:val="15"/>
                <w:szCs w:val="15"/>
              </w:rPr>
              <w:t>Hausse prévue très limitée face à l’amplitude des fluctuations envisagées.</w:t>
            </w:r>
          </w:p>
        </w:tc>
      </w:tr>
      <w:tr w14:paraId="042A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D411C2A">
            <w:pPr>
              <w:keepNext w:val="0"/>
              <w:spacing w:after="0" w:line="240" w:lineRule="auto"/>
              <w:jc w:val="left"/>
            </w:pPr>
            <w:r>
              <w:rPr>
                <w:sz w:val="15"/>
                <w:szCs w:val="15"/>
              </w:rPr>
              <w:t>SLV</w:t>
            </w:r>
          </w:p>
        </w:tc>
        <w:tc>
          <w:tcPr>
            <w:tcW w:w="771"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0993174">
            <w:pPr>
              <w:keepNext w:val="0"/>
              <w:spacing w:after="0" w:line="240" w:lineRule="auto"/>
              <w:jc w:val="left"/>
            </w:pPr>
            <w:r>
              <w:rPr>
                <w:sz w:val="15"/>
                <w:szCs w:val="15"/>
              </w:rPr>
              <w:t>10 séances</w:t>
            </w:r>
          </w:p>
        </w:tc>
        <w:tc>
          <w:tcPr>
            <w:tcW w:w="1638"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A0FEA34">
            <w:pPr>
              <w:keepNext w:val="0"/>
              <w:spacing w:after="0" w:line="240" w:lineRule="auto"/>
              <w:jc w:val="left"/>
            </w:pPr>
            <w:r>
              <w:rPr>
                <w:sz w:val="15"/>
                <w:szCs w:val="15"/>
              </w:rPr>
              <w:t>+0,161 % / +0,222 %</w:t>
            </w:r>
          </w:p>
        </w:tc>
        <w:tc>
          <w:tcPr>
            <w:tcW w:w="96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20E686D">
            <w:pPr>
              <w:keepNext w:val="0"/>
              <w:spacing w:after="0" w:line="240" w:lineRule="auto"/>
              <w:jc w:val="left"/>
            </w:pPr>
            <w:r>
              <w:rPr>
                <w:sz w:val="15"/>
                <w:szCs w:val="15"/>
              </w:rPr>
              <w:t>Abstention</w:t>
            </w:r>
          </w:p>
        </w:tc>
        <w:tc>
          <w:tcPr>
            <w:tcW w:w="549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671EFD2">
            <w:pPr>
              <w:keepNext w:val="0"/>
              <w:spacing w:after="0" w:line="240" w:lineRule="auto"/>
              <w:jc w:val="left"/>
            </w:pPr>
            <w:r>
              <w:rPr>
                <w:sz w:val="15"/>
                <w:szCs w:val="15"/>
              </w:rPr>
              <w:t>Signal modeste, avec un risque imparfaitement décrit par le GARCH.</w:t>
            </w:r>
          </w:p>
        </w:tc>
      </w:tr>
    </w:tbl>
    <w:p w14:paraId="3F01A5C3">
      <w:pPr>
        <w:spacing w:before="0" w:after="80"/>
      </w:pPr>
    </w:p>
    <w:p w14:paraId="0FF28C97">
      <w:pPr>
        <w:spacing w:after="80" w:line="250" w:lineRule="auto"/>
        <w:jc w:val="both"/>
      </w:pPr>
      <w:r>
        <w:rPr>
          <w:i/>
          <w:iCs/>
          <w:sz w:val="19"/>
          <w:szCs w:val="19"/>
        </w:rPr>
        <w:t>Les prévisions ponctuelles indiquent une direction légèrement haussière. Elles ne fournissent ni une probabilité de hausse ni une garantie de gain. Le prix inchangé reste une référence concurrente ; LSTM et GRU utilisent les mêmes données, donc leur accord ne constitue pas deux confirmations indépendantes. Les intervalles GARCH décrivent séparément l’incertitude des prix sous un modèle de rendements à moyenne nulle. Pour GLD, ils vont de 210,35 à 230,59 USD à cinq séances et de 206,36 à 234,94 USD à dix séances. Pour SLV, les bornes sont respectivement 25,67–31,12 USD et 24,62–32,33 USD. Ces amplitudes sont importantes face aux petites variations prévues par les réseaux. Toutefois, ces intervalles ne sont pas des intervalles autour des prévisions LSTM ou GRU, et leur largeur ne constitue pas, à elle seule, un test de rentabilité. Les frais, les écarts entre prix d’achat et de vente et les conditions de liquidité pourraient absorber les faibles gains envisagés ; leur effet n’a pas été mesuré. Des changements de régime ou des événements nouveaux peuvent également dégrader les prévisions. Enfin, les effets ARCH résiduels, particulièrement pour SLV, signalent que le modèle de risque reste incomplet. L’abstention signifie ici ne pas ouvrir de nouvelle position sur la seule base de ces signaux. Elle ne préjuge pas de la gestion d’une position existante, qui nécessiterait des informations sur ses objectifs et contraintes. Cette décision pédagogique repose exclusivement sur les éléments fournis disponibles au 22 mai 2024.</w:t>
      </w:r>
    </w:p>
    <w:p w14:paraId="5AAE63B0">
      <w:pPr>
        <w:pStyle w:val="3"/>
        <w:keepNext/>
      </w:pPr>
      <w:r>
        <w:t>Annexe B. Organisation du dépôt</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4"/>
        <w:gridCol w:w="6554"/>
      </w:tblGrid>
      <w:tr w14:paraId="3E3C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08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16AA46AF">
            <w:pPr>
              <w:keepNext/>
              <w:spacing w:after="0" w:line="240" w:lineRule="auto"/>
              <w:jc w:val="left"/>
            </w:pPr>
            <w:r>
              <w:rPr>
                <w:b/>
                <w:bCs/>
                <w:color w:val="FFFFFF"/>
                <w:sz w:val="18"/>
                <w:szCs w:val="18"/>
              </w:rPr>
              <w:t>Élément</w:t>
            </w:r>
          </w:p>
        </w:tc>
        <w:tc>
          <w:tcPr>
            <w:tcW w:w="6554" w:type="dxa"/>
            <w:tcBorders>
              <w:top w:val="single" w:color="8EA9DB" w:sz="4" w:space="0"/>
              <w:left w:val="single" w:color="8EA9DB" w:sz="4" w:space="0"/>
              <w:bottom w:val="single" w:color="8EA9DB" w:sz="4" w:space="0"/>
              <w:right w:val="single" w:color="8EA9DB" w:sz="4" w:space="0"/>
            </w:tcBorders>
            <w:shd w:val="clear" w:color="auto" w:fill="1F3864"/>
            <w:tcMar>
              <w:top w:w="40" w:type="dxa"/>
              <w:left w:w="80" w:type="dxa"/>
              <w:bottom w:w="40" w:type="dxa"/>
              <w:right w:w="80" w:type="dxa"/>
            </w:tcMar>
            <w:vAlign w:val="center"/>
          </w:tcPr>
          <w:p w14:paraId="77F2D13A">
            <w:pPr>
              <w:keepNext/>
              <w:spacing w:after="0" w:line="240" w:lineRule="auto"/>
              <w:jc w:val="left"/>
            </w:pPr>
            <w:r>
              <w:rPr>
                <w:b/>
                <w:bCs/>
                <w:color w:val="FFFFFF"/>
                <w:sz w:val="18"/>
                <w:szCs w:val="18"/>
              </w:rPr>
              <w:t>Contenu</w:t>
            </w:r>
          </w:p>
        </w:tc>
      </w:tr>
      <w:tr w14:paraId="156C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B05FDB8">
            <w:pPr>
              <w:keepNext/>
              <w:spacing w:after="0" w:line="240" w:lineRule="auto"/>
              <w:jc w:val="left"/>
            </w:pPr>
            <w:r>
              <w:rPr>
                <w:sz w:val="18"/>
                <w:szCs w:val="18"/>
              </w:rPr>
              <w:t>notebooks/01_or_argent.ipynb</w:t>
            </w:r>
          </w:p>
        </w:tc>
        <w:tc>
          <w:tcPr>
            <w:tcW w:w="655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6F94E7A4">
            <w:pPr>
              <w:keepNext/>
              <w:spacing w:after="0" w:line="240" w:lineRule="auto"/>
              <w:jc w:val="left"/>
            </w:pPr>
            <w:r>
              <w:rPr>
                <w:sz w:val="18"/>
                <w:szCs w:val="18"/>
              </w:rPr>
              <w:t>Notebook principal (sections 1 à 9) : données, exploration, modèles, réseaux, évaluation, LLM</w:t>
            </w:r>
          </w:p>
        </w:tc>
      </w:tr>
      <w:tr w14:paraId="160B8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5AD0718D">
            <w:pPr>
              <w:keepNext/>
              <w:spacing w:after="0" w:line="240" w:lineRule="auto"/>
              <w:jc w:val="left"/>
            </w:pPr>
            <w:r>
              <w:rPr>
                <w:sz w:val="18"/>
                <w:szCs w:val="18"/>
              </w:rPr>
              <w:t>scripts_R/02_modeles_classiques.R</w:t>
            </w:r>
          </w:p>
        </w:tc>
        <w:tc>
          <w:tcPr>
            <w:tcW w:w="655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B4BF0A7">
            <w:pPr>
              <w:keepNext/>
              <w:spacing w:after="0" w:line="240" w:lineRule="auto"/>
              <w:jc w:val="left"/>
            </w:pPr>
            <w:r>
              <w:rPr>
                <w:sz w:val="18"/>
                <w:szCs w:val="18"/>
              </w:rPr>
              <w:t>Réestimation des modèles classiques en R (ARIMA, VAR, Granger, Johansen, GARCH, prévisions glissantes)</w:t>
            </w:r>
          </w:p>
        </w:tc>
      </w:tr>
      <w:tr w14:paraId="27E2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3C9F180">
            <w:pPr>
              <w:keepNext/>
              <w:spacing w:after="0" w:line="240" w:lineRule="auto"/>
              <w:jc w:val="left"/>
            </w:pPr>
            <w:r>
              <w:rPr>
                <w:sz w:val="18"/>
                <w:szCs w:val="18"/>
              </w:rPr>
              <w:t>data/raw/</w:t>
            </w:r>
          </w:p>
        </w:tc>
        <w:tc>
          <w:tcPr>
            <w:tcW w:w="655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D315A0C">
            <w:pPr>
              <w:keepNext/>
              <w:spacing w:after="0" w:line="240" w:lineRule="auto"/>
              <w:jc w:val="left"/>
            </w:pPr>
            <w:r>
              <w:rPr>
                <w:sz w:val="18"/>
                <w:szCs w:val="18"/>
              </w:rPr>
              <w:t>Données brutes Yahoo Finance de GLD et SLV (OHLC, Adj Close, Volume)</w:t>
            </w:r>
          </w:p>
        </w:tc>
      </w:tr>
      <w:tr w14:paraId="3565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C7EF14B">
            <w:pPr>
              <w:keepNext/>
              <w:spacing w:after="0" w:line="240" w:lineRule="auto"/>
              <w:jc w:val="left"/>
            </w:pPr>
            <w:r>
              <w:rPr>
                <w:sz w:val="18"/>
                <w:szCs w:val="18"/>
              </w:rPr>
              <w:t>data/processed/</w:t>
            </w:r>
          </w:p>
        </w:tc>
        <w:tc>
          <w:tcPr>
            <w:tcW w:w="655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4D01834C">
            <w:pPr>
              <w:keepNext/>
              <w:spacing w:after="0" w:line="240" w:lineRule="auto"/>
              <w:jc w:val="left"/>
            </w:pPr>
            <w:r>
              <w:rPr>
                <w:sz w:val="18"/>
                <w:szCs w:val="18"/>
              </w:rPr>
              <w:t>Tableaux intermédiaires et résultats (CSV) ; sous-dossier r/ pour les sorties R</w:t>
            </w:r>
          </w:p>
        </w:tc>
      </w:tr>
      <w:tr w14:paraId="37D0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0F5DEFC">
            <w:pPr>
              <w:keepNext/>
              <w:spacing w:after="0" w:line="240" w:lineRule="auto"/>
              <w:jc w:val="left"/>
            </w:pPr>
            <w:r>
              <w:rPr>
                <w:sz w:val="18"/>
                <w:szCs w:val="18"/>
              </w:rPr>
              <w:t>figures/</w:t>
            </w:r>
          </w:p>
        </w:tc>
        <w:tc>
          <w:tcPr>
            <w:tcW w:w="655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676FFB9">
            <w:pPr>
              <w:keepNext/>
              <w:spacing w:after="0" w:line="240" w:lineRule="auto"/>
              <w:jc w:val="left"/>
            </w:pPr>
            <w:r>
              <w:rPr>
                <w:sz w:val="18"/>
                <w:szCs w:val="18"/>
              </w:rPr>
              <w:t>Graphiques du notebook ; sous-dossier r/ pour les graphiques R</w:t>
            </w:r>
          </w:p>
        </w:tc>
      </w:tr>
      <w:tr w14:paraId="55AA8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701CE65D">
            <w:pPr>
              <w:keepNext/>
              <w:spacing w:after="0" w:line="240" w:lineRule="auto"/>
              <w:jc w:val="left"/>
            </w:pPr>
            <w:r>
              <w:rPr>
                <w:sz w:val="18"/>
                <w:szCs w:val="18"/>
              </w:rPr>
              <w:t>models/</w:t>
            </w:r>
          </w:p>
        </w:tc>
        <w:tc>
          <w:tcPr>
            <w:tcW w:w="655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028AFF89">
            <w:pPr>
              <w:keepNext/>
              <w:spacing w:after="0" w:line="240" w:lineRule="auto"/>
              <w:jc w:val="left"/>
            </w:pPr>
            <w:r>
              <w:rPr>
                <w:sz w:val="18"/>
                <w:szCs w:val="18"/>
              </w:rPr>
              <w:t>Réseaux finaux (.keras), scaler (.joblib), objets R (.rds)</w:t>
            </w:r>
          </w:p>
        </w:tc>
      </w:tr>
      <w:tr w14:paraId="71D6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068D131B">
            <w:pPr>
              <w:keepNext/>
              <w:spacing w:after="0" w:line="240" w:lineRule="auto"/>
              <w:jc w:val="left"/>
            </w:pPr>
            <w:r>
              <w:rPr>
                <w:sz w:val="18"/>
                <w:szCs w:val="18"/>
              </w:rPr>
              <w:t>reports/llm/</w:t>
            </w:r>
          </w:p>
        </w:tc>
        <w:tc>
          <w:tcPr>
            <w:tcW w:w="655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BBBB45B">
            <w:pPr>
              <w:keepNext/>
              <w:spacing w:after="0" w:line="240" w:lineRule="auto"/>
              <w:jc w:val="left"/>
            </w:pPr>
            <w:r>
              <w:rPr>
                <w:sz w:val="18"/>
                <w:szCs w:val="18"/>
              </w:rPr>
              <w:t>Prompts, réponses intégrales et grilles de critique des consultations LLM</w:t>
            </w:r>
          </w:p>
        </w:tc>
      </w:tr>
      <w:tr w14:paraId="3CB3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1A89823A">
            <w:pPr>
              <w:keepNext/>
              <w:spacing w:after="0" w:line="240" w:lineRule="auto"/>
              <w:jc w:val="left"/>
            </w:pPr>
            <w:r>
              <w:rPr>
                <w:sz w:val="18"/>
                <w:szCs w:val="18"/>
              </w:rPr>
              <w:t>reports/r/</w:t>
            </w:r>
          </w:p>
        </w:tc>
        <w:tc>
          <w:tcPr>
            <w:tcW w:w="6554" w:type="dxa"/>
            <w:tcBorders>
              <w:top w:val="single" w:color="8EA9DB" w:sz="4" w:space="0"/>
              <w:left w:val="single" w:color="8EA9DB" w:sz="4" w:space="0"/>
              <w:bottom w:val="single" w:color="8EA9DB" w:sz="4" w:space="0"/>
              <w:right w:val="single" w:color="8EA9DB" w:sz="4" w:space="0"/>
            </w:tcBorders>
            <w:shd w:val="clear" w:color="auto" w:fill="F7F9FC"/>
            <w:tcMar>
              <w:top w:w="40" w:type="dxa"/>
              <w:left w:w="80" w:type="dxa"/>
              <w:bottom w:w="40" w:type="dxa"/>
              <w:right w:w="80" w:type="dxa"/>
            </w:tcMar>
            <w:vAlign w:val="center"/>
          </w:tcPr>
          <w:p w14:paraId="25B1E795">
            <w:pPr>
              <w:keepNext/>
              <w:spacing w:after="0" w:line="240" w:lineRule="auto"/>
              <w:jc w:val="left"/>
            </w:pPr>
            <w:r>
              <w:rPr>
                <w:sz w:val="18"/>
                <w:szCs w:val="18"/>
              </w:rPr>
              <w:t>Résumés des estimations R et informations de session</w:t>
            </w:r>
          </w:p>
        </w:tc>
      </w:tr>
      <w:tr w14:paraId="0A03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727BF935">
            <w:pPr>
              <w:keepNext w:val="0"/>
              <w:spacing w:after="0" w:line="240" w:lineRule="auto"/>
              <w:jc w:val="left"/>
            </w:pPr>
            <w:r>
              <w:rPr>
                <w:sz w:val="18"/>
                <w:szCs w:val="18"/>
              </w:rPr>
              <w:t>Environnements</w:t>
            </w:r>
          </w:p>
        </w:tc>
        <w:tc>
          <w:tcPr>
            <w:tcW w:w="6554" w:type="dxa"/>
            <w:tcBorders>
              <w:top w:val="single" w:color="8EA9DB" w:sz="4" w:space="0"/>
              <w:left w:val="single" w:color="8EA9DB" w:sz="4" w:space="0"/>
              <w:bottom w:val="single" w:color="8EA9DB" w:sz="4" w:space="0"/>
              <w:right w:val="single" w:color="8EA9DB" w:sz="4" w:space="0"/>
            </w:tcBorders>
            <w:tcMar>
              <w:top w:w="40" w:type="dxa"/>
              <w:left w:w="80" w:type="dxa"/>
              <w:bottom w:w="40" w:type="dxa"/>
              <w:right w:w="80" w:type="dxa"/>
            </w:tcMar>
            <w:vAlign w:val="center"/>
          </w:tcPr>
          <w:p w14:paraId="23D12A21">
            <w:pPr>
              <w:keepNext w:val="0"/>
              <w:spacing w:after="0" w:line="240" w:lineRule="auto"/>
              <w:jc w:val="left"/>
            </w:pPr>
            <w:r>
              <w:rPr>
                <w:sz w:val="18"/>
                <w:szCs w:val="18"/>
              </w:rPr>
              <w:t>Python : TensorFlow 2.21, scikit-learn 1.7.2, statsmodels, pmdarima, arch ; R 4.6.1 : forecast, vars, urca, tseries, rugarch, FinTS</w:t>
            </w:r>
          </w:p>
        </w:tc>
      </w:tr>
    </w:tbl>
    <w:p w14:paraId="060CF297">
      <w:pPr>
        <w:spacing w:before="0" w:after="80"/>
      </w:pPr>
    </w:p>
    <w:sectPr>
      <w:footerReference r:id="rId6" w:type="default"/>
      <w:pgSz w:w="11906" w:h="16838"/>
      <w:pgMar w:top="1134" w:right="1134" w:bottom="1134" w:left="1134" w:header="567" w:footer="56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7553">
    <w:pPr>
      <w:jc w:val="center"/>
    </w:pPr>
    <w:r>
      <w:rPr>
        <w:color w:val="000000"/>
        <w:sz w:val="16"/>
        <w:szCs w:val="16"/>
      </w:rPr>
      <w:t xml:space="preserve">Page </w:t>
    </w:r>
    <w:r>
      <w:rPr>
        <w:color w:val="000000"/>
        <w:sz w:val="16"/>
        <w:szCs w:val="16"/>
      </w:rPr>
      <w:fldChar w:fldCharType="begin"/>
    </w:r>
    <w:r>
      <w:rPr>
        <w:color w:val="000000"/>
        <w:sz w:val="16"/>
        <w:szCs w:val="16"/>
      </w:rPr>
      <w:instrText xml:space="preserve">PAGE</w:instrText>
    </w:r>
    <w:r>
      <w:rPr>
        <w:color w:val="000000"/>
        <w:sz w:val="16"/>
        <w:szCs w:val="16"/>
      </w:rPr>
      <w:fldChar w:fldCharType="separate"/>
    </w:r>
    <w:r>
      <w:rPr>
        <w:color w:val="000000"/>
        <w:sz w:val="16"/>
        <w:szCs w:val="16"/>
      </w:rPr>
      <w:fldChar w:fldCharType="end"/>
    </w:r>
    <w:r>
      <w:rPr>
        <w:color w:val="000000"/>
        <w:sz w:val="16"/>
        <w:szCs w:val="16"/>
      </w:rPr>
      <w:t xml:space="preserve"> / </w:t>
    </w:r>
    <w:r>
      <w:rPr>
        <w:color w:val="000000"/>
        <w:sz w:val="16"/>
        <w:szCs w:val="16"/>
      </w:rPr>
      <w:fldChar w:fldCharType="begin"/>
    </w:r>
    <w:r>
      <w:rPr>
        <w:color w:val="000000"/>
        <w:sz w:val="16"/>
        <w:szCs w:val="16"/>
      </w:rPr>
      <w:instrText xml:space="preserve">NUMPAGES</w:instrText>
    </w:r>
    <w:r>
      <w:rPr>
        <w:color w:val="000000"/>
        <w:sz w:val="16"/>
        <w:szCs w:val="16"/>
      </w:rPr>
      <w:fldChar w:fldCharType="separate"/>
    </w:r>
    <w:r>
      <w:rPr>
        <w:color w:val="00000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78B7">
    <w:pPr>
      <w:jc w:val="center"/>
    </w:pPr>
    <w:r>
      <w:rPr>
        <w:color w:val="000000"/>
        <w:sz w:val="16"/>
        <w:szCs w:val="16"/>
      </w:rPr>
      <w:t xml:space="preserve">Page </w:t>
    </w:r>
    <w:r>
      <w:rPr>
        <w:color w:val="000000"/>
        <w:sz w:val="16"/>
        <w:szCs w:val="16"/>
      </w:rPr>
      <w:fldChar w:fldCharType="begin"/>
    </w:r>
    <w:r>
      <w:rPr>
        <w:color w:val="000000"/>
        <w:sz w:val="16"/>
        <w:szCs w:val="16"/>
      </w:rPr>
      <w:instrText xml:space="preserve">PAGE</w:instrText>
    </w:r>
    <w:r>
      <w:rPr>
        <w:color w:val="000000"/>
        <w:sz w:val="16"/>
        <w:szCs w:val="16"/>
      </w:rPr>
      <w:fldChar w:fldCharType="separate"/>
    </w:r>
    <w:r>
      <w:rPr>
        <w:color w:val="000000"/>
        <w:sz w:val="16"/>
        <w:szCs w:val="16"/>
      </w:rPr>
      <w:fldChar w:fldCharType="end"/>
    </w:r>
    <w:r>
      <w:rPr>
        <w:color w:val="000000"/>
        <w:sz w:val="16"/>
        <w:szCs w:val="16"/>
      </w:rPr>
      <w:t xml:space="preserve"> / </w:t>
    </w:r>
    <w:r>
      <w:rPr>
        <w:color w:val="000000"/>
        <w:sz w:val="16"/>
        <w:szCs w:val="16"/>
      </w:rPr>
      <w:fldChar w:fldCharType="begin"/>
    </w:r>
    <w:r>
      <w:rPr>
        <w:color w:val="000000"/>
        <w:sz w:val="16"/>
        <w:szCs w:val="16"/>
      </w:rPr>
      <w:instrText xml:space="preserve">NUMPAGES</w:instrText>
    </w:r>
    <w:r>
      <w:rPr>
        <w:color w:val="000000"/>
        <w:sz w:val="16"/>
        <w:szCs w:val="16"/>
      </w:rPr>
      <w:fldChar w:fldCharType="separate"/>
    </w:r>
    <w:r>
      <w:rPr>
        <w:color w:val="00000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6D421">
    <w:pPr>
      <w:jc w:val="center"/>
    </w:pPr>
    <w:r>
      <w:rPr>
        <w:color w:val="000000"/>
        <w:sz w:val="16"/>
        <w:szCs w:val="16"/>
      </w:rPr>
      <w:t xml:space="preserve">Page </w:t>
    </w:r>
    <w:r>
      <w:rPr>
        <w:color w:val="000000"/>
        <w:sz w:val="16"/>
        <w:szCs w:val="16"/>
      </w:rPr>
      <w:fldChar w:fldCharType="begin"/>
    </w:r>
    <w:r>
      <w:rPr>
        <w:color w:val="000000"/>
        <w:sz w:val="16"/>
        <w:szCs w:val="16"/>
      </w:rPr>
      <w:instrText xml:space="preserve">PAGE</w:instrText>
    </w:r>
    <w:r>
      <w:rPr>
        <w:color w:val="000000"/>
        <w:sz w:val="16"/>
        <w:szCs w:val="16"/>
      </w:rPr>
      <w:fldChar w:fldCharType="separate"/>
    </w:r>
    <w:r>
      <w:rPr>
        <w:color w:val="000000"/>
        <w:sz w:val="16"/>
        <w:szCs w:val="16"/>
      </w:rPr>
      <w:fldChar w:fldCharType="end"/>
    </w:r>
    <w:r>
      <w:rPr>
        <w:color w:val="000000"/>
        <w:sz w:val="16"/>
        <w:szCs w:val="16"/>
      </w:rPr>
      <w:t xml:space="preserve"> / </w:t>
    </w:r>
    <w:r>
      <w:rPr>
        <w:color w:val="000000"/>
        <w:sz w:val="16"/>
        <w:szCs w:val="16"/>
      </w:rPr>
      <w:fldChar w:fldCharType="begin"/>
    </w:r>
    <w:r>
      <w:rPr>
        <w:color w:val="000000"/>
        <w:sz w:val="16"/>
        <w:szCs w:val="16"/>
      </w:rPr>
      <w:instrText xml:space="preserve">NUMPAGES</w:instrText>
    </w:r>
    <w:r>
      <w:rPr>
        <w:color w:val="000000"/>
        <w:sz w:val="16"/>
        <w:szCs w:val="16"/>
      </w:rPr>
      <w:fldChar w:fldCharType="separate"/>
    </w:r>
    <w:r>
      <w:rPr>
        <w:color w:val="000000"/>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384CA">
    <w:pPr>
      <w:jc w:val="center"/>
    </w:pPr>
    <w:r>
      <w:rPr>
        <w:color w:val="000000"/>
        <w:sz w:val="16"/>
        <w:szCs w:val="16"/>
      </w:rPr>
      <w:t xml:space="preserve">Page </w:t>
    </w:r>
    <w:r>
      <w:rPr>
        <w:color w:val="000000"/>
        <w:sz w:val="16"/>
        <w:szCs w:val="16"/>
      </w:rPr>
      <w:fldChar w:fldCharType="begin"/>
    </w:r>
    <w:r>
      <w:rPr>
        <w:color w:val="000000"/>
        <w:sz w:val="16"/>
        <w:szCs w:val="16"/>
      </w:rPr>
      <w:instrText xml:space="preserve">PAGE</w:instrText>
    </w:r>
    <w:r>
      <w:rPr>
        <w:color w:val="000000"/>
        <w:sz w:val="16"/>
        <w:szCs w:val="16"/>
      </w:rPr>
      <w:fldChar w:fldCharType="separate"/>
    </w:r>
    <w:r>
      <w:rPr>
        <w:color w:val="000000"/>
        <w:sz w:val="16"/>
        <w:szCs w:val="16"/>
      </w:rPr>
      <w:fldChar w:fldCharType="end"/>
    </w:r>
    <w:r>
      <w:rPr>
        <w:color w:val="000000"/>
        <w:sz w:val="16"/>
        <w:szCs w:val="16"/>
      </w:rPr>
      <w:t xml:space="preserve"> / </w:t>
    </w:r>
    <w:r>
      <w:rPr>
        <w:color w:val="000000"/>
        <w:sz w:val="16"/>
        <w:szCs w:val="16"/>
      </w:rPr>
      <w:fldChar w:fldCharType="begin"/>
    </w:r>
    <w:r>
      <w:rPr>
        <w:color w:val="000000"/>
        <w:sz w:val="16"/>
        <w:szCs w:val="16"/>
      </w:rPr>
      <w:instrText xml:space="preserve">NUMPAGES</w:instrText>
    </w:r>
    <w:r>
      <w:rPr>
        <w:color w:val="000000"/>
        <w:sz w:val="16"/>
        <w:szCs w:val="16"/>
      </w:rPr>
      <w:fldChar w:fldCharType="separate"/>
    </w:r>
    <w:r>
      <w:rPr>
        <w:color w:val="000000"/>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20" w:hanging="300"/>
      </w:pPr>
    </w:lvl>
  </w:abstractNum>
  <w:abstractNum w:abstractNumId="1">
    <w:nsid w:val="59ADCABA"/>
    <w:multiLevelType w:val="singleLevel"/>
    <w:tmpl w:val="59ADCABA"/>
    <w:lvl w:ilvl="0" w:tentative="0">
      <w:start w:val="1"/>
      <w:numFmt w:val="bullet"/>
      <w:lvlText w:val="•"/>
      <w:lvlJc w:val="left"/>
      <w:pPr>
        <w:ind w:left="40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C9302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pPr>
      <w:pBdr>
        <w:bottom w:val="single" w:color="1F3864" w:sz="8" w:space="4"/>
      </w:pBdr>
      <w:spacing w:before="120" w:after="200"/>
      <w:outlineLvl w:val="0"/>
    </w:pPr>
    <w:rPr>
      <w:rFonts w:ascii="Calibri" w:hAnsi="Calibri" w:eastAsia="Calibri" w:cs="Calibri"/>
      <w:b/>
      <w:bCs/>
      <w:color w:val="1F3864"/>
      <w:sz w:val="32"/>
      <w:szCs w:val="32"/>
    </w:rPr>
  </w:style>
  <w:style w:type="paragraph" w:styleId="3">
    <w:name w:val="heading 2"/>
    <w:next w:val="1"/>
    <w:qFormat/>
    <w:uiPriority w:val="0"/>
    <w:pPr>
      <w:spacing w:before="240" w:after="100"/>
      <w:outlineLvl w:val="1"/>
    </w:pPr>
    <w:rPr>
      <w:rFonts w:ascii="Calibri" w:hAnsi="Calibri" w:eastAsia="Calibri" w:cs="Calibri"/>
      <w:b/>
      <w:bCs/>
      <w:color w:val="1F3864"/>
      <w:sz w:val="26"/>
      <w:szCs w:val="26"/>
    </w:rPr>
  </w:style>
  <w:style w:type="paragraph" w:styleId="4">
    <w:name w:val="heading 3"/>
    <w:next w:val="1"/>
    <w:qFormat/>
    <w:uiPriority w:val="0"/>
    <w:pPr>
      <w:spacing w:before="160" w:after="60"/>
      <w:outlineLvl w:val="2"/>
    </w:pPr>
    <w:rPr>
      <w:rFonts w:ascii="Calibri" w:hAnsi="Calibri" w:eastAsia="Calibri" w:cs="Calibri"/>
      <w:b/>
      <w:bCs/>
      <w:color w:val="1F3864"/>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17">
    <w:name w:val="Normal Table"/>
    <w:semiHidden/>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Calibri" w:hAnsi="Calibri" w:eastAsia="Calibri" w:cs="Calibri"/>
      <w:sz w:val="20"/>
      <w:szCs w:val="20"/>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4">
    <w:name w:val="toc 2"/>
    <w:next w:val="1"/>
    <w:uiPriority w:val="0"/>
    <w:pPr>
      <w:spacing w:before="0" w:after="0"/>
      <w:ind w:left="300"/>
    </w:pPr>
    <w:rPr>
      <w:rFonts w:ascii="Calibri" w:hAnsi="Calibri" w:eastAsia="Calibri" w:cs="Calibri"/>
      <w:sz w:val="19"/>
      <w:szCs w:val="19"/>
    </w:rPr>
  </w:style>
  <w:style w:type="paragraph" w:styleId="15">
    <w:name w:val="Title"/>
    <w:qFormat/>
    <w:uiPriority w:val="0"/>
    <w:rPr>
      <w:rFonts w:ascii="Calibri" w:hAnsi="Calibri" w:eastAsia="Calibri" w:cs="Calibri"/>
      <w:sz w:val="56"/>
      <w:szCs w:val="56"/>
    </w:rPr>
  </w:style>
  <w:style w:type="paragraph" w:styleId="16">
    <w:name w:val="toc 1"/>
    <w:next w:val="1"/>
    <w:qFormat/>
    <w:uiPriority w:val="0"/>
    <w:pPr>
      <w:spacing w:before="60" w:after="0"/>
    </w:pPr>
    <w:rPr>
      <w:rFonts w:ascii="Calibri" w:hAnsi="Calibri" w:eastAsia="Calibri" w:cs="Calibri"/>
      <w:b/>
      <w:bCs/>
      <w:sz w:val="20"/>
      <w:szCs w:val="20"/>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7212</Words>
  <Characters>37609</Characters>
  <TotalTime>4</TotalTime>
  <ScaleCrop>false</ScaleCrop>
  <LinksUpToDate>false</LinksUpToDate>
  <CharactersWithSpaces>44488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2026-10-11T17:58:00Z</dcterms:created>
  <dc:creator>Nourchene Dridi</dc:creator>
  <cp:lastModifiedBy>nourchene dridi</cp:lastModifiedBy>
  <dcterms:modified xsi:type="dcterms:W3CDTF">2026-10-12T20:59:11Z</dcterms:modified>
  <dc:title>GoldSilver Analytics — Rapport du mini-projet Séries temporelles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eyJoZGlkIjoiNmZjMDA1ZTNlNDdkZmE2MDM3ZGQ3MDRkOGNiMDQ5YTYiLCJ1c2VySWQiOiIzNzI4NTEyNjY1NDUxIn0=</vt:lpwstr>
  </property>
  <property fmtid="{D5CDD505-2E9C-101B-9397-08002B2CF9AE}" pid="3" name="KSOProductBuildVer">
    <vt:lpwstr>1036-12.1.0.28485</vt:lpwstr>
  </property>
  <property fmtid="{D5CDD505-2E9C-101B-9397-08002B2CF9AE}" pid="4" name="ICV">
    <vt:lpwstr>6F0F12C1E1E44164AA59A68B6F6E9C84_12</vt:lpwstr>
  </property>
</Properties>
</file>