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80"/>
        <w:jc w:val="center"/>
      </w:pPr>
      <w:r>
        <w:rPr>
          <w:rFonts w:ascii="Calibri" w:cs="Calibri" w:eastAsia="Calibri" w:hAnsi="Calibri"/>
          <w:b/>
          <w:bCs/>
          <w:caps/>
          <w:color w:val="C55A11"/>
          <w:sz w:val="26"/>
          <w:szCs w:val="26"/>
        </w:rPr>
        <w:t xml:space="preserve">Projet Big Data &amp; Deep Learning</w:t>
      </w:r>
    </w:p>
    <w:p>
      <w:pPr>
        <w:pBdr>
          <w:bottom w:val="single" w:color="1F3864" w:sz="12" w:space="8"/>
        </w:pBdr>
        <w:spacing w:after="200"/>
        <w:jc w:val="center"/>
      </w:pPr>
      <w:r>
        <w:rPr>
          <w:rFonts w:ascii="Calibri" w:cs="Calibri" w:eastAsia="Calibri" w:hAnsi="Calibri"/>
          <w:b/>
          <w:bCs/>
          <w:color w:val="1F3864"/>
          <w:sz w:val="44"/>
          <w:szCs w:val="44"/>
        </w:rPr>
        <w:t xml:space="preserve">Prédiction de la progression de la maladie d'Alzheimer</w:t>
      </w:r>
    </w:p>
    <w:p>
      <w:pPr>
        <w:spacing w:after="500"/>
        <w:jc w:val="center"/>
      </w:pPr>
      <w:r>
        <w:rPr>
          <w:rFonts w:ascii="Calibri" w:cs="Calibri" w:eastAsia="Calibri" w:hAnsi="Calibri"/>
          <w:i/>
          <w:iCs/>
          <w:color w:val="595959"/>
          <w:sz w:val="24"/>
          <w:szCs w:val="24"/>
        </w:rPr>
        <w:t xml:space="preserve">Approche multimodale et longitudinale sur les cohortes ADNI et OASIS</w:t>
      </w:r>
    </w:p>
    <w:p>
      <w:pPr>
        <w:spacing w:after="100"/>
        <w:jc w:val="center"/>
      </w:pPr>
      <w:r>
        <w:rPr>
          <w:rFonts w:ascii="Calibri" w:cs="Calibri" w:eastAsia="Calibri" w:hAnsi="Calibri"/>
          <w:b/>
          <w:bCs/>
          <w:color w:val="2E5496"/>
          <w:sz w:val="28"/>
          <w:szCs w:val="28"/>
        </w:rPr>
        <w:t xml:space="preserve">Document de cadrage — Phase 0</w:t>
      </w:r>
    </w:p>
    <w:p>
      <w:pPr>
        <w:spacing w:after="60"/>
        <w:jc w:val="center"/>
      </w:pPr>
      <w:r>
        <w:rPr>
          <w:rFonts w:ascii="Calibri" w:cs="Calibri" w:eastAsia="Calibri" w:hAnsi="Calibri"/>
          <w:color w:val="595959"/>
          <w:sz w:val="20"/>
          <w:szCs w:val="20"/>
        </w:rPr>
        <w:t xml:space="preserve">Comprendre le projet · Plan de réalisation · Recherche · Données · Technologies</w:t>
      </w:r>
    </w:p>
    <w:p>
      <w:pPr>
        <w:spacing w:before="900"/>
        <w:jc w:val="center"/>
      </w:pPr>
      <w:r>
        <w:rPr>
          <w:rFonts w:ascii="Calibri" w:cs="Calibri" w:eastAsia="Calibri" w:hAnsi="Calibri"/>
          <w:b/>
          <w:bCs/>
          <w:color w:val="222222"/>
          <w:sz w:val="24"/>
          <w:szCs w:val="24"/>
        </w:rPr>
        <w:t xml:space="preserve">Nourchene Dridi</w:t>
      </w:r>
    </w:p>
    <w:p>
      <w:pPr>
        <w:jc w:val="center"/>
      </w:pPr>
      <w:r>
        <w:rPr>
          <w:rFonts w:ascii="Calibri" w:cs="Calibri" w:eastAsia="Calibri" w:hAnsi="Calibri"/>
          <w:color w:val="595959"/>
          <w:sz w:val="21"/>
          <w:szCs w:val="21"/>
        </w:rPr>
        <w:t xml:space="preserve">Classe ING5-SDIAF-C</w:t>
      </w:r>
    </w:p>
    <w:p>
      <w:pPr>
        <w:jc w:val="center"/>
      </w:pPr>
      <w:r>
        <w:rPr>
          <w:rFonts w:ascii="Calibri" w:cs="Calibri" w:eastAsia="Calibri" w:hAnsi="Calibri"/>
          <w:color w:val="595959"/>
          <w:sz w:val="21"/>
          <w:szCs w:val="21"/>
        </w:rPr>
        <w:t xml:space="preserve">Septembre 2026</w:t>
      </w:r>
    </w:p>
    <w:p>
      <w:r>
        <w:br w:type="page"/>
      </w:r>
    </w:p>
    <w:p>
      <w:pPr>
        <w:pStyle w:val="Heading1"/>
        <w:spacing w:after="140" w:before="320"/>
      </w:pPr>
      <w:r>
        <w:rPr>
          <w:rFonts w:ascii="Calibri" w:cs="Calibri" w:eastAsia="Calibri" w:hAnsi="Calibri"/>
          <w:b/>
          <w:bCs/>
          <w:color w:val="1F3864"/>
          <w:sz w:val="30"/>
          <w:szCs w:val="30"/>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20"/>
      </w:pPr>
      <w:r>
        <w:rPr>
          <w:rFonts w:ascii="Calibri" w:cs="Calibri" w:eastAsia="Calibri" w:hAnsi="Calibri"/>
          <w:b/>
          <w:bCs/>
          <w:color w:val="1F3864"/>
          <w:sz w:val="30"/>
          <w:szCs w:val="30"/>
        </w:rPr>
        <w:t xml:space="preserve">1. Comprendre le projet</w:t>
      </w:r>
    </w:p>
    <w:p>
      <w:pPr>
        <w:spacing w:after="120" w:line="276"/>
      </w:pPr>
      <w:r>
        <w:rPr>
          <w:rFonts w:ascii="Calibri" w:cs="Calibri" w:eastAsia="Calibri" w:hAnsi="Calibri"/>
          <w:b/>
          <w:bCs/>
          <w:color w:val="222222"/>
          <w:sz w:val="21"/>
          <w:szCs w:val="21"/>
        </w:rPr>
        <w:t xml:space="preserve">Objectif du cahier des charges : </w:t>
      </w:r>
      <w:r>
        <w:rPr>
          <w:rFonts w:ascii="Calibri" w:cs="Calibri" w:eastAsia="Calibri" w:hAnsi="Calibri"/>
          <w:color w:val="222222"/>
          <w:sz w:val="21"/>
          <w:szCs w:val="21"/>
        </w:rPr>
        <w:t xml:space="preserve">exploiter conjointement l'IRM, le PET, les données cognitives, cliniques et les biomarqueurs afin de prédire la progression d'un patient vers la maladie d'Alzheimer. Autrement dit, combiner plusieurs sources d'information médicale pour anticiper l'évolution de la maladie.</w:t>
      </w:r>
    </w:p>
    <w:p>
      <w:pPr>
        <w:pStyle w:val="Heading2"/>
        <w:spacing w:after="100" w:before="220"/>
      </w:pPr>
      <w:r>
        <w:rPr>
          <w:rFonts w:ascii="Calibri" w:cs="Calibri" w:eastAsia="Calibri" w:hAnsi="Calibri"/>
          <w:b/>
          <w:bCs/>
          <w:color w:val="2E5496"/>
          <w:sz w:val="25"/>
          <w:szCs w:val="25"/>
        </w:rPr>
        <w:t xml:space="preserve">1.1 Le problème médical, en mots simples</w:t>
      </w:r>
    </w:p>
    <w:p>
      <w:pPr>
        <w:spacing w:after="120" w:line="276"/>
      </w:pPr>
      <w:r>
        <w:rPr>
          <w:rFonts w:ascii="Calibri" w:cs="Calibri" w:eastAsia="Calibri" w:hAnsi="Calibri"/>
          <w:color w:val="222222"/>
          <w:sz w:val="21"/>
          <w:szCs w:val="21"/>
        </w:rPr>
        <w:t xml:space="preserve">La maladie d'Alzheimer ne survient pas brutalement : elle suit un continuum. On distingue trois grands états :</w:t>
      </w:r>
    </w:p>
    <w:p>
      <w:pPr>
        <w:pStyle w:val="ListParagraph"/>
        <w:numPr>
          <w:ilvl w:val="0"/>
          <w:numId w:val="1"/>
        </w:numPr>
        <w:spacing w:after="70" w:line="272"/>
      </w:pPr>
      <w:r>
        <w:rPr>
          <w:rFonts w:ascii="Calibri" w:cs="Calibri" w:eastAsia="Calibri" w:hAnsi="Calibri"/>
          <w:b/>
          <w:bCs/>
          <w:color w:val="222222"/>
          <w:sz w:val="21"/>
          <w:szCs w:val="21"/>
        </w:rPr>
        <w:t xml:space="preserve">CN </w:t>
      </w:r>
      <w:r>
        <w:rPr>
          <w:rFonts w:ascii="Calibri" w:cs="Calibri" w:eastAsia="Calibri" w:hAnsi="Calibri"/>
          <w:color w:val="222222"/>
          <w:sz w:val="21"/>
          <w:szCs w:val="21"/>
        </w:rPr>
        <w:t xml:space="preserve">(Cognitively Normal) — la cognition est normale.</w:t>
      </w:r>
    </w:p>
    <w:p>
      <w:pPr>
        <w:pStyle w:val="ListParagraph"/>
        <w:numPr>
          <w:ilvl w:val="0"/>
          <w:numId w:val="1"/>
        </w:numPr>
        <w:spacing w:after="70" w:line="272"/>
      </w:pPr>
      <w:r>
        <w:rPr>
          <w:rFonts w:ascii="Calibri" w:cs="Calibri" w:eastAsia="Calibri" w:hAnsi="Calibri"/>
          <w:b/>
          <w:bCs/>
          <w:color w:val="222222"/>
          <w:sz w:val="21"/>
          <w:szCs w:val="21"/>
        </w:rPr>
        <w:t xml:space="preserve">MCI </w:t>
      </w:r>
      <w:r>
        <w:rPr>
          <w:rFonts w:ascii="Calibri" w:cs="Calibri" w:eastAsia="Calibri" w:hAnsi="Calibri"/>
          <w:color w:val="222222"/>
          <w:sz w:val="21"/>
          <w:szCs w:val="21"/>
        </w:rPr>
        <w:t xml:space="preserve">(Mild Cognitive Impairment) — trouble cognitif léger. C'est l'étape charnière : certains patients restent stables, d'autres évoluent vers Alzheimer.</w:t>
      </w:r>
    </w:p>
    <w:p>
      <w:pPr>
        <w:pStyle w:val="ListParagraph"/>
        <w:numPr>
          <w:ilvl w:val="0"/>
          <w:numId w:val="1"/>
        </w:numPr>
        <w:spacing w:after="70" w:line="272"/>
      </w:pPr>
      <w:r>
        <w:rPr>
          <w:rFonts w:ascii="Calibri" w:cs="Calibri" w:eastAsia="Calibri" w:hAnsi="Calibri"/>
          <w:b/>
          <w:bCs/>
          <w:color w:val="222222"/>
          <w:sz w:val="21"/>
          <w:szCs w:val="21"/>
        </w:rPr>
        <w:t xml:space="preserve">AD </w:t>
      </w:r>
      <w:r>
        <w:rPr>
          <w:rFonts w:ascii="Calibri" w:cs="Calibri" w:eastAsia="Calibri" w:hAnsi="Calibri"/>
          <w:color w:val="222222"/>
          <w:sz w:val="21"/>
          <w:szCs w:val="21"/>
        </w:rPr>
        <w:t xml:space="preserve">(Alzheimer's Disease) — démence de type Alzheimer.</w:t>
      </w:r>
    </w:p>
    <w:p>
      <w:pPr>
        <w:spacing w:after="120" w:line="276"/>
      </w:pPr>
      <w:r>
        <w:rPr>
          <w:rFonts w:ascii="Calibri" w:cs="Calibri" w:eastAsia="Calibri" w:hAnsi="Calibri"/>
          <w:color w:val="222222"/>
          <w:sz w:val="21"/>
          <w:szCs w:val="21"/>
        </w:rPr>
        <w:t xml:space="preserve">Tout l'enjeu clinique est de repérer, parmi les patients MCI, ceux qui vont progresser vers Alzheimer — car c'est là que la prédiction a le plus de valeur.</w:t>
      </w:r>
    </w:p>
    <w:p>
      <w:pPr>
        <w:pStyle w:val="Heading2"/>
        <w:spacing w:after="100" w:before="220"/>
      </w:pPr>
      <w:r>
        <w:rPr>
          <w:rFonts w:ascii="Calibri" w:cs="Calibri" w:eastAsia="Calibri" w:hAnsi="Calibri"/>
          <w:b/>
          <w:bCs/>
          <w:color w:val="2E5496"/>
          <w:sz w:val="25"/>
          <w:szCs w:val="25"/>
        </w:rPr>
        <w:t xml:space="preserve">1.2 Ce que « prédire la progression » veut dire (la cible)</w:t>
      </w:r>
    </w:p>
    <w:p>
      <w:pPr>
        <w:spacing w:after="120" w:line="276"/>
      </w:pPr>
      <w:r>
        <w:rPr>
          <w:rFonts w:ascii="Calibri" w:cs="Calibri" w:eastAsia="Calibri" w:hAnsi="Calibri"/>
          <w:color w:val="222222"/>
          <w:sz w:val="21"/>
          <w:szCs w:val="21"/>
        </w:rPr>
        <w:t xml:space="preserve">C'est le point le plus important à fixer, car il détermine tout le reste. Il y a deux façons de poser le problème :</w:t>
      </w:r>
    </w:p>
    <w:p>
      <w:pPr>
        <w:pStyle w:val="ListParagraph"/>
        <w:numPr>
          <w:ilvl w:val="0"/>
          <w:numId w:val="2"/>
        </w:numPr>
        <w:spacing w:after="70" w:line="272"/>
      </w:pPr>
      <w:r>
        <w:rPr>
          <w:rFonts w:ascii="Calibri" w:cs="Calibri" w:eastAsia="Calibri" w:hAnsi="Calibri"/>
          <w:b/>
          <w:bCs/>
          <w:color w:val="222222"/>
          <w:sz w:val="21"/>
          <w:szCs w:val="21"/>
        </w:rPr>
        <w:t xml:space="preserve">Diagnostic à un instant : </w:t>
      </w:r>
      <w:r>
        <w:rPr>
          <w:rFonts w:ascii="Calibri" w:cs="Calibri" w:eastAsia="Calibri" w:hAnsi="Calibri"/>
          <w:color w:val="222222"/>
          <w:sz w:val="21"/>
          <w:szCs w:val="21"/>
        </w:rPr>
        <w:t xml:space="preserve">« ce patient est-il CN, MCI ou AD aujourd'hui ? » — c'est une vision statique.</w:t>
      </w:r>
    </w:p>
    <w:p>
      <w:pPr>
        <w:pStyle w:val="ListParagraph"/>
        <w:numPr>
          <w:ilvl w:val="0"/>
          <w:numId w:val="2"/>
        </w:numPr>
        <w:spacing w:after="70" w:line="272"/>
      </w:pPr>
      <w:r>
        <w:rPr>
          <w:rFonts w:ascii="Calibri" w:cs="Calibri" w:eastAsia="Calibri" w:hAnsi="Calibri"/>
          <w:b/>
          <w:bCs/>
          <w:color w:val="222222"/>
          <w:sz w:val="21"/>
          <w:szCs w:val="21"/>
        </w:rPr>
        <w:t xml:space="preserve">Prédiction de conversion : </w:t>
      </w:r>
      <w:r>
        <w:rPr>
          <w:rFonts w:ascii="Calibri" w:cs="Calibri" w:eastAsia="Calibri" w:hAnsi="Calibri"/>
          <w:color w:val="222222"/>
          <w:sz w:val="21"/>
          <w:szCs w:val="21"/>
        </w:rPr>
        <w:t xml:space="preserve">« ce patient MCI va-t-il devenir Alzheimer dans les prochains mois ? » — c'est la vraie progression, une vision dans le temps.</w:t>
      </w:r>
    </w:p>
    <w:p>
      <w:pPr>
        <w:pBdr>
          <w:left w:val="single" w:color="2E5496" w:sz="24" w:space="12"/>
        </w:pBdr>
        <w:shd w:fill="FBF3EC" w:val="clear"/>
        <w:spacing w:after="140" w:before="120" w:line="276"/>
      </w:pPr>
      <w:r>
        <w:rPr>
          <w:rFonts w:ascii="Calibri" w:cs="Calibri" w:eastAsia="Calibri" w:hAnsi="Calibri"/>
          <w:b/>
          <w:bCs/>
          <w:color w:val="2E5496"/>
          <w:sz w:val="21"/>
          <w:szCs w:val="21"/>
        </w:rPr>
        <w:t xml:space="preserve">Notre choix :  </w:t>
      </w:r>
      <w:r>
        <w:rPr>
          <w:rFonts w:ascii="Calibri" w:cs="Calibri" w:eastAsia="Calibri" w:hAnsi="Calibri"/>
          <w:color w:val="333333"/>
          <w:sz w:val="21"/>
          <w:szCs w:val="21"/>
        </w:rPr>
        <w:t xml:space="preserve">on vise la prédiction de conversion (sens n°2), car la question de recherche RQ2 porte explicitement sur le suivi dans le temps. La cible sera donc : « le patient progresse-t-il vers Alzheimer ? ». L'horizon exact (par ex. 24 ou 36 mois) sera fixé une fois les données en main.</w:t>
      </w:r>
    </w:p>
    <w:p>
      <w:pPr>
        <w:pStyle w:val="Heading2"/>
        <w:spacing w:after="100" w:before="220"/>
      </w:pPr>
      <w:r>
        <w:rPr>
          <w:rFonts w:ascii="Calibri" w:cs="Calibri" w:eastAsia="Calibri" w:hAnsi="Calibri"/>
          <w:b/>
          <w:bCs/>
          <w:color w:val="2E5496"/>
          <w:sz w:val="25"/>
          <w:szCs w:val="25"/>
        </w:rPr>
        <w:t xml:space="preserve">1.3 Les cinq modalités de données</w:t>
      </w:r>
    </w:p>
    <w:p>
      <w:pPr>
        <w:spacing w:after="120" w:line="276"/>
      </w:pPr>
      <w:r>
        <w:rPr>
          <w:rFonts w:ascii="Calibri" w:cs="Calibri" w:eastAsia="Calibri" w:hAnsi="Calibri"/>
          <w:color w:val="222222"/>
          <w:sz w:val="21"/>
          <w:szCs w:val="21"/>
        </w:rPr>
        <w:t xml:space="preserve">Chaque modalité observe une facette différente de la maladie. L'idée du projet est que les combiner donne une image plus complète.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3000"/>
        <w:gridCol w:w="4526"/>
      </w:tblGrid>
      <w:tr>
        <w:trPr>
          <w:tblHeader/>
        </w:trPr>
        <w:tc>
          <w:tcPr>
            <w:tcW w:type="dxa" w:w="1500"/>
            <w:shd w:fill="D9E2F3" w:val="clear"/>
            <w:tcMar>
              <w:top w:type="dxa" w:w="60"/>
              <w:left w:type="dxa" w:w="90"/>
              <w:bottom w:type="dxa" w:w="60"/>
              <w:right w:type="dxa" w:w="90"/>
            </w:tcMar>
          </w:tcPr>
          <w:p>
            <w:pPr>
              <w:spacing w:after="20" w:line="264"/>
            </w:pPr>
            <w:r>
              <w:rPr>
                <w:rFonts w:ascii="Calibri" w:cs="Calibri" w:eastAsia="Calibri" w:hAnsi="Calibri"/>
                <w:b/>
                <w:bCs/>
                <w:color w:val="1F3864"/>
                <w:sz w:val="20"/>
                <w:szCs w:val="20"/>
              </w:rPr>
              <w:t xml:space="preserve">Modalité</w:t>
            </w:r>
          </w:p>
        </w:tc>
        <w:tc>
          <w:tcPr>
            <w:tcW w:type="dxa" w:w="3000"/>
            <w:shd w:fill="D9E2F3" w:val="clear"/>
            <w:tcMar>
              <w:top w:type="dxa" w:w="60"/>
              <w:left w:type="dxa" w:w="90"/>
              <w:bottom w:type="dxa" w:w="60"/>
              <w:right w:type="dxa" w:w="90"/>
            </w:tcMar>
          </w:tcPr>
          <w:p>
            <w:pPr>
              <w:spacing w:after="20" w:line="264"/>
            </w:pPr>
            <w:r>
              <w:rPr>
                <w:rFonts w:ascii="Calibri" w:cs="Calibri" w:eastAsia="Calibri" w:hAnsi="Calibri"/>
                <w:b/>
                <w:bCs/>
                <w:color w:val="1F3864"/>
                <w:sz w:val="20"/>
                <w:szCs w:val="20"/>
              </w:rPr>
              <w:t xml:space="preserve">Ce que c'est</w:t>
            </w:r>
          </w:p>
        </w:tc>
        <w:tc>
          <w:tcPr>
            <w:tcW w:type="dxa" w:w="4526"/>
            <w:shd w:fill="D9E2F3" w:val="clear"/>
            <w:tcMar>
              <w:top w:type="dxa" w:w="60"/>
              <w:left w:type="dxa" w:w="90"/>
              <w:bottom w:type="dxa" w:w="60"/>
              <w:right w:type="dxa" w:w="90"/>
            </w:tcMar>
          </w:tcPr>
          <w:p>
            <w:pPr>
              <w:spacing w:after="20" w:line="264"/>
            </w:pPr>
            <w:r>
              <w:rPr>
                <w:rFonts w:ascii="Calibri" w:cs="Calibri" w:eastAsia="Calibri" w:hAnsi="Calibri"/>
                <w:b/>
                <w:bCs/>
                <w:color w:val="1F3864"/>
                <w:sz w:val="20"/>
                <w:szCs w:val="20"/>
              </w:rPr>
              <w:t xml:space="preserve">Ce que ça révèle sur Alzheimer</w:t>
            </w:r>
          </w:p>
        </w:tc>
      </w:tr>
      <w:tr>
        <w:tc>
          <w:tcPr>
            <w:tcW w:type="dxa" w:w="1500"/>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IRM</w:t>
            </w:r>
          </w:p>
        </w:tc>
        <w:tc>
          <w:tcPr>
            <w:tcW w:type="dxa" w:w="3000"/>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Image de la structure du cerveau</w:t>
            </w:r>
          </w:p>
        </w:tc>
        <w:tc>
          <w:tcPr>
            <w:tcW w:type="dxa" w:w="4526"/>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Atrophie (rétrécissement) de régions comme l'hippocampe</w:t>
            </w:r>
          </w:p>
        </w:tc>
      </w:tr>
      <w:tr>
        <w:tc>
          <w:tcPr>
            <w:tcW w:type="dxa" w:w="1500"/>
            <w:shd w:fill="F2F6FC" w:val="clear"/>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PET</w:t>
            </w:r>
          </w:p>
        </w:tc>
        <w:tc>
          <w:tcPr>
            <w:tcW w:type="dxa" w:w="3000"/>
            <w:shd w:fill="F2F6FC" w:val="clear"/>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Image du fonctionnement et des dépôts</w:t>
            </w:r>
          </w:p>
        </w:tc>
        <w:tc>
          <w:tcPr>
            <w:tcW w:type="dxa" w:w="4526"/>
            <w:shd w:fill="F2F6FC" w:val="clear"/>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Accumulation de protéines (amyloïde, tau), baisse du métabolisme</w:t>
            </w:r>
          </w:p>
        </w:tc>
      </w:tr>
      <w:tr>
        <w:tc>
          <w:tcPr>
            <w:tcW w:type="dxa" w:w="1500"/>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Cognitif</w:t>
            </w:r>
          </w:p>
        </w:tc>
        <w:tc>
          <w:tcPr>
            <w:tcW w:type="dxa" w:w="3000"/>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Tests neuropsychologiques (MMSE, CDR…)</w:t>
            </w:r>
          </w:p>
        </w:tc>
        <w:tc>
          <w:tcPr>
            <w:tcW w:type="dxa" w:w="4526"/>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Niveau de mémoire et de fonctions mentales</w:t>
            </w:r>
          </w:p>
        </w:tc>
      </w:tr>
      <w:tr>
        <w:tc>
          <w:tcPr>
            <w:tcW w:type="dxa" w:w="1500"/>
            <w:shd w:fill="F2F6FC" w:val="clear"/>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Clinique</w:t>
            </w:r>
          </w:p>
        </w:tc>
        <w:tc>
          <w:tcPr>
            <w:tcW w:type="dxa" w:w="3000"/>
            <w:shd w:fill="F2F6FC" w:val="clear"/>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Âge, sexe, éducation, gène APOE…</w:t>
            </w:r>
          </w:p>
        </w:tc>
        <w:tc>
          <w:tcPr>
            <w:tcW w:type="dxa" w:w="4526"/>
            <w:shd w:fill="F2F6FC" w:val="clear"/>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Facteurs de risque du patient</w:t>
            </w:r>
          </w:p>
        </w:tc>
      </w:tr>
      <w:tr>
        <w:tc>
          <w:tcPr>
            <w:tcW w:type="dxa" w:w="1500"/>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Biomarqueurs</w:t>
            </w:r>
          </w:p>
        </w:tc>
        <w:tc>
          <w:tcPr>
            <w:tcW w:type="dxa" w:w="3000"/>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Analyses du liquide céphalo-rachidien</w:t>
            </w:r>
          </w:p>
        </w:tc>
        <w:tc>
          <w:tcPr>
            <w:tcW w:type="dxa" w:w="4526"/>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Signature biologique de la maladie</w:t>
            </w:r>
          </w:p>
        </w:tc>
      </w:tr>
    </w:tbl>
    <w:p>
      <w:r>
        <w:br w:type="page"/>
      </w:r>
    </w:p>
    <w:p>
      <w:pPr>
        <w:pStyle w:val="Heading1"/>
        <w:spacing w:after="140" w:before="320"/>
      </w:pPr>
      <w:r>
        <w:rPr>
          <w:rFonts w:ascii="Calibri" w:cs="Calibri" w:eastAsia="Calibri" w:hAnsi="Calibri"/>
          <w:b/>
          <w:bCs/>
          <w:color w:val="1F3864"/>
          <w:sz w:val="30"/>
          <w:szCs w:val="30"/>
        </w:rPr>
        <w:t xml:space="preserve">2. Les questions de recherche</w:t>
      </w:r>
    </w:p>
    <w:p>
      <w:pPr>
        <w:spacing w:after="120" w:line="276"/>
      </w:pPr>
      <w:r>
        <w:rPr>
          <w:rFonts w:ascii="Calibri" w:cs="Calibri" w:eastAsia="Calibri" w:hAnsi="Calibri"/>
          <w:color w:val="222222"/>
          <w:sz w:val="21"/>
          <w:szCs w:val="21"/>
        </w:rPr>
        <w:t xml:space="preserve">Le cahier des charges fixe trois questions de recherche (RQ). Elles sont le cœur scientifique du projet : chaque question correspond à une expérience de comparaison précise.</w:t>
      </w:r>
    </w:p>
    <w:p>
      <w:pPr>
        <w:pStyle w:val="Heading2"/>
        <w:spacing w:after="100" w:before="220"/>
      </w:pPr>
      <w:r>
        <w:rPr>
          <w:rFonts w:ascii="Calibri" w:cs="Calibri" w:eastAsia="Calibri" w:hAnsi="Calibri"/>
          <w:b/>
          <w:bCs/>
          <w:color w:val="2E5496"/>
          <w:sz w:val="25"/>
          <w:szCs w:val="25"/>
        </w:rPr>
        <w:t xml:space="preserve">2.1 Les trois questions et comment y répondre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4326"/>
        <w:gridCol w:w="2100"/>
      </w:tblGrid>
      <w:tr>
        <w:trPr>
          <w:tblHeader/>
        </w:trPr>
        <w:tc>
          <w:tcPr>
            <w:tcW w:type="dxa" w:w="2600"/>
            <w:shd w:fill="D9E2F3" w:val="clear"/>
            <w:tcMar>
              <w:top w:type="dxa" w:w="60"/>
              <w:left w:type="dxa" w:w="90"/>
              <w:bottom w:type="dxa" w:w="60"/>
              <w:right w:type="dxa" w:w="90"/>
            </w:tcMar>
          </w:tcPr>
          <w:p>
            <w:pPr>
              <w:spacing w:after="20" w:line="264"/>
            </w:pPr>
            <w:r>
              <w:rPr>
                <w:rFonts w:ascii="Calibri" w:cs="Calibri" w:eastAsia="Calibri" w:hAnsi="Calibri"/>
                <w:b/>
                <w:bCs/>
                <w:color w:val="1F3864"/>
                <w:sz w:val="20"/>
                <w:szCs w:val="20"/>
              </w:rPr>
              <w:t xml:space="preserve">Question</w:t>
            </w:r>
          </w:p>
        </w:tc>
        <w:tc>
          <w:tcPr>
            <w:tcW w:type="dxa" w:w="4326"/>
            <w:shd w:fill="D9E2F3" w:val="clear"/>
            <w:tcMar>
              <w:top w:type="dxa" w:w="60"/>
              <w:left w:type="dxa" w:w="90"/>
              <w:bottom w:type="dxa" w:w="60"/>
              <w:right w:type="dxa" w:w="90"/>
            </w:tcMar>
          </w:tcPr>
          <w:p>
            <w:pPr>
              <w:spacing w:after="20" w:line="264"/>
            </w:pPr>
            <w:r>
              <w:rPr>
                <w:rFonts w:ascii="Calibri" w:cs="Calibri" w:eastAsia="Calibri" w:hAnsi="Calibri"/>
                <w:b/>
                <w:bCs/>
                <w:color w:val="1F3864"/>
                <w:sz w:val="20"/>
                <w:szCs w:val="20"/>
              </w:rPr>
              <w:t xml:space="preserve">Ce qu'on compare</w:t>
            </w:r>
          </w:p>
        </w:tc>
        <w:tc>
          <w:tcPr>
            <w:tcW w:type="dxa" w:w="2100"/>
            <w:shd w:fill="D9E2F3" w:val="clear"/>
            <w:tcMar>
              <w:top w:type="dxa" w:w="60"/>
              <w:left w:type="dxa" w:w="90"/>
              <w:bottom w:type="dxa" w:w="60"/>
              <w:right w:type="dxa" w:w="90"/>
            </w:tcMar>
          </w:tcPr>
          <w:p>
            <w:pPr>
              <w:spacing w:after="20" w:line="264"/>
            </w:pPr>
            <w:r>
              <w:rPr>
                <w:rFonts w:ascii="Calibri" w:cs="Calibri" w:eastAsia="Calibri" w:hAnsi="Calibri"/>
                <w:b/>
                <w:bCs/>
                <w:color w:val="1F3864"/>
                <w:sz w:val="20"/>
                <w:szCs w:val="20"/>
              </w:rPr>
              <w:t xml:space="preserve">Conclusion si…</w:t>
            </w:r>
          </w:p>
        </w:tc>
      </w:tr>
      <w:tr>
        <w:tc>
          <w:tcPr>
            <w:tcW w:type="dxa" w:w="2600"/>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RQ1 — Le multimodal est-il meilleur que l'unimodal ?</w:t>
            </w:r>
          </w:p>
        </w:tc>
        <w:tc>
          <w:tcPr>
            <w:tcW w:type="dxa" w:w="4326"/>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Un modèle avec une seule modalité (ex. IRM seule) contre un modèle qui fusionne toutes les modalités.</w:t>
            </w:r>
          </w:p>
        </w:tc>
        <w:tc>
          <w:tcPr>
            <w:tcW w:type="dxa" w:w="2100"/>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Le multimodal gagne → RQ1 confirmée.</w:t>
            </w:r>
          </w:p>
        </w:tc>
      </w:tr>
      <w:tr>
        <w:tc>
          <w:tcPr>
            <w:tcW w:type="dxa" w:w="2600"/>
            <w:shd w:fill="F2F6FC" w:val="clear"/>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RQ2 — Le longitudinal est-il meilleur que le statique ?</w:t>
            </w:r>
          </w:p>
        </w:tc>
        <w:tc>
          <w:tcPr>
            <w:tcW w:type="dxa" w:w="4326"/>
            <w:shd w:fill="F2F6FC" w:val="clear"/>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Un modèle sur une seule visite contre un modèle sur plusieurs visites (l'évolution dans le temps).</w:t>
            </w:r>
          </w:p>
        </w:tc>
        <w:tc>
          <w:tcPr>
            <w:tcW w:type="dxa" w:w="2100"/>
            <w:shd w:fill="F2F6FC" w:val="clear"/>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Le longitudinal gagne → RQ2 confirmée.</w:t>
            </w:r>
          </w:p>
        </w:tc>
      </w:tr>
      <w:tr>
        <w:tc>
          <w:tcPr>
            <w:tcW w:type="dxa" w:w="2600"/>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RQ3 — Le modèle résiste-t-il aux données manquantes ?</w:t>
            </w:r>
          </w:p>
        </w:tc>
        <w:tc>
          <w:tcPr>
            <w:tcW w:type="dxa" w:w="4326"/>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Le meilleur modèle, testé normalement, contre le même modèle quand on cache volontairement une modalité ou une visite.</w:t>
            </w:r>
          </w:p>
        </w:tc>
        <w:tc>
          <w:tcPr>
            <w:tcW w:type="dxa" w:w="2100"/>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Les performances tiennent → RQ3 confirmée.</w:t>
            </w:r>
          </w:p>
        </w:tc>
      </w:tr>
    </w:tbl>
    <w:p>
      <w:pPr>
        <w:spacing w:after="80"/>
      </w:pPr>
    </w:p>
    <w:p>
      <w:pPr>
        <w:pBdr>
          <w:left w:val="single" w:color="C55A11" w:sz="24" w:space="12"/>
        </w:pBdr>
        <w:shd w:fill="FBF3EC" w:val="clear"/>
        <w:spacing w:after="140" w:before="120" w:line="276"/>
      </w:pPr>
      <w:r>
        <w:rPr>
          <w:rFonts w:ascii="Calibri" w:cs="Calibri" w:eastAsia="Calibri" w:hAnsi="Calibri"/>
          <w:b/>
          <w:bCs/>
          <w:color w:val="C55A11"/>
          <w:sz w:val="21"/>
          <w:szCs w:val="21"/>
        </w:rPr>
        <w:t xml:space="preserve">Le principe à retenir :  </w:t>
      </w:r>
      <w:r>
        <w:rPr>
          <w:rFonts w:ascii="Calibri" w:cs="Calibri" w:eastAsia="Calibri" w:hAnsi="Calibri"/>
          <w:color w:val="333333"/>
          <w:sz w:val="21"/>
          <w:szCs w:val="21"/>
        </w:rPr>
        <w:t xml:space="preserve">on construira toujours une version « simple » (une baseline) pour servir de point de comparaison. Sans comparaison, on ne peut rien prouver. Toute la logique du projet consiste à comparer un modèle « riche » à un modèle « simple » pour mesurer le gain.</w:t>
      </w:r>
    </w:p>
    <w:p>
      <w:pPr>
        <w:pStyle w:val="Heading1"/>
        <w:spacing w:after="140" w:before="320"/>
      </w:pPr>
      <w:r>
        <w:rPr>
          <w:rFonts w:ascii="Calibri" w:cs="Calibri" w:eastAsia="Calibri" w:hAnsi="Calibri"/>
          <w:b/>
          <w:bCs/>
          <w:color w:val="1F3864"/>
          <w:sz w:val="30"/>
          <w:szCs w:val="30"/>
        </w:rPr>
        <w:t xml:space="preserve">3. La recherche : les références académiques</w:t>
      </w:r>
    </w:p>
    <w:p>
      <w:pPr>
        <w:spacing w:after="120" w:line="276"/>
      </w:pPr>
      <w:r>
        <w:rPr>
          <w:rFonts w:ascii="Calibri" w:cs="Calibri" w:eastAsia="Calibri" w:hAnsi="Calibri"/>
          <w:color w:val="222222"/>
          <w:sz w:val="21"/>
          <w:szCs w:val="21"/>
        </w:rPr>
        <w:t xml:space="preserve">Les cinq articles du cahier des charges ont été reliés à nos questions et à notre architecture :</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4326"/>
        <w:gridCol w:w="2100"/>
      </w:tblGrid>
      <w:tr>
        <w:trPr>
          <w:tblHeader/>
        </w:trPr>
        <w:tc>
          <w:tcPr>
            <w:tcW w:type="dxa" w:w="2600"/>
            <w:shd w:fill="D9E2F3" w:val="clear"/>
            <w:tcMar>
              <w:top w:type="dxa" w:w="60"/>
              <w:left w:type="dxa" w:w="90"/>
              <w:bottom w:type="dxa" w:w="60"/>
              <w:right w:type="dxa" w:w="90"/>
            </w:tcMar>
          </w:tcPr>
          <w:p>
            <w:pPr>
              <w:spacing w:after="20" w:line="264"/>
            </w:pPr>
            <w:r>
              <w:rPr>
                <w:rFonts w:ascii="Calibri" w:cs="Calibri" w:eastAsia="Calibri" w:hAnsi="Calibri"/>
                <w:b/>
                <w:bCs/>
                <w:color w:val="1F3864"/>
                <w:sz w:val="20"/>
                <w:szCs w:val="20"/>
              </w:rPr>
              <w:t xml:space="preserve">Référence</w:t>
            </w:r>
          </w:p>
        </w:tc>
        <w:tc>
          <w:tcPr>
            <w:tcW w:type="dxa" w:w="4326"/>
            <w:shd w:fill="D9E2F3" w:val="clear"/>
            <w:tcMar>
              <w:top w:type="dxa" w:w="60"/>
              <w:left w:type="dxa" w:w="90"/>
              <w:bottom w:type="dxa" w:w="60"/>
              <w:right w:type="dxa" w:w="90"/>
            </w:tcMar>
          </w:tcPr>
          <w:p>
            <w:pPr>
              <w:spacing w:after="20" w:line="264"/>
            </w:pPr>
            <w:r>
              <w:rPr>
                <w:rFonts w:ascii="Calibri" w:cs="Calibri" w:eastAsia="Calibri" w:hAnsi="Calibri"/>
                <w:b/>
                <w:bCs/>
                <w:color w:val="1F3864"/>
                <w:sz w:val="20"/>
                <w:szCs w:val="20"/>
              </w:rPr>
              <w:t xml:space="preserve">Ce qu'elle apporte</w:t>
            </w:r>
          </w:p>
        </w:tc>
        <w:tc>
          <w:tcPr>
            <w:tcW w:type="dxa" w:w="2100"/>
            <w:shd w:fill="D9E2F3" w:val="clear"/>
            <w:tcMar>
              <w:top w:type="dxa" w:w="60"/>
              <w:left w:type="dxa" w:w="90"/>
              <w:bottom w:type="dxa" w:w="60"/>
              <w:right w:type="dxa" w:w="90"/>
            </w:tcMar>
          </w:tcPr>
          <w:p>
            <w:pPr>
              <w:spacing w:after="20" w:line="264"/>
            </w:pPr>
            <w:r>
              <w:rPr>
                <w:rFonts w:ascii="Calibri" w:cs="Calibri" w:eastAsia="Calibri" w:hAnsi="Calibri"/>
                <w:b/>
                <w:bCs/>
                <w:color w:val="1F3864"/>
                <w:sz w:val="20"/>
                <w:szCs w:val="20"/>
              </w:rPr>
              <w:t xml:space="preserve">Sert à</w:t>
            </w:r>
          </w:p>
        </w:tc>
      </w:tr>
      <w:tr>
        <w:tc>
          <w:tcPr>
            <w:tcW w:type="dxa" w:w="2600"/>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Wang et al. (2024), J. Transl. Med.</w:t>
            </w:r>
          </w:p>
        </w:tc>
        <w:tc>
          <w:tcPr>
            <w:tcW w:type="dxa" w:w="4326"/>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Sur ADNI, montre que la fusion multimodale apporte un gain réel de prédiction.</w:t>
            </w:r>
          </w:p>
        </w:tc>
        <w:tc>
          <w:tcPr>
            <w:tcW w:type="dxa" w:w="2100"/>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RQ1 (justifie le multimodal)</w:t>
            </w:r>
          </w:p>
        </w:tc>
      </w:tr>
      <w:tr>
        <w:tc>
          <w:tcPr>
            <w:tcW w:type="dxa" w:w="2600"/>
            <w:shd w:fill="F2F6FC" w:val="clear"/>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Xu et al. (2022), Medical Image Analysis</w:t>
            </w:r>
          </w:p>
        </w:tc>
        <w:tc>
          <w:tcPr>
            <w:tcW w:type="dxa" w:w="4326"/>
            <w:shd w:fill="F2F6FC" w:val="clear"/>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Traite les visites de longueur variable et les modalités manquantes.</w:t>
            </w:r>
          </w:p>
        </w:tc>
        <w:tc>
          <w:tcPr>
            <w:tcW w:type="dxa" w:w="2100"/>
            <w:shd w:fill="F2F6FC" w:val="clear"/>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RQ2 et RQ3 (référence méthodologique centrale)</w:t>
            </w:r>
          </w:p>
        </w:tc>
      </w:tr>
      <w:tr>
        <w:tc>
          <w:tcPr>
            <w:tcW w:type="dxa" w:w="2600"/>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Rahim et al. (2022), Information Fusion</w:t>
            </w:r>
          </w:p>
        </w:tc>
        <w:tc>
          <w:tcPr>
            <w:tcW w:type="dxa" w:w="4326"/>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Combine un réseau qui lit les images (CNN) et un réseau qui lit les séquences temporelles (RNN).</w:t>
            </w:r>
          </w:p>
        </w:tc>
        <w:tc>
          <w:tcPr>
            <w:tcW w:type="dxa" w:w="2100"/>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Architecture (point de départ)</w:t>
            </w:r>
          </w:p>
        </w:tc>
      </w:tr>
      <w:tr>
        <w:tc>
          <w:tcPr>
            <w:tcW w:type="dxa" w:w="2600"/>
            <w:shd w:fill="F2F6FC" w:val="clear"/>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Belhaj Ali et al. (2025), Diagnostics</w:t>
            </w:r>
          </w:p>
        </w:tc>
        <w:tc>
          <w:tcPr>
            <w:tcW w:type="dxa" w:w="4326"/>
            <w:shd w:fill="F2F6FC" w:val="clear"/>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Teste un modèle sur plusieurs cohortes (ADNI, OASIS-3, AIBL).</w:t>
            </w:r>
          </w:p>
        </w:tc>
        <w:tc>
          <w:tcPr>
            <w:tcW w:type="dxa" w:w="2100"/>
            <w:shd w:fill="F2F6FC" w:val="clear"/>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Généralisation inter-cohortes</w:t>
            </w:r>
          </w:p>
        </w:tc>
      </w:tr>
      <w:tr>
        <w:tc>
          <w:tcPr>
            <w:tcW w:type="dxa" w:w="2600"/>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Dritsas et al. (2025), IEEE Access</w:t>
            </w:r>
          </w:p>
        </w:tc>
        <w:tc>
          <w:tcPr>
            <w:tcW w:type="dxa" w:w="4326"/>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Montre le passage à l'échelle d'Apache Spark pour de gros volumes.</w:t>
            </w:r>
          </w:p>
        </w:tc>
        <w:tc>
          <w:tcPr>
            <w:tcW w:type="dxa" w:w="2100"/>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Partie Big Data (justifie Spark)</w:t>
            </w:r>
          </w:p>
        </w:tc>
      </w:tr>
    </w:tbl>
    <w:p>
      <w:r>
        <w:br w:type="page"/>
      </w:r>
    </w:p>
    <w:p>
      <w:pPr>
        <w:pStyle w:val="Heading1"/>
        <w:spacing w:after="140" w:before="320"/>
      </w:pPr>
      <w:r>
        <w:rPr>
          <w:rFonts w:ascii="Calibri" w:cs="Calibri" w:eastAsia="Calibri" w:hAnsi="Calibri"/>
          <w:b/>
          <w:bCs/>
          <w:color w:val="1F3864"/>
          <w:sz w:val="30"/>
          <w:szCs w:val="30"/>
        </w:rPr>
        <w:t xml:space="preserve">4. Les données : sources et accès</w:t>
      </w:r>
    </w:p>
    <w:p>
      <w:pPr>
        <w:pStyle w:val="Heading2"/>
        <w:spacing w:after="100" w:before="220"/>
      </w:pPr>
      <w:r>
        <w:rPr>
          <w:rFonts w:ascii="Calibri" w:cs="Calibri" w:eastAsia="Calibri" w:hAnsi="Calibri"/>
          <w:b/>
          <w:bCs/>
          <w:color w:val="2E5496"/>
          <w:sz w:val="25"/>
          <w:szCs w:val="25"/>
        </w:rPr>
        <w:t xml:space="preserve">4.1 Les trois sources, du plus rapide au plus riche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3400"/>
        <w:gridCol w:w="1900"/>
        <w:gridCol w:w="1826"/>
      </w:tblGrid>
      <w:tr>
        <w:trPr>
          <w:tblHeader/>
        </w:trPr>
        <w:tc>
          <w:tcPr>
            <w:tcW w:type="dxa" w:w="1900"/>
            <w:shd w:fill="D9E2F3" w:val="clear"/>
            <w:tcMar>
              <w:top w:type="dxa" w:w="60"/>
              <w:left w:type="dxa" w:w="90"/>
              <w:bottom w:type="dxa" w:w="60"/>
              <w:right w:type="dxa" w:w="90"/>
            </w:tcMar>
          </w:tcPr>
          <w:p>
            <w:pPr>
              <w:spacing w:after="20" w:line="264"/>
            </w:pPr>
            <w:r>
              <w:rPr>
                <w:rFonts w:ascii="Calibri" w:cs="Calibri" w:eastAsia="Calibri" w:hAnsi="Calibri"/>
                <w:b/>
                <w:bCs/>
                <w:color w:val="1F3864"/>
                <w:sz w:val="20"/>
                <w:szCs w:val="20"/>
              </w:rPr>
              <w:t xml:space="preserve">Source</w:t>
            </w:r>
          </w:p>
        </w:tc>
        <w:tc>
          <w:tcPr>
            <w:tcW w:type="dxa" w:w="3400"/>
            <w:shd w:fill="D9E2F3" w:val="clear"/>
            <w:tcMar>
              <w:top w:type="dxa" w:w="60"/>
              <w:left w:type="dxa" w:w="90"/>
              <w:bottom w:type="dxa" w:w="60"/>
              <w:right w:type="dxa" w:w="90"/>
            </w:tcMar>
          </w:tcPr>
          <w:p>
            <w:pPr>
              <w:spacing w:after="20" w:line="264"/>
            </w:pPr>
            <w:r>
              <w:rPr>
                <w:rFonts w:ascii="Calibri" w:cs="Calibri" w:eastAsia="Calibri" w:hAnsi="Calibri"/>
                <w:b/>
                <w:bCs/>
                <w:color w:val="1F3864"/>
                <w:sz w:val="20"/>
                <w:szCs w:val="20"/>
              </w:rPr>
              <w:t xml:space="preserve">Contenu</w:t>
            </w:r>
          </w:p>
        </w:tc>
        <w:tc>
          <w:tcPr>
            <w:tcW w:type="dxa" w:w="1900"/>
            <w:shd w:fill="D9E2F3" w:val="clear"/>
            <w:tcMar>
              <w:top w:type="dxa" w:w="60"/>
              <w:left w:type="dxa" w:w="90"/>
              <w:bottom w:type="dxa" w:w="60"/>
              <w:right w:type="dxa" w:w="90"/>
            </w:tcMar>
          </w:tcPr>
          <w:p>
            <w:pPr>
              <w:spacing w:after="20" w:line="264"/>
            </w:pPr>
            <w:r>
              <w:rPr>
                <w:rFonts w:ascii="Calibri" w:cs="Calibri" w:eastAsia="Calibri" w:hAnsi="Calibri"/>
                <w:b/>
                <w:bCs/>
                <w:color w:val="1F3864"/>
                <w:sz w:val="20"/>
                <w:szCs w:val="20"/>
              </w:rPr>
              <w:t xml:space="preserve">Accès</w:t>
            </w:r>
          </w:p>
        </w:tc>
        <w:tc>
          <w:tcPr>
            <w:tcW w:type="dxa" w:w="1826"/>
            <w:shd w:fill="D9E2F3" w:val="clear"/>
            <w:tcMar>
              <w:top w:type="dxa" w:w="60"/>
              <w:left w:type="dxa" w:w="90"/>
              <w:bottom w:type="dxa" w:w="60"/>
              <w:right w:type="dxa" w:w="90"/>
            </w:tcMar>
          </w:tcPr>
          <w:p>
            <w:pPr>
              <w:spacing w:after="20" w:line="264"/>
            </w:pPr>
            <w:r>
              <w:rPr>
                <w:rFonts w:ascii="Calibri" w:cs="Calibri" w:eastAsia="Calibri" w:hAnsi="Calibri"/>
                <w:b/>
                <w:bCs/>
                <w:color w:val="1F3864"/>
                <w:sz w:val="20"/>
                <w:szCs w:val="20"/>
              </w:rPr>
              <w:t xml:space="preserve">Rôle dans le projet</w:t>
            </w:r>
          </w:p>
        </w:tc>
      </w:tr>
      <w:tr>
        <w:tc>
          <w:tcPr>
            <w:tcW w:type="dxa" w:w="1900"/>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OASIS (sur Kaggle)</w:t>
            </w:r>
          </w:p>
        </w:tc>
        <w:tc>
          <w:tcPr>
            <w:tcW w:type="dxa" w:w="3400"/>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150 sujets suivis dans le temps, en tableau de caractéristiques (âge, éducation, MMSE, CDR, volumes cérébraux…), dont 14 « convertis ».</w:t>
            </w:r>
          </w:p>
        </w:tc>
        <w:tc>
          <w:tcPr>
            <w:tcW w:type="dxa" w:w="1900"/>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Immédiat, gratuit, sans attente.</w:t>
            </w:r>
          </w:p>
        </w:tc>
        <w:tc>
          <w:tcPr>
            <w:tcW w:type="dxa" w:w="1826"/>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Prototyper le pipeline et démarrer RQ2 dès maintenant.</w:t>
            </w:r>
          </w:p>
        </w:tc>
      </w:tr>
      <w:tr>
        <w:tc>
          <w:tcPr>
            <w:tcW w:type="dxa" w:w="1900"/>
            <w:shd w:fill="F2F6FC" w:val="clear"/>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OASIS-3</w:t>
            </w:r>
          </w:p>
        </w:tc>
        <w:tc>
          <w:tcPr>
            <w:tcW w:type="dxa" w:w="3400"/>
            <w:shd w:fill="F2F6FC" w:val="clear"/>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1098 participants : IRM, PET, tests cognitifs, données cliniques + sorties post-traitées.</w:t>
            </w:r>
          </w:p>
        </w:tc>
        <w:tc>
          <w:tcPr>
            <w:tcW w:type="dxa" w:w="1900"/>
            <w:shd w:fill="F2F6FC" w:val="clear"/>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Formulaire d'accès (assez simple).</w:t>
            </w:r>
          </w:p>
        </w:tc>
        <w:tc>
          <w:tcPr>
            <w:tcW w:type="dxa" w:w="1826"/>
            <w:shd w:fill="F2F6FC" w:val="clear"/>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Deuxième cohorte, riche et multimodale.</w:t>
            </w:r>
          </w:p>
        </w:tc>
      </w:tr>
      <w:tr>
        <w:tc>
          <w:tcPr>
            <w:tcW w:type="dxa" w:w="1900"/>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ADNI</w:t>
            </w:r>
          </w:p>
        </w:tc>
        <w:tc>
          <w:tcPr>
            <w:tcW w:type="dxa" w:w="3400"/>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La référence du domaine : IRM + PET + cognitif + biomarqueurs + génétique.</w:t>
            </w:r>
          </w:p>
        </w:tc>
        <w:tc>
          <w:tcPr>
            <w:tcW w:type="dxa" w:w="1900"/>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Demande via LONI IDA, examen ~2 semaines.</w:t>
            </w:r>
          </w:p>
        </w:tc>
        <w:tc>
          <w:tcPr>
            <w:tcW w:type="dxa" w:w="1826"/>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Source principale pour répondre pleinement aux 3 RQ.</w:t>
            </w:r>
          </w:p>
        </w:tc>
      </w:tr>
    </w:tbl>
    <w:p>
      <w:pPr>
        <w:spacing w:after="80"/>
      </w:pPr>
    </w:p>
    <w:p>
      <w:pPr>
        <w:pStyle w:val="Heading2"/>
        <w:spacing w:after="100" w:before="220"/>
      </w:pPr>
      <w:r>
        <w:rPr>
          <w:rFonts w:ascii="Calibri" w:cs="Calibri" w:eastAsia="Calibri" w:hAnsi="Calibri"/>
          <w:b/>
          <w:bCs/>
          <w:color w:val="2E5496"/>
          <w:sz w:val="25"/>
          <w:szCs w:val="25"/>
        </w:rPr>
        <w:t xml:space="preserve">4.2 Notre stratégie de données en deux temps</w:t>
      </w:r>
    </w:p>
    <w:p>
      <w:pPr>
        <w:spacing w:after="120" w:line="276"/>
      </w:pPr>
      <w:r>
        <w:rPr>
          <w:rFonts w:ascii="Calibri" w:cs="Calibri" w:eastAsia="Calibri" w:hAnsi="Calibri"/>
          <w:color w:val="222222"/>
          <w:sz w:val="21"/>
          <w:szCs w:val="21"/>
        </w:rPr>
        <w:t xml:space="preserve">Cette stratégie colle exactement au cahier, qui suggère de démarrer avec OASIS sans attendre la validation d'ADNI.</w:t>
      </w:r>
    </w:p>
    <w:p>
      <w:pPr>
        <w:pStyle w:val="ListParagraph"/>
        <w:numPr>
          <w:ilvl w:val="0"/>
          <w:numId w:val="1"/>
        </w:numPr>
        <w:spacing w:after="70" w:line="272"/>
      </w:pPr>
      <w:r>
        <w:rPr>
          <w:rFonts w:ascii="Calibri" w:cs="Calibri" w:eastAsia="Calibri" w:hAnsi="Calibri"/>
          <w:b/>
          <w:bCs/>
          <w:color w:val="222222"/>
          <w:sz w:val="21"/>
          <w:szCs w:val="21"/>
        </w:rPr>
        <w:t xml:space="preserve">Maintenant → OASIS sur Kaggle : </w:t>
      </w:r>
      <w:r>
        <w:rPr>
          <w:rFonts w:ascii="Calibri" w:cs="Calibri" w:eastAsia="Calibri" w:hAnsi="Calibri"/>
          <w:color w:val="222222"/>
          <w:sz w:val="21"/>
          <w:szCs w:val="21"/>
        </w:rPr>
        <w:t xml:space="preserve">on monte tout le pipeline, on teste le code, on fait une première version de RQ2. On apprend sans rien attendre.</w:t>
      </w:r>
    </w:p>
    <w:p>
      <w:pPr>
        <w:pStyle w:val="ListParagraph"/>
        <w:numPr>
          <w:ilvl w:val="0"/>
          <w:numId w:val="1"/>
        </w:numPr>
        <w:spacing w:after="70" w:line="272"/>
      </w:pPr>
      <w:r>
        <w:rPr>
          <w:rFonts w:ascii="Calibri" w:cs="Calibri" w:eastAsia="Calibri" w:hAnsi="Calibri"/>
          <w:b/>
          <w:bCs/>
          <w:color w:val="222222"/>
          <w:sz w:val="21"/>
          <w:szCs w:val="21"/>
        </w:rPr>
        <w:t xml:space="preserve">Dans ~2 semaines → ADNI (+ OASIS-3) : </w:t>
      </w:r>
      <w:r>
        <w:rPr>
          <w:rFonts w:ascii="Calibri" w:cs="Calibri" w:eastAsia="Calibri" w:hAnsi="Calibri"/>
          <w:color w:val="222222"/>
          <w:sz w:val="21"/>
          <w:szCs w:val="21"/>
        </w:rPr>
        <w:t xml:space="preserve">le vrai jeu multimodal riche pour répondre pleinement à RQ1, RQ2 et RQ3, et tester la généralisation d'une cohorte à l'autre.</w:t>
      </w:r>
    </w:p>
    <w:p>
      <w:pPr>
        <w:pBdr>
          <w:left w:val="single" w:color="2E5496" w:sz="24" w:space="12"/>
        </w:pBdr>
        <w:shd w:fill="FBF3EC" w:val="clear"/>
        <w:spacing w:after="140" w:before="120" w:line="276"/>
      </w:pPr>
      <w:r>
        <w:rPr>
          <w:rFonts w:ascii="Calibri" w:cs="Calibri" w:eastAsia="Calibri" w:hAnsi="Calibri"/>
          <w:b/>
          <w:bCs/>
          <w:color w:val="2E5496"/>
          <w:sz w:val="21"/>
          <w:szCs w:val="21"/>
        </w:rPr>
        <w:t xml:space="preserve">Note honnête :  </w:t>
      </w:r>
      <w:r>
        <w:rPr>
          <w:rFonts w:ascii="Calibri" w:cs="Calibri" w:eastAsia="Calibri" w:hAnsi="Calibri"/>
          <w:color w:val="333333"/>
          <w:sz w:val="21"/>
          <w:szCs w:val="21"/>
        </w:rPr>
        <w:t xml:space="preserve">OASIS-Kaggle ne contient pas le PET ni les biomarqueurs. Il sert à prototyper et à traiter RQ2. Le multimodal complet (RQ1) viendra avec ADNI et OASIS-3. C'est voulu et logique.</w:t>
      </w:r>
    </w:p>
    <w:p>
      <w:pPr>
        <w:pStyle w:val="Heading2"/>
        <w:spacing w:after="100" w:before="220"/>
      </w:pPr>
      <w:r>
        <w:rPr>
          <w:rFonts w:ascii="Calibri" w:cs="Calibri" w:eastAsia="Calibri" w:hAnsi="Calibri"/>
          <w:b/>
          <w:bCs/>
          <w:color w:val="2E5496"/>
          <w:sz w:val="25"/>
          <w:szCs w:val="25"/>
        </w:rPr>
        <w:t xml:space="preserve">4.3 Liens d'accès aux données</w:t>
      </w:r>
    </w:p>
    <w:p>
      <w:pPr>
        <w:pStyle w:val="ListParagraph"/>
        <w:numPr>
          <w:ilvl w:val="0"/>
          <w:numId w:val="1"/>
        </w:numPr>
        <w:spacing w:after="60" w:line="272"/>
      </w:pPr>
      <w:r>
        <w:rPr>
          <w:rFonts w:ascii="Calibri" w:cs="Calibri" w:eastAsia="Calibri" w:hAnsi="Calibri"/>
          <w:b/>
          <w:bCs/>
          <w:color w:val="222222"/>
          <w:sz w:val="21"/>
          <w:szCs w:val="21"/>
        </w:rPr>
        <w:t xml:space="preserve">OASIS — dataset prêt sur Kaggle : </w:t>
      </w:r>
      <w:hyperlink w:history="1" r:id="rIdryakmkcn7n4qoy6c5nupr">
        <w:r>
          <w:rPr>
            <w:rStyle w:val="Hyperlink"/>
            <w:rFonts w:ascii="Calibri" w:cs="Calibri" w:eastAsia="Calibri" w:hAnsi="Calibri"/>
            <w:sz w:val="21"/>
            <w:szCs w:val="21"/>
          </w:rPr>
          <w:t xml:space="preserve">https://www.kaggle.com/datasets/jboysen/mri-and-alzheimers</w:t>
        </w:r>
      </w:hyperlink>
    </w:p>
    <w:p>
      <w:pPr>
        <w:pStyle w:val="ListParagraph"/>
        <w:numPr>
          <w:ilvl w:val="0"/>
          <w:numId w:val="1"/>
        </w:numPr>
        <w:spacing w:after="60" w:line="272"/>
      </w:pPr>
      <w:r>
        <w:rPr>
          <w:rFonts w:ascii="Calibri" w:cs="Calibri" w:eastAsia="Calibri" w:hAnsi="Calibri"/>
          <w:b/>
          <w:bCs/>
          <w:color w:val="222222"/>
          <w:sz w:val="21"/>
          <w:szCs w:val="21"/>
        </w:rPr>
        <w:t xml:space="preserve">OASIS — site officiel : </w:t>
      </w:r>
      <w:hyperlink w:history="1" r:id="rId_sfqqabdxunlrp6-yhoky">
        <w:r>
          <w:rPr>
            <w:rStyle w:val="Hyperlink"/>
            <w:rFonts w:ascii="Calibri" w:cs="Calibri" w:eastAsia="Calibri" w:hAnsi="Calibri"/>
            <w:sz w:val="21"/>
            <w:szCs w:val="21"/>
          </w:rPr>
          <w:t xml:space="preserve">https://www.oasis-brains.org/</w:t>
        </w:r>
      </w:hyperlink>
    </w:p>
    <w:p>
      <w:pPr>
        <w:pStyle w:val="ListParagraph"/>
        <w:numPr>
          <w:ilvl w:val="0"/>
          <w:numId w:val="1"/>
        </w:numPr>
        <w:spacing w:after="60" w:line="272"/>
      </w:pPr>
      <w:r>
        <w:rPr>
          <w:rFonts w:ascii="Calibri" w:cs="Calibri" w:eastAsia="Calibri" w:hAnsi="Calibri"/>
          <w:b/>
          <w:bCs/>
          <w:color w:val="222222"/>
          <w:sz w:val="21"/>
          <w:szCs w:val="21"/>
        </w:rPr>
        <w:t xml:space="preserve">OASIS — demande d'accès (OASIS-3) : </w:t>
      </w:r>
      <w:hyperlink w:history="1" r:id="rIdopg2mwgr3ltgh2e5qa4q2">
        <w:r>
          <w:rPr>
            <w:rStyle w:val="Hyperlink"/>
            <w:rFonts w:ascii="Calibri" w:cs="Calibri" w:eastAsia="Calibri" w:hAnsi="Calibri"/>
            <w:sz w:val="21"/>
            <w:szCs w:val="21"/>
          </w:rPr>
          <w:t xml:space="preserve">https://sites.wustl.edu/oasisbrains/request-access/</w:t>
        </w:r>
      </w:hyperlink>
    </w:p>
    <w:p>
      <w:pPr>
        <w:pStyle w:val="ListParagraph"/>
        <w:numPr>
          <w:ilvl w:val="0"/>
          <w:numId w:val="1"/>
        </w:numPr>
        <w:spacing w:after="60" w:line="272"/>
      </w:pPr>
      <w:r>
        <w:rPr>
          <w:rFonts w:ascii="Calibri" w:cs="Calibri" w:eastAsia="Calibri" w:hAnsi="Calibri"/>
          <w:b/>
          <w:bCs/>
          <w:color w:val="222222"/>
          <w:sz w:val="21"/>
          <w:szCs w:val="21"/>
        </w:rPr>
        <w:t xml:space="preserve">ADNI — page données et accès : </w:t>
      </w:r>
      <w:hyperlink w:history="1" r:id="rIdv7fcse429dvj0ff0_pdmu">
        <w:r>
          <w:rPr>
            <w:rStyle w:val="Hyperlink"/>
            <w:rFonts w:ascii="Calibri" w:cs="Calibri" w:eastAsia="Calibri" w:hAnsi="Calibri"/>
            <w:sz w:val="21"/>
            <w:szCs w:val="21"/>
          </w:rPr>
          <w:t xml:space="preserve">https://adni.loni.usc.edu/data-samples/adni-data/</w:t>
        </w:r>
      </w:hyperlink>
    </w:p>
    <w:p>
      <w:pPr>
        <w:pStyle w:val="ListParagraph"/>
        <w:numPr>
          <w:ilvl w:val="0"/>
          <w:numId w:val="1"/>
        </w:numPr>
        <w:spacing w:after="60" w:line="272"/>
      </w:pPr>
      <w:r>
        <w:rPr>
          <w:rFonts w:ascii="Calibri" w:cs="Calibri" w:eastAsia="Calibri" w:hAnsi="Calibri"/>
          <w:b/>
          <w:bCs/>
          <w:color w:val="222222"/>
          <w:sz w:val="21"/>
          <w:szCs w:val="21"/>
        </w:rPr>
        <w:t xml:space="preserve">ADNI — formulaire de demande (LONI IDA) : </w:t>
      </w:r>
      <w:hyperlink w:history="1" r:id="rIdziifz_7rpxmzs3moxdq6u">
        <w:r>
          <w:rPr>
            <w:rStyle w:val="Hyperlink"/>
            <w:rFonts w:ascii="Calibri" w:cs="Calibri" w:eastAsia="Calibri" w:hAnsi="Calibri"/>
            <w:sz w:val="21"/>
            <w:szCs w:val="21"/>
          </w:rPr>
          <w:t xml:space="preserve">https://ida.loni.usc.edu/collaboration/access/appLicense.jsp</w:t>
        </w:r>
      </w:hyperlink>
    </w:p>
    <w:p>
      <w:pPr>
        <w:pBdr>
          <w:left w:val="single" w:color="C55A11" w:sz="24" w:space="12"/>
        </w:pBdr>
        <w:shd w:fill="FBF3EC" w:val="clear"/>
        <w:spacing w:after="140" w:before="120" w:line="276"/>
      </w:pPr>
      <w:r>
        <w:rPr>
          <w:rFonts w:ascii="Calibri" w:cs="Calibri" w:eastAsia="Calibri" w:hAnsi="Calibri"/>
          <w:b/>
          <w:bCs/>
          <w:color w:val="C55A11"/>
          <w:sz w:val="21"/>
          <w:szCs w:val="21"/>
        </w:rPr>
        <w:t xml:space="preserve">Conseil pratique :  </w:t>
      </w:r>
      <w:r>
        <w:rPr>
          <w:rFonts w:ascii="Calibri" w:cs="Calibri" w:eastAsia="Calibri" w:hAnsi="Calibri"/>
          <w:color w:val="333333"/>
          <w:sz w:val="21"/>
          <w:szCs w:val="21"/>
        </w:rPr>
        <w:t xml:space="preserve">la demande ADNI exige une affiliation à une institution scientifique ou éducative. En tant qu'étudiante, fais cette demande avec ton encadrant : cela sert de référent institutionnel et accélère l'acceptation.</w:t>
      </w:r>
    </w:p>
    <w:p>
      <w:r>
        <w:br w:type="page"/>
      </w:r>
    </w:p>
    <w:p>
      <w:pPr>
        <w:pStyle w:val="Heading1"/>
        <w:spacing w:after="140" w:before="320"/>
      </w:pPr>
      <w:r>
        <w:rPr>
          <w:rFonts w:ascii="Calibri" w:cs="Calibri" w:eastAsia="Calibri" w:hAnsi="Calibri"/>
          <w:b/>
          <w:bCs/>
          <w:color w:val="1F3864"/>
          <w:sz w:val="30"/>
          <w:szCs w:val="30"/>
        </w:rPr>
        <w:t xml:space="preserve">5. Les technologies (stack technique)</w:t>
      </w:r>
    </w:p>
    <w:p>
      <w:pPr>
        <w:spacing w:after="120" w:line="276"/>
      </w:pPr>
      <w:r>
        <w:rPr>
          <w:rFonts w:ascii="Calibri" w:cs="Calibri" w:eastAsia="Calibri" w:hAnsi="Calibri"/>
          <w:b/>
          <w:bCs/>
          <w:color w:val="222222"/>
          <w:sz w:val="21"/>
          <w:szCs w:val="21"/>
        </w:rPr>
        <w:t xml:space="preserve">Choix du langage : Python. </w:t>
      </w:r>
      <w:r>
        <w:rPr>
          <w:rFonts w:ascii="Calibri" w:cs="Calibri" w:eastAsia="Calibri" w:hAnsi="Calibri"/>
          <w:color w:val="222222"/>
          <w:sz w:val="21"/>
          <w:szCs w:val="21"/>
        </w:rPr>
        <w:t xml:space="preserve">Tu travailles habituellement en R, mais pour ce projet Python s'impose : c'est le standard absolu du deep learning et du big data, avec l'écosystème le plus riche (Spark, PyTorch, scikit-learn…) et une immense communauté. Ne t'inquiète pas : on avancera pas à pas, et beaucoup de logiques (data frames, modèles) ressemblent à ce que tu connais déjà en R.</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3000"/>
        <w:gridCol w:w="3726"/>
      </w:tblGrid>
      <w:tr>
        <w:trPr>
          <w:tblHeader/>
        </w:trPr>
        <w:tc>
          <w:tcPr>
            <w:tcW w:type="dxa" w:w="2300"/>
            <w:shd w:fill="D9E2F3" w:val="clear"/>
            <w:tcMar>
              <w:top w:type="dxa" w:w="60"/>
              <w:left w:type="dxa" w:w="90"/>
              <w:bottom w:type="dxa" w:w="60"/>
              <w:right w:type="dxa" w:w="90"/>
            </w:tcMar>
          </w:tcPr>
          <w:p>
            <w:pPr>
              <w:spacing w:after="20" w:line="264"/>
            </w:pPr>
            <w:r>
              <w:rPr>
                <w:rFonts w:ascii="Calibri" w:cs="Calibri" w:eastAsia="Calibri" w:hAnsi="Calibri"/>
                <w:b/>
                <w:bCs/>
                <w:color w:val="1F3864"/>
                <w:sz w:val="20"/>
                <w:szCs w:val="20"/>
              </w:rPr>
              <w:t xml:space="preserve">Besoin</w:t>
            </w:r>
          </w:p>
        </w:tc>
        <w:tc>
          <w:tcPr>
            <w:tcW w:type="dxa" w:w="3000"/>
            <w:shd w:fill="D9E2F3" w:val="clear"/>
            <w:tcMar>
              <w:top w:type="dxa" w:w="60"/>
              <w:left w:type="dxa" w:w="90"/>
              <w:bottom w:type="dxa" w:w="60"/>
              <w:right w:type="dxa" w:w="90"/>
            </w:tcMar>
          </w:tcPr>
          <w:p>
            <w:pPr>
              <w:spacing w:after="20" w:line="264"/>
            </w:pPr>
            <w:r>
              <w:rPr>
                <w:rFonts w:ascii="Calibri" w:cs="Calibri" w:eastAsia="Calibri" w:hAnsi="Calibri"/>
                <w:b/>
                <w:bCs/>
                <w:color w:val="1F3864"/>
                <w:sz w:val="20"/>
                <w:szCs w:val="20"/>
              </w:rPr>
              <w:t xml:space="preserve">Technologie</w:t>
            </w:r>
          </w:p>
        </w:tc>
        <w:tc>
          <w:tcPr>
            <w:tcW w:type="dxa" w:w="3726"/>
            <w:shd w:fill="D9E2F3" w:val="clear"/>
            <w:tcMar>
              <w:top w:type="dxa" w:w="60"/>
              <w:left w:type="dxa" w:w="90"/>
              <w:bottom w:type="dxa" w:w="60"/>
              <w:right w:type="dxa" w:w="90"/>
            </w:tcMar>
          </w:tcPr>
          <w:p>
            <w:pPr>
              <w:spacing w:after="20" w:line="264"/>
            </w:pPr>
            <w:r>
              <w:rPr>
                <w:rFonts w:ascii="Calibri" w:cs="Calibri" w:eastAsia="Calibri" w:hAnsi="Calibri"/>
                <w:b/>
                <w:bCs/>
                <w:color w:val="1F3864"/>
                <w:sz w:val="20"/>
                <w:szCs w:val="20"/>
              </w:rPr>
              <w:t xml:space="preserve">Pourquoi ce choix</w:t>
            </w:r>
          </w:p>
        </w:tc>
      </w:tr>
      <w:tr>
        <w:tc>
          <w:tcPr>
            <w:tcW w:type="dxa" w:w="2300"/>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Langage</w:t>
            </w:r>
          </w:p>
        </w:tc>
        <w:tc>
          <w:tcPr>
            <w:tcW w:type="dxa" w:w="3000"/>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Python</w:t>
            </w:r>
          </w:p>
        </w:tc>
        <w:tc>
          <w:tcPr>
            <w:tcW w:type="dxa" w:w="3726"/>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Standard en data science et deep learning ; écosystème complet.</w:t>
            </w:r>
          </w:p>
        </w:tc>
      </w:tr>
      <w:tr>
        <w:tc>
          <w:tcPr>
            <w:tcW w:type="dxa" w:w="2300"/>
            <w:shd w:fill="F2F6FC" w:val="clear"/>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Manipulation de données</w:t>
            </w:r>
          </w:p>
        </w:tc>
        <w:tc>
          <w:tcPr>
            <w:tcW w:type="dxa" w:w="3000"/>
            <w:shd w:fill="F2F6FC" w:val="clear"/>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pandas</w:t>
            </w:r>
          </w:p>
        </w:tc>
        <w:tc>
          <w:tcPr>
            <w:tcW w:type="dxa" w:w="3726"/>
            <w:shd w:fill="F2F6FC" w:val="clear"/>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Manipuler facilement les tableaux (comme les data frames en R).</w:t>
            </w:r>
          </w:p>
        </w:tc>
      </w:tr>
      <w:tr>
        <w:tc>
          <w:tcPr>
            <w:tcW w:type="dxa" w:w="2300"/>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Big Data / passage à l'échelle</w:t>
            </w:r>
          </w:p>
        </w:tc>
        <w:tc>
          <w:tcPr>
            <w:tcW w:type="dxa" w:w="3000"/>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Apache Spark (PySpark)</w:t>
            </w:r>
          </w:p>
        </w:tc>
        <w:tc>
          <w:tcPr>
            <w:tcW w:type="dxa" w:w="3726"/>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Exigé par le cahier des charges ; traite de gros volumes en parallèle.</w:t>
            </w:r>
          </w:p>
        </w:tc>
      </w:tr>
      <w:tr>
        <w:tc>
          <w:tcPr>
            <w:tcW w:type="dxa" w:w="2300"/>
            <w:shd w:fill="F2F6FC" w:val="clear"/>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Modèles simples (baselines)</w:t>
            </w:r>
          </w:p>
        </w:tc>
        <w:tc>
          <w:tcPr>
            <w:tcW w:type="dxa" w:w="3000"/>
            <w:shd w:fill="F2F6FC" w:val="clear"/>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scikit-learn</w:t>
            </w:r>
          </w:p>
        </w:tc>
        <w:tc>
          <w:tcPr>
            <w:tcW w:type="dxa" w:w="3726"/>
            <w:shd w:fill="F2F6FC" w:val="clear"/>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Régression logistique, forêts aléatoires : nos points de comparaison.</w:t>
            </w:r>
          </w:p>
        </w:tc>
      </w:tr>
      <w:tr>
        <w:tc>
          <w:tcPr>
            <w:tcW w:type="dxa" w:w="2300"/>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Deep Learning</w:t>
            </w:r>
          </w:p>
        </w:tc>
        <w:tc>
          <w:tcPr>
            <w:tcW w:type="dxa" w:w="3000"/>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PyTorch</w:t>
            </w:r>
          </w:p>
        </w:tc>
        <w:tc>
          <w:tcPr>
            <w:tcW w:type="dxa" w:w="3726"/>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Pour les réseaux CNN (images) et RNN/LSTM (séquences temporelles).</w:t>
            </w:r>
          </w:p>
        </w:tc>
      </w:tr>
      <w:tr>
        <w:tc>
          <w:tcPr>
            <w:tcW w:type="dxa" w:w="2300"/>
            <w:shd w:fill="F2F6FC" w:val="clear"/>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Visualisation</w:t>
            </w:r>
          </w:p>
        </w:tc>
        <w:tc>
          <w:tcPr>
            <w:tcW w:type="dxa" w:w="3000"/>
            <w:shd w:fill="F2F6FC" w:val="clear"/>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matplotlib / seaborn</w:t>
            </w:r>
          </w:p>
        </w:tc>
        <w:tc>
          <w:tcPr>
            <w:tcW w:type="dxa" w:w="3726"/>
            <w:shd w:fill="F2F6FC" w:val="clear"/>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Graphiques d'exploration et de résultats.</w:t>
            </w:r>
          </w:p>
        </w:tc>
      </w:tr>
      <w:tr>
        <w:tc>
          <w:tcPr>
            <w:tcW w:type="dxa" w:w="2300"/>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Explicabilité</w:t>
            </w:r>
          </w:p>
        </w:tc>
        <w:tc>
          <w:tcPr>
            <w:tcW w:type="dxa" w:w="3000"/>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SHAP (tableaux), Grad-CAM (images)</w:t>
            </w:r>
          </w:p>
        </w:tc>
        <w:tc>
          <w:tcPr>
            <w:tcW w:type="dxa" w:w="3726"/>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Comprendre pourquoi le modèle décide (demandé par la littérature).</w:t>
            </w:r>
          </w:p>
        </w:tc>
      </w:tr>
      <w:tr>
        <w:tc>
          <w:tcPr>
            <w:tcW w:type="dxa" w:w="2300"/>
            <w:shd w:fill="F2F6FC" w:val="clear"/>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Imagerie médicale (bonus)</w:t>
            </w:r>
          </w:p>
        </w:tc>
        <w:tc>
          <w:tcPr>
            <w:tcW w:type="dxa" w:w="3000"/>
            <w:shd w:fill="F2F6FC" w:val="clear"/>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nibabel, MONAI</w:t>
            </w:r>
          </w:p>
        </w:tc>
        <w:tc>
          <w:tcPr>
            <w:tcW w:type="dxa" w:w="3726"/>
            <w:shd w:fill="F2F6FC" w:val="clear"/>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Lire les images cérébrales et faire du DL médical, pour la démo image.</w:t>
            </w:r>
          </w:p>
        </w:tc>
      </w:tr>
      <w:tr>
        <w:tc>
          <w:tcPr>
            <w:tcW w:type="dxa" w:w="2300"/>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Environnement de calcul</w:t>
            </w:r>
          </w:p>
        </w:tc>
        <w:tc>
          <w:tcPr>
            <w:tcW w:type="dxa" w:w="3000"/>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Kaggle Notebooks (+ Colab)</w:t>
            </w:r>
          </w:p>
        </w:tc>
        <w:tc>
          <w:tcPr>
            <w:tcW w:type="dxa" w:w="3726"/>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GPU gratuit et fiable pour entraîner les modèles.</w:t>
            </w:r>
          </w:p>
        </w:tc>
      </w:tr>
      <w:tr>
        <w:tc>
          <w:tcPr>
            <w:tcW w:type="dxa" w:w="2300"/>
            <w:shd w:fill="F2F6FC" w:val="clear"/>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Gestion de version</w:t>
            </w:r>
          </w:p>
        </w:tc>
        <w:tc>
          <w:tcPr>
            <w:tcW w:type="dxa" w:w="3000"/>
            <w:shd w:fill="F2F6FC" w:val="clear"/>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Git / GitHub</w:t>
            </w:r>
          </w:p>
        </w:tc>
        <w:tc>
          <w:tcPr>
            <w:tcW w:type="dxa" w:w="3726"/>
            <w:shd w:fill="F2F6FC" w:val="clear"/>
            <w:tcMar>
              <w:top w:type="dxa" w:w="60"/>
              <w:left w:type="dxa" w:w="90"/>
              <w:bottom w:type="dxa" w:w="60"/>
              <w:right w:type="dxa" w:w="90"/>
            </w:tcMar>
          </w:tcPr>
          <w:p>
            <w:pPr>
              <w:spacing w:after="20" w:line="264"/>
            </w:pPr>
            <w:r>
              <w:rPr>
                <w:rFonts w:ascii="Calibri" w:cs="Calibri" w:eastAsia="Calibri" w:hAnsi="Calibri"/>
                <w:color w:val="222222"/>
                <w:sz w:val="20"/>
                <w:szCs w:val="20"/>
              </w:rPr>
              <w:t xml:space="preserve">Sauvegarder et organiser le code proprement.</w:t>
            </w:r>
          </w:p>
        </w:tc>
      </w:tr>
    </w:tbl>
    <w:p>
      <w:pPr>
        <w:spacing w:after="80"/>
      </w:pPr>
    </w:p>
    <w:p>
      <w:pPr>
        <w:pBdr>
          <w:left w:val="single" w:color="2E5496" w:sz="24" w:space="12"/>
        </w:pBdr>
        <w:shd w:fill="FBF3EC" w:val="clear"/>
        <w:spacing w:after="140" w:before="120" w:line="276"/>
      </w:pPr>
      <w:r>
        <w:rPr>
          <w:rFonts w:ascii="Calibri" w:cs="Calibri" w:eastAsia="Calibri" w:hAnsi="Calibri"/>
          <w:b/>
          <w:bCs/>
          <w:color w:val="2E5496"/>
          <w:sz w:val="21"/>
          <w:szCs w:val="21"/>
        </w:rPr>
        <w:t xml:space="preserve">Rappel matériel :  </w:t>
      </w:r>
      <w:r>
        <w:rPr>
          <w:rFonts w:ascii="Calibri" w:cs="Calibri" w:eastAsia="Calibri" w:hAnsi="Calibri"/>
          <w:color w:val="333333"/>
          <w:sz w:val="21"/>
          <w:szCs w:val="21"/>
        </w:rPr>
        <w:t xml:space="preserve">tout ce qui est lourd (entraînement, pipeline Spark) tourne sur Kaggle. Ton PC sert de « poste de pilotage » : écrire le code, lire, tester sur de petits échantillons, gérer Git.</w:t>
      </w:r>
    </w:p>
    <w:p>
      <w:r>
        <w:br w:type="page"/>
      </w:r>
    </w:p>
    <w:p>
      <w:pPr>
        <w:pStyle w:val="Heading1"/>
        <w:spacing w:after="140" w:before="320"/>
      </w:pPr>
      <w:r>
        <w:rPr>
          <w:rFonts w:ascii="Calibri" w:cs="Calibri" w:eastAsia="Calibri" w:hAnsi="Calibri"/>
          <w:b/>
          <w:bCs/>
          <w:color w:val="1F3864"/>
          <w:sz w:val="30"/>
          <w:szCs w:val="30"/>
        </w:rPr>
        <w:t xml:space="preserve">6. Le plan complet, étape par étape</w:t>
      </w:r>
    </w:p>
    <w:p>
      <w:pPr>
        <w:spacing w:after="120" w:line="276"/>
      </w:pPr>
      <w:r>
        <w:rPr>
          <w:rFonts w:ascii="Calibri" w:cs="Calibri" w:eastAsia="Calibri" w:hAnsi="Calibri"/>
          <w:color w:val="222222"/>
          <w:sz w:val="21"/>
          <w:szCs w:val="21"/>
        </w:rPr>
        <w:t xml:space="preserve">Le projet se déroule en 7 phases. Chaque phase a des étapes concrètes et un livrable clair. On les fera une par une, ensemble.</w:t>
      </w:r>
    </w:p>
    <w:p>
      <w:pPr>
        <w:pStyle w:val="Heading2"/>
        <w:spacing w:after="100" w:before="220"/>
      </w:pPr>
      <w:r>
        <w:rPr>
          <w:rFonts w:ascii="Calibri" w:cs="Calibri" w:eastAsia="Calibri" w:hAnsi="Calibri"/>
          <w:b/>
          <w:bCs/>
          <w:color w:val="2E5496"/>
          <w:sz w:val="25"/>
          <w:szCs w:val="25"/>
        </w:rPr>
        <w:t xml:space="preserve">Phase 0 — Cadrage (en cours)</w:t>
      </w:r>
    </w:p>
    <w:p>
      <w:pPr>
        <w:spacing w:after="120" w:line="276"/>
      </w:pPr>
      <w:r>
        <w:rPr>
          <w:rFonts w:ascii="Calibri" w:cs="Calibri" w:eastAsia="Calibri" w:hAnsi="Calibri"/>
          <w:color w:val="222222"/>
          <w:sz w:val="21"/>
          <w:szCs w:val="21"/>
        </w:rPr>
        <w:t xml:space="preserve">Comprendre le problème, fixer les questions, choisir les technologies, lancer l'accès aux données.</w:t>
      </w:r>
    </w:p>
    <w:p>
      <w:pPr>
        <w:pStyle w:val="ListParagraph"/>
        <w:numPr>
          <w:ilvl w:val="0"/>
          <w:numId w:val="1"/>
        </w:numPr>
        <w:spacing w:after="70" w:line="272"/>
      </w:pPr>
      <w:r>
        <w:rPr>
          <w:rFonts w:ascii="Calibri" w:cs="Calibri" w:eastAsia="Calibri" w:hAnsi="Calibri"/>
          <w:color w:val="222222"/>
          <w:sz w:val="21"/>
          <w:szCs w:val="21"/>
        </w:rPr>
        <w:t xml:space="preserve">Comprendre le problème médical et le vocabulaire.</w:t>
      </w:r>
    </w:p>
    <w:p>
      <w:pPr>
        <w:pStyle w:val="ListParagraph"/>
        <w:numPr>
          <w:ilvl w:val="0"/>
          <w:numId w:val="1"/>
        </w:numPr>
        <w:spacing w:after="70" w:line="272"/>
      </w:pPr>
      <w:r>
        <w:rPr>
          <w:rFonts w:ascii="Calibri" w:cs="Calibri" w:eastAsia="Calibri" w:hAnsi="Calibri"/>
          <w:color w:val="222222"/>
          <w:sz w:val="21"/>
          <w:szCs w:val="21"/>
        </w:rPr>
        <w:t xml:space="preserve">Définir la cible à prédire et les 3 questions de recherche.</w:t>
      </w:r>
    </w:p>
    <w:p>
      <w:pPr>
        <w:pStyle w:val="ListParagraph"/>
        <w:numPr>
          <w:ilvl w:val="0"/>
          <w:numId w:val="1"/>
        </w:numPr>
        <w:spacing w:after="70" w:line="272"/>
      </w:pPr>
      <w:r>
        <w:rPr>
          <w:rFonts w:ascii="Calibri" w:cs="Calibri" w:eastAsia="Calibri" w:hAnsi="Calibri"/>
          <w:color w:val="222222"/>
          <w:sz w:val="21"/>
          <w:szCs w:val="21"/>
        </w:rPr>
        <w:t xml:space="preserve">Étudier les références et choisir la stack technique.</w:t>
      </w:r>
    </w:p>
    <w:p>
      <w:pPr>
        <w:pStyle w:val="ListParagraph"/>
        <w:numPr>
          <w:ilvl w:val="0"/>
          <w:numId w:val="1"/>
        </w:numPr>
        <w:spacing w:after="70" w:line="272"/>
      </w:pPr>
      <w:r>
        <w:rPr>
          <w:rFonts w:ascii="Calibri" w:cs="Calibri" w:eastAsia="Calibri" w:hAnsi="Calibri"/>
          <w:color w:val="222222"/>
          <w:sz w:val="21"/>
          <w:szCs w:val="21"/>
        </w:rPr>
        <w:t xml:space="preserve">Lancer les demandes d'accès aux données.</w:t>
      </w:r>
    </w:p>
    <w:p>
      <w:pPr>
        <w:spacing w:after="160" w:before="80"/>
      </w:pPr>
      <w:r>
        <w:rPr>
          <w:rFonts w:ascii="Calibri" w:cs="Calibri" w:eastAsia="Calibri" w:hAnsi="Calibri"/>
          <w:b/>
          <w:bCs/>
          <w:color w:val="C55A11"/>
          <w:sz w:val="21"/>
          <w:szCs w:val="21"/>
        </w:rPr>
        <w:t xml:space="preserve">Livrable : </w:t>
      </w:r>
      <w:r>
        <w:rPr>
          <w:rFonts w:ascii="Calibri" w:cs="Calibri" w:eastAsia="Calibri" w:hAnsi="Calibri"/>
          <w:i/>
          <w:iCs/>
          <w:color w:val="595959"/>
          <w:sz w:val="21"/>
          <w:szCs w:val="21"/>
        </w:rPr>
        <w:t xml:space="preserve">Ce document de cadrage (deviendra l'introduction + méthodologie du rapport).</w:t>
      </w:r>
    </w:p>
    <w:p>
      <w:pPr>
        <w:pStyle w:val="Heading2"/>
        <w:spacing w:after="100" w:before="220"/>
      </w:pPr>
      <w:r>
        <w:rPr>
          <w:rFonts w:ascii="Calibri" w:cs="Calibri" w:eastAsia="Calibri" w:hAnsi="Calibri"/>
          <w:b/>
          <w:bCs/>
          <w:color w:val="2E5496"/>
          <w:sz w:val="25"/>
          <w:szCs w:val="25"/>
        </w:rPr>
        <w:t xml:space="preserve">Phase 1 — Données : accès et compréhension</w:t>
      </w:r>
    </w:p>
    <w:p>
      <w:pPr>
        <w:spacing w:after="120" w:line="276"/>
      </w:pPr>
      <w:r>
        <w:rPr>
          <w:rFonts w:ascii="Calibri" w:cs="Calibri" w:eastAsia="Calibri" w:hAnsi="Calibri"/>
          <w:color w:val="222222"/>
          <w:sz w:val="21"/>
          <w:szCs w:val="21"/>
        </w:rPr>
        <w:t xml:space="preserve">Récupérer les données et bien les comprendre avant tout modèle.</w:t>
      </w:r>
    </w:p>
    <w:p>
      <w:pPr>
        <w:pStyle w:val="ListParagraph"/>
        <w:numPr>
          <w:ilvl w:val="0"/>
          <w:numId w:val="1"/>
        </w:numPr>
        <w:spacing w:after="70" w:line="272"/>
      </w:pPr>
      <w:r>
        <w:rPr>
          <w:rFonts w:ascii="Calibri" w:cs="Calibri" w:eastAsia="Calibri" w:hAnsi="Calibri"/>
          <w:color w:val="222222"/>
          <w:sz w:val="21"/>
          <w:szCs w:val="21"/>
        </w:rPr>
        <w:t xml:space="preserve">Récupérer le dataset OASIS sur Kaggle.</w:t>
      </w:r>
    </w:p>
    <w:p>
      <w:pPr>
        <w:pStyle w:val="ListParagraph"/>
        <w:numPr>
          <w:ilvl w:val="0"/>
          <w:numId w:val="1"/>
        </w:numPr>
        <w:spacing w:after="70" w:line="272"/>
      </w:pPr>
      <w:r>
        <w:rPr>
          <w:rFonts w:ascii="Calibri" w:cs="Calibri" w:eastAsia="Calibri" w:hAnsi="Calibri"/>
          <w:color w:val="222222"/>
          <w:sz w:val="21"/>
          <w:szCs w:val="21"/>
        </w:rPr>
        <w:t xml:space="preserve">Explorer les données (analyse exploratoire) : nombre de sujets, de visites, distribution des classes.</w:t>
      </w:r>
    </w:p>
    <w:p>
      <w:pPr>
        <w:pStyle w:val="ListParagraph"/>
        <w:numPr>
          <w:ilvl w:val="0"/>
          <w:numId w:val="1"/>
        </w:numPr>
        <w:spacing w:after="70" w:line="272"/>
      </w:pPr>
      <w:r>
        <w:rPr>
          <w:rFonts w:ascii="Calibri" w:cs="Calibri" w:eastAsia="Calibri" w:hAnsi="Calibri"/>
          <w:color w:val="222222"/>
          <w:sz w:val="21"/>
          <w:szCs w:val="21"/>
        </w:rPr>
        <w:t xml:space="preserve">Définir précisément la cible et l'horizon de prédiction.</w:t>
      </w:r>
    </w:p>
    <w:p>
      <w:pPr>
        <w:pStyle w:val="ListParagraph"/>
        <w:numPr>
          <w:ilvl w:val="0"/>
          <w:numId w:val="1"/>
        </w:numPr>
        <w:spacing w:after="70" w:line="272"/>
      </w:pPr>
      <w:r>
        <w:rPr>
          <w:rFonts w:ascii="Calibri" w:cs="Calibri" w:eastAsia="Calibri" w:hAnsi="Calibri"/>
          <w:color w:val="222222"/>
          <w:sz w:val="21"/>
          <w:szCs w:val="21"/>
        </w:rPr>
        <w:t xml:space="preserve">Repérer le déséquilibre des classes (peu de « convertis ») et les données manquantes.</w:t>
      </w:r>
    </w:p>
    <w:p>
      <w:pPr>
        <w:spacing w:after="160" w:before="80"/>
      </w:pPr>
      <w:r>
        <w:rPr>
          <w:rFonts w:ascii="Calibri" w:cs="Calibri" w:eastAsia="Calibri" w:hAnsi="Calibri"/>
          <w:b/>
          <w:bCs/>
          <w:color w:val="C55A11"/>
          <w:sz w:val="21"/>
          <w:szCs w:val="21"/>
        </w:rPr>
        <w:t xml:space="preserve">Livrable : </w:t>
      </w:r>
      <w:r>
        <w:rPr>
          <w:rFonts w:ascii="Calibri" w:cs="Calibri" w:eastAsia="Calibri" w:hAnsi="Calibri"/>
          <w:i/>
          <w:iCs/>
          <w:color w:val="595959"/>
          <w:sz w:val="21"/>
          <w:szCs w:val="21"/>
        </w:rPr>
        <w:t xml:space="preserve">Un notebook d'exploration + une cible clairement définie.</w:t>
      </w:r>
    </w:p>
    <w:p>
      <w:pPr>
        <w:pStyle w:val="Heading2"/>
        <w:spacing w:after="100" w:before="220"/>
      </w:pPr>
      <w:r>
        <w:rPr>
          <w:rFonts w:ascii="Calibri" w:cs="Calibri" w:eastAsia="Calibri" w:hAnsi="Calibri"/>
          <w:b/>
          <w:bCs/>
          <w:color w:val="2E5496"/>
          <w:sz w:val="25"/>
          <w:szCs w:val="25"/>
        </w:rPr>
        <w:t xml:space="preserve">Phase 2 — Prétraitement et pipeline Big Data (Spark)</w:t>
      </w:r>
    </w:p>
    <w:p>
      <w:pPr>
        <w:spacing w:after="120" w:line="276"/>
      </w:pPr>
      <w:r>
        <w:rPr>
          <w:rFonts w:ascii="Calibri" w:cs="Calibri" w:eastAsia="Calibri" w:hAnsi="Calibri"/>
          <w:color w:val="222222"/>
          <w:sz w:val="21"/>
          <w:szCs w:val="21"/>
        </w:rPr>
        <w:t xml:space="preserve">Nettoyer et préparer les données, et construire le pipeline scalable demandé par le cahier.</w:t>
      </w:r>
    </w:p>
    <w:p>
      <w:pPr>
        <w:pStyle w:val="ListParagraph"/>
        <w:numPr>
          <w:ilvl w:val="0"/>
          <w:numId w:val="1"/>
        </w:numPr>
        <w:spacing w:after="70" w:line="272"/>
      </w:pPr>
      <w:r>
        <w:rPr>
          <w:rFonts w:ascii="Calibri" w:cs="Calibri" w:eastAsia="Calibri" w:hAnsi="Calibri"/>
          <w:color w:val="222222"/>
          <w:sz w:val="21"/>
          <w:szCs w:val="21"/>
        </w:rPr>
        <w:t xml:space="preserve">Nettoyer les données (valeurs manquantes, types, doublons).</w:t>
      </w:r>
    </w:p>
    <w:p>
      <w:pPr>
        <w:pStyle w:val="ListParagraph"/>
        <w:numPr>
          <w:ilvl w:val="0"/>
          <w:numId w:val="1"/>
        </w:numPr>
        <w:spacing w:after="70" w:line="272"/>
      </w:pPr>
      <w:r>
        <w:rPr>
          <w:rFonts w:ascii="Calibri" w:cs="Calibri" w:eastAsia="Calibri" w:hAnsi="Calibri"/>
          <w:color w:val="222222"/>
          <w:sz w:val="21"/>
          <w:szCs w:val="21"/>
        </w:rPr>
        <w:t xml:space="preserve">Encoder les variables (sexe, catégories) et normaliser les valeurs.</w:t>
      </w:r>
    </w:p>
    <w:p>
      <w:pPr>
        <w:pStyle w:val="ListParagraph"/>
        <w:numPr>
          <w:ilvl w:val="0"/>
          <w:numId w:val="1"/>
        </w:numPr>
        <w:spacing w:after="70" w:line="272"/>
      </w:pPr>
      <w:r>
        <w:rPr>
          <w:rFonts w:ascii="Calibri" w:cs="Calibri" w:eastAsia="Calibri" w:hAnsi="Calibri"/>
          <w:color w:val="222222"/>
          <w:sz w:val="21"/>
          <w:szCs w:val="21"/>
        </w:rPr>
        <w:t xml:space="preserve">Construire la structure longitudinale : une séquence de visites par patient.</w:t>
      </w:r>
    </w:p>
    <w:p>
      <w:pPr>
        <w:pStyle w:val="ListParagraph"/>
        <w:numPr>
          <w:ilvl w:val="0"/>
          <w:numId w:val="1"/>
        </w:numPr>
        <w:spacing w:after="70" w:line="272"/>
      </w:pPr>
      <w:r>
        <w:rPr>
          <w:rFonts w:ascii="Calibri" w:cs="Calibri" w:eastAsia="Calibri" w:hAnsi="Calibri"/>
          <w:color w:val="222222"/>
          <w:sz w:val="21"/>
          <w:szCs w:val="21"/>
        </w:rPr>
        <w:t xml:space="preserve">Mettre en place le pipeline avec Apache Spark (PySpark) pour traiter à l'échelle.</w:t>
      </w:r>
    </w:p>
    <w:p>
      <w:pPr>
        <w:spacing w:after="160" w:before="80"/>
      </w:pPr>
      <w:r>
        <w:rPr>
          <w:rFonts w:ascii="Calibri" w:cs="Calibri" w:eastAsia="Calibri" w:hAnsi="Calibri"/>
          <w:b/>
          <w:bCs/>
          <w:color w:val="C55A11"/>
          <w:sz w:val="21"/>
          <w:szCs w:val="21"/>
        </w:rPr>
        <w:t xml:space="preserve">Livrable : </w:t>
      </w:r>
      <w:r>
        <w:rPr>
          <w:rFonts w:ascii="Calibri" w:cs="Calibri" w:eastAsia="Calibri" w:hAnsi="Calibri"/>
          <w:i/>
          <w:iCs/>
          <w:color w:val="595959"/>
          <w:sz w:val="21"/>
          <w:szCs w:val="21"/>
        </w:rPr>
        <w:t xml:space="preserve">Un pipeline Spark reproductible + un jeu de données propre.</w:t>
      </w:r>
    </w:p>
    <w:p>
      <w:pPr>
        <w:pStyle w:val="Heading2"/>
        <w:spacing w:after="100" w:before="220"/>
      </w:pPr>
      <w:r>
        <w:rPr>
          <w:rFonts w:ascii="Calibri" w:cs="Calibri" w:eastAsia="Calibri" w:hAnsi="Calibri"/>
          <w:b/>
          <w:bCs/>
          <w:color w:val="2E5496"/>
          <w:sz w:val="25"/>
          <w:szCs w:val="25"/>
        </w:rPr>
        <w:t xml:space="preserve">Phase 3 — Modélisation</w:t>
      </w:r>
    </w:p>
    <w:p>
      <w:pPr>
        <w:spacing w:after="120" w:line="276"/>
      </w:pPr>
      <w:r>
        <w:rPr>
          <w:rFonts w:ascii="Calibri" w:cs="Calibri" w:eastAsia="Calibri" w:hAnsi="Calibri"/>
          <w:color w:val="222222"/>
          <w:sz w:val="21"/>
          <w:szCs w:val="21"/>
        </w:rPr>
        <w:t xml:space="preserve">Construire les modèles dans l'ordre dicté par les questions de recherche.</w:t>
      </w:r>
    </w:p>
    <w:p>
      <w:pPr>
        <w:pStyle w:val="ListParagraph"/>
        <w:numPr>
          <w:ilvl w:val="0"/>
          <w:numId w:val="1"/>
        </w:numPr>
        <w:spacing w:after="70" w:line="272"/>
      </w:pPr>
      <w:r>
        <w:rPr>
          <w:rFonts w:ascii="Calibri" w:cs="Calibri" w:eastAsia="Calibri" w:hAnsi="Calibri"/>
          <w:color w:val="222222"/>
          <w:sz w:val="21"/>
          <w:szCs w:val="21"/>
        </w:rPr>
        <w:t xml:space="preserve">Baselines : un modèle unimodal et un modèle sur visite unique (scikit-learn).</w:t>
      </w:r>
    </w:p>
    <w:p>
      <w:pPr>
        <w:pStyle w:val="ListParagraph"/>
        <w:numPr>
          <w:ilvl w:val="0"/>
          <w:numId w:val="1"/>
        </w:numPr>
        <w:spacing w:after="70" w:line="272"/>
      </w:pPr>
      <w:r>
        <w:rPr>
          <w:rFonts w:ascii="Calibri" w:cs="Calibri" w:eastAsia="Calibri" w:hAnsi="Calibri"/>
          <w:color w:val="222222"/>
          <w:sz w:val="21"/>
          <w:szCs w:val="21"/>
        </w:rPr>
        <w:t xml:space="preserve">Modèle multimodal : fusion des différentes modalités (pour RQ1).</w:t>
      </w:r>
    </w:p>
    <w:p>
      <w:pPr>
        <w:pStyle w:val="ListParagraph"/>
        <w:numPr>
          <w:ilvl w:val="0"/>
          <w:numId w:val="1"/>
        </w:numPr>
        <w:spacing w:after="70" w:line="272"/>
      </w:pPr>
      <w:r>
        <w:rPr>
          <w:rFonts w:ascii="Calibri" w:cs="Calibri" w:eastAsia="Calibri" w:hAnsi="Calibri"/>
          <w:color w:val="222222"/>
          <w:sz w:val="21"/>
          <w:szCs w:val="21"/>
        </w:rPr>
        <w:t xml:space="preserve">Modèle longitudinal : réseau qui lit les séquences de visites, type LSTM (pour RQ2).</w:t>
      </w:r>
    </w:p>
    <w:p>
      <w:pPr>
        <w:pStyle w:val="ListParagraph"/>
        <w:numPr>
          <w:ilvl w:val="0"/>
          <w:numId w:val="1"/>
        </w:numPr>
        <w:spacing w:after="70" w:line="272"/>
      </w:pPr>
      <w:r>
        <w:rPr>
          <w:rFonts w:ascii="Calibri" w:cs="Calibri" w:eastAsia="Calibri" w:hAnsi="Calibri"/>
          <w:color w:val="222222"/>
          <w:sz w:val="21"/>
          <w:szCs w:val="21"/>
        </w:rPr>
        <w:t xml:space="preserve">Gestion des données manquantes : masquage / imputation (pour RQ3).</w:t>
      </w:r>
    </w:p>
    <w:p>
      <w:pPr>
        <w:spacing w:after="160" w:before="80"/>
      </w:pPr>
      <w:r>
        <w:rPr>
          <w:rFonts w:ascii="Calibri" w:cs="Calibri" w:eastAsia="Calibri" w:hAnsi="Calibri"/>
          <w:b/>
          <w:bCs/>
          <w:color w:val="C55A11"/>
          <w:sz w:val="21"/>
          <w:szCs w:val="21"/>
        </w:rPr>
        <w:t xml:space="preserve">Livrable : </w:t>
      </w:r>
      <w:r>
        <w:rPr>
          <w:rFonts w:ascii="Calibri" w:cs="Calibri" w:eastAsia="Calibri" w:hAnsi="Calibri"/>
          <w:i/>
          <w:iCs/>
          <w:color w:val="595959"/>
          <w:sz w:val="21"/>
          <w:szCs w:val="21"/>
        </w:rPr>
        <w:t xml:space="preserve">Les différents modèles entraînés et comparables entre eux.</w:t>
      </w:r>
    </w:p>
    <w:p>
      <w:pPr>
        <w:pStyle w:val="Heading2"/>
        <w:spacing w:after="100" w:before="220"/>
      </w:pPr>
      <w:r>
        <w:rPr>
          <w:rFonts w:ascii="Calibri" w:cs="Calibri" w:eastAsia="Calibri" w:hAnsi="Calibri"/>
          <w:b/>
          <w:bCs/>
          <w:color w:val="2E5496"/>
          <w:sz w:val="25"/>
          <w:szCs w:val="25"/>
        </w:rPr>
        <w:t xml:space="preserve">Phase 4 — Entraînement à l'échelle</w:t>
      </w:r>
    </w:p>
    <w:p>
      <w:pPr>
        <w:spacing w:after="120" w:line="276"/>
      </w:pPr>
      <w:r>
        <w:rPr>
          <w:rFonts w:ascii="Calibri" w:cs="Calibri" w:eastAsia="Calibri" w:hAnsi="Calibri"/>
          <w:color w:val="222222"/>
          <w:sz w:val="21"/>
          <w:szCs w:val="21"/>
        </w:rPr>
        <w:t xml:space="preserve">Entraîner et optimiser sur GPU Kaggle.</w:t>
      </w:r>
    </w:p>
    <w:p>
      <w:pPr>
        <w:pStyle w:val="ListParagraph"/>
        <w:numPr>
          <w:ilvl w:val="0"/>
          <w:numId w:val="1"/>
        </w:numPr>
        <w:spacing w:after="70" w:line="272"/>
      </w:pPr>
      <w:r>
        <w:rPr>
          <w:rFonts w:ascii="Calibri" w:cs="Calibri" w:eastAsia="Calibri" w:hAnsi="Calibri"/>
          <w:color w:val="222222"/>
          <w:sz w:val="21"/>
          <w:szCs w:val="21"/>
        </w:rPr>
        <w:t xml:space="preserve">Entraîner les modèles sur le GPU de Kaggle.</w:t>
      </w:r>
    </w:p>
    <w:p>
      <w:pPr>
        <w:pStyle w:val="ListParagraph"/>
        <w:numPr>
          <w:ilvl w:val="0"/>
          <w:numId w:val="1"/>
        </w:numPr>
        <w:spacing w:after="70" w:line="272"/>
      </w:pPr>
      <w:r>
        <w:rPr>
          <w:rFonts w:ascii="Calibri" w:cs="Calibri" w:eastAsia="Calibri" w:hAnsi="Calibri"/>
          <w:color w:val="222222"/>
          <w:sz w:val="21"/>
          <w:szCs w:val="21"/>
        </w:rPr>
        <w:t xml:space="preserve">Validation croisée pour des résultats fiables.</w:t>
      </w:r>
    </w:p>
    <w:p>
      <w:pPr>
        <w:pStyle w:val="ListParagraph"/>
        <w:numPr>
          <w:ilvl w:val="0"/>
          <w:numId w:val="1"/>
        </w:numPr>
        <w:spacing w:after="70" w:line="272"/>
      </w:pPr>
      <w:r>
        <w:rPr>
          <w:rFonts w:ascii="Calibri" w:cs="Calibri" w:eastAsia="Calibri" w:hAnsi="Calibri"/>
          <w:color w:val="222222"/>
          <w:sz w:val="21"/>
          <w:szCs w:val="21"/>
        </w:rPr>
        <w:t xml:space="preserve">Gérer le déséquilibre des classes (pondération, ré-échantillonnage).</w:t>
      </w:r>
    </w:p>
    <w:p>
      <w:pPr>
        <w:pStyle w:val="ListParagraph"/>
        <w:numPr>
          <w:ilvl w:val="0"/>
          <w:numId w:val="1"/>
        </w:numPr>
        <w:spacing w:after="70" w:line="272"/>
      </w:pPr>
      <w:r>
        <w:rPr>
          <w:rFonts w:ascii="Calibri" w:cs="Calibri" w:eastAsia="Calibri" w:hAnsi="Calibri"/>
          <w:color w:val="222222"/>
          <w:sz w:val="21"/>
          <w:szCs w:val="21"/>
        </w:rPr>
        <w:t xml:space="preserve">Suivre et comparer les expériences de façon organisée.</w:t>
      </w:r>
    </w:p>
    <w:p>
      <w:pPr>
        <w:spacing w:after="160" w:before="80"/>
      </w:pPr>
      <w:r>
        <w:rPr>
          <w:rFonts w:ascii="Calibri" w:cs="Calibri" w:eastAsia="Calibri" w:hAnsi="Calibri"/>
          <w:b/>
          <w:bCs/>
          <w:color w:val="C55A11"/>
          <w:sz w:val="21"/>
          <w:szCs w:val="21"/>
        </w:rPr>
        <w:t xml:space="preserve">Livrable : </w:t>
      </w:r>
      <w:r>
        <w:rPr>
          <w:rFonts w:ascii="Calibri" w:cs="Calibri" w:eastAsia="Calibri" w:hAnsi="Calibri"/>
          <w:i/>
          <w:iCs/>
          <w:color w:val="595959"/>
          <w:sz w:val="21"/>
          <w:szCs w:val="21"/>
        </w:rPr>
        <w:t xml:space="preserve">Des modèles optimisés avec des performances mesurées.</w:t>
      </w:r>
    </w:p>
    <w:p>
      <w:pPr>
        <w:pStyle w:val="Heading2"/>
        <w:spacing w:after="100" w:before="220"/>
      </w:pPr>
      <w:r>
        <w:rPr>
          <w:rFonts w:ascii="Calibri" w:cs="Calibri" w:eastAsia="Calibri" w:hAnsi="Calibri"/>
          <w:b/>
          <w:bCs/>
          <w:color w:val="2E5496"/>
          <w:sz w:val="25"/>
          <w:szCs w:val="25"/>
        </w:rPr>
        <w:t xml:space="preserve">Phase 5 — Évaluation et réponses aux questions de recherche</w:t>
      </w:r>
    </w:p>
    <w:p>
      <w:pPr>
        <w:spacing w:after="120" w:line="276"/>
      </w:pPr>
      <w:r>
        <w:rPr>
          <w:rFonts w:ascii="Calibri" w:cs="Calibri" w:eastAsia="Calibri" w:hAnsi="Calibri"/>
          <w:color w:val="222222"/>
          <w:sz w:val="21"/>
          <w:szCs w:val="21"/>
        </w:rPr>
        <w:t xml:space="preserve">Mesurer, comparer, conclure — c'est ici qu'on répond formellement aux 3 RQ.</w:t>
      </w:r>
    </w:p>
    <w:p>
      <w:pPr>
        <w:pStyle w:val="ListParagraph"/>
        <w:numPr>
          <w:ilvl w:val="0"/>
          <w:numId w:val="1"/>
        </w:numPr>
        <w:spacing w:after="70" w:line="272"/>
      </w:pPr>
      <w:r>
        <w:rPr>
          <w:rFonts w:ascii="Calibri" w:cs="Calibri" w:eastAsia="Calibri" w:hAnsi="Calibri"/>
          <w:color w:val="222222"/>
          <w:sz w:val="21"/>
          <w:szCs w:val="21"/>
        </w:rPr>
        <w:t xml:space="preserve">Calculer les métriques (AUC, exactitude, F1, sensibilité, spécificité).</w:t>
      </w:r>
    </w:p>
    <w:p>
      <w:pPr>
        <w:pStyle w:val="ListParagraph"/>
        <w:numPr>
          <w:ilvl w:val="0"/>
          <w:numId w:val="1"/>
        </w:numPr>
        <w:spacing w:after="70" w:line="272"/>
      </w:pPr>
      <w:r>
        <w:rPr>
          <w:rFonts w:ascii="Calibri" w:cs="Calibri" w:eastAsia="Calibri" w:hAnsi="Calibri"/>
          <w:color w:val="222222"/>
          <w:sz w:val="21"/>
          <w:szCs w:val="21"/>
        </w:rPr>
        <w:t xml:space="preserve">Comparer pour RQ1 (multi vs uni), RQ2 (longitudinal vs statique), RQ3 (robustesse aux trous).</w:t>
      </w:r>
    </w:p>
    <w:p>
      <w:pPr>
        <w:pStyle w:val="ListParagraph"/>
        <w:numPr>
          <w:ilvl w:val="0"/>
          <w:numId w:val="1"/>
        </w:numPr>
        <w:spacing w:after="70" w:line="272"/>
      </w:pPr>
      <w:r>
        <w:rPr>
          <w:rFonts w:ascii="Calibri" w:cs="Calibri" w:eastAsia="Calibri" w:hAnsi="Calibri"/>
          <w:color w:val="222222"/>
          <w:sz w:val="21"/>
          <w:szCs w:val="21"/>
        </w:rPr>
        <w:t xml:space="preserve">Tester la généralisation externe (entraîné sur ADNI, testé sur OASIS-3).</w:t>
      </w:r>
    </w:p>
    <w:p>
      <w:pPr>
        <w:pStyle w:val="ListParagraph"/>
        <w:numPr>
          <w:ilvl w:val="0"/>
          <w:numId w:val="1"/>
        </w:numPr>
        <w:spacing w:after="70" w:line="272"/>
      </w:pPr>
      <w:r>
        <w:rPr>
          <w:rFonts w:ascii="Calibri" w:cs="Calibri" w:eastAsia="Calibri" w:hAnsi="Calibri"/>
          <w:color w:val="222222"/>
          <w:sz w:val="21"/>
          <w:szCs w:val="21"/>
        </w:rPr>
        <w:t xml:space="preserve">Expliquer les décisions du modèle (SHAP, Grad-CAM).</w:t>
      </w:r>
    </w:p>
    <w:p>
      <w:pPr>
        <w:spacing w:after="160" w:before="80"/>
      </w:pPr>
      <w:r>
        <w:rPr>
          <w:rFonts w:ascii="Calibri" w:cs="Calibri" w:eastAsia="Calibri" w:hAnsi="Calibri"/>
          <w:b/>
          <w:bCs/>
          <w:color w:val="C55A11"/>
          <w:sz w:val="21"/>
          <w:szCs w:val="21"/>
        </w:rPr>
        <w:t xml:space="preserve">Livrable : </w:t>
      </w:r>
      <w:r>
        <w:rPr>
          <w:rFonts w:ascii="Calibri" w:cs="Calibri" w:eastAsia="Calibri" w:hAnsi="Calibri"/>
          <w:i/>
          <w:iCs/>
          <w:color w:val="595959"/>
          <w:sz w:val="21"/>
          <w:szCs w:val="21"/>
        </w:rPr>
        <w:t xml:space="preserve">Des tableaux de résultats qui répondent clairement aux 3 questions.</w:t>
      </w:r>
    </w:p>
    <w:p>
      <w:pPr>
        <w:pStyle w:val="Heading2"/>
        <w:spacing w:after="100" w:before="220"/>
      </w:pPr>
      <w:r>
        <w:rPr>
          <w:rFonts w:ascii="Calibri" w:cs="Calibri" w:eastAsia="Calibri" w:hAnsi="Calibri"/>
          <w:b/>
          <w:bCs/>
          <w:color w:val="2E5496"/>
          <w:sz w:val="25"/>
          <w:szCs w:val="25"/>
        </w:rPr>
        <w:t xml:space="preserve">Phase 6 — Rédaction et livrables finaux</w:t>
      </w:r>
    </w:p>
    <w:p>
      <w:pPr>
        <w:spacing w:after="120" w:line="276"/>
      </w:pPr>
      <w:r>
        <w:rPr>
          <w:rFonts w:ascii="Calibri" w:cs="Calibri" w:eastAsia="Calibri" w:hAnsi="Calibri"/>
          <w:color w:val="222222"/>
          <w:sz w:val="21"/>
          <w:szCs w:val="21"/>
        </w:rPr>
        <w:t xml:space="preserve">Formaliser le travail pour la remise.</w:t>
      </w:r>
    </w:p>
    <w:p>
      <w:pPr>
        <w:pStyle w:val="ListParagraph"/>
        <w:numPr>
          <w:ilvl w:val="0"/>
          <w:numId w:val="1"/>
        </w:numPr>
        <w:spacing w:after="70" w:line="272"/>
      </w:pPr>
      <w:r>
        <w:rPr>
          <w:rFonts w:ascii="Calibri" w:cs="Calibri" w:eastAsia="Calibri" w:hAnsi="Calibri"/>
          <w:color w:val="222222"/>
          <w:sz w:val="21"/>
          <w:szCs w:val="21"/>
        </w:rPr>
        <w:t xml:space="preserve">Rédiger le rapport (introduction, méthodologie, résultats, discussion).</w:t>
      </w:r>
    </w:p>
    <w:p>
      <w:pPr>
        <w:pStyle w:val="ListParagraph"/>
        <w:numPr>
          <w:ilvl w:val="0"/>
          <w:numId w:val="1"/>
        </w:numPr>
        <w:spacing w:after="70" w:line="272"/>
      </w:pPr>
      <w:r>
        <w:rPr>
          <w:rFonts w:ascii="Calibri" w:cs="Calibri" w:eastAsia="Calibri" w:hAnsi="Calibri"/>
          <w:color w:val="222222"/>
          <w:sz w:val="21"/>
          <w:szCs w:val="21"/>
        </w:rPr>
        <w:t xml:space="preserve">Nettoyer et documenter le code, le publier sur GitHub.</w:t>
      </w:r>
    </w:p>
    <w:p>
      <w:pPr>
        <w:pStyle w:val="ListParagraph"/>
        <w:numPr>
          <w:ilvl w:val="0"/>
          <w:numId w:val="1"/>
        </w:numPr>
        <w:spacing w:after="70" w:line="272"/>
      </w:pPr>
      <w:r>
        <w:rPr>
          <w:rFonts w:ascii="Calibri" w:cs="Calibri" w:eastAsia="Calibri" w:hAnsi="Calibri"/>
          <w:color w:val="222222"/>
          <w:sz w:val="21"/>
          <w:szCs w:val="21"/>
        </w:rPr>
        <w:t xml:space="preserve">Préparer la présentation (slides).</w:t>
      </w:r>
    </w:p>
    <w:p>
      <w:pPr>
        <w:spacing w:after="160" w:before="80"/>
      </w:pPr>
      <w:r>
        <w:rPr>
          <w:rFonts w:ascii="Calibri" w:cs="Calibri" w:eastAsia="Calibri" w:hAnsi="Calibri"/>
          <w:b/>
          <w:bCs/>
          <w:color w:val="C55A11"/>
          <w:sz w:val="21"/>
          <w:szCs w:val="21"/>
        </w:rPr>
        <w:t xml:space="preserve">Livrable : </w:t>
      </w:r>
      <w:r>
        <w:rPr>
          <w:rFonts w:ascii="Calibri" w:cs="Calibri" w:eastAsia="Calibri" w:hAnsi="Calibri"/>
          <w:i/>
          <w:iCs/>
          <w:color w:val="595959"/>
          <w:sz w:val="21"/>
          <w:szCs w:val="21"/>
        </w:rPr>
        <w:t xml:space="preserve">Rapport final + code propre + présentation.</w:t>
      </w:r>
    </w:p>
    <w:p>
      <w:r>
        <w:br w:type="page"/>
      </w:r>
    </w:p>
    <w:p>
      <w:pPr>
        <w:pStyle w:val="Heading1"/>
        <w:spacing w:after="140" w:before="320"/>
      </w:pPr>
      <w:r>
        <w:rPr>
          <w:rFonts w:ascii="Calibri" w:cs="Calibri" w:eastAsia="Calibri" w:hAnsi="Calibri"/>
          <w:b/>
          <w:bCs/>
          <w:color w:val="1F3864"/>
          <w:sz w:val="30"/>
          <w:szCs w:val="30"/>
        </w:rPr>
        <w:t xml:space="preserve">7. Actions immédiates (cette semaine)</w:t>
      </w:r>
    </w:p>
    <w:p>
      <w:pPr>
        <w:pStyle w:val="ListParagraph"/>
        <w:numPr>
          <w:ilvl w:val="0"/>
          <w:numId w:val="3"/>
        </w:numPr>
        <w:spacing w:after="70" w:line="272"/>
      </w:pPr>
      <w:r>
        <w:rPr>
          <w:rFonts w:ascii="Calibri" w:cs="Calibri" w:eastAsia="Calibri" w:hAnsi="Calibri"/>
          <w:b/>
          <w:bCs/>
          <w:color w:val="222222"/>
          <w:sz w:val="21"/>
          <w:szCs w:val="21"/>
        </w:rPr>
        <w:t xml:space="preserve">Lancer la demande d'accès ADNI </w:t>
      </w:r>
      <w:r>
        <w:rPr>
          <w:rFonts w:ascii="Calibri" w:cs="Calibri" w:eastAsia="Calibri" w:hAnsi="Calibri"/>
          <w:color w:val="222222"/>
          <w:sz w:val="21"/>
          <w:szCs w:val="21"/>
        </w:rPr>
        <w:t xml:space="preserve">(idéalement avec ton encadrant), pour ne pas bloquer la suite du projet.</w:t>
      </w:r>
    </w:p>
    <w:p>
      <w:pPr>
        <w:pStyle w:val="ListParagraph"/>
        <w:numPr>
          <w:ilvl w:val="0"/>
          <w:numId w:val="3"/>
        </w:numPr>
        <w:spacing w:after="70" w:line="272"/>
      </w:pPr>
      <w:r>
        <w:rPr>
          <w:rFonts w:ascii="Calibri" w:cs="Calibri" w:eastAsia="Calibri" w:hAnsi="Calibri"/>
          <w:b/>
          <w:bCs/>
          <w:color w:val="222222"/>
          <w:sz w:val="21"/>
          <w:szCs w:val="21"/>
        </w:rPr>
        <w:t xml:space="preserve">Créer un compte Kaggle </w:t>
      </w:r>
      <w:r>
        <w:rPr>
          <w:rFonts w:ascii="Calibri" w:cs="Calibri" w:eastAsia="Calibri" w:hAnsi="Calibri"/>
          <w:color w:val="222222"/>
          <w:sz w:val="21"/>
          <w:szCs w:val="21"/>
        </w:rPr>
        <w:t xml:space="preserve">et récupérer le dataset OASIS longitudinal, pour qu'on démarre concrètement.</w:t>
      </w:r>
    </w:p>
    <w:p>
      <w:pPr>
        <w:pStyle w:val="ListParagraph"/>
        <w:numPr>
          <w:ilvl w:val="0"/>
          <w:numId w:val="3"/>
        </w:numPr>
        <w:spacing w:after="70" w:line="272"/>
      </w:pPr>
      <w:r>
        <w:rPr>
          <w:rFonts w:ascii="Calibri" w:cs="Calibri" w:eastAsia="Calibri" w:hAnsi="Calibri"/>
          <w:b/>
          <w:bCs/>
          <w:color w:val="222222"/>
          <w:sz w:val="21"/>
          <w:szCs w:val="21"/>
        </w:rPr>
        <w:t xml:space="preserve">(Optionnel) Remplir le formulaire OASIS-3 </w:t>
      </w:r>
      <w:r>
        <w:rPr>
          <w:rFonts w:ascii="Calibri" w:cs="Calibri" w:eastAsia="Calibri" w:hAnsi="Calibri"/>
          <w:color w:val="222222"/>
          <w:sz w:val="21"/>
          <w:szCs w:val="21"/>
        </w:rPr>
        <w:t xml:space="preserve">pour disposer d'une deuxième cohorte multimodale.</w:t>
      </w:r>
    </w:p>
    <w:p>
      <w:pPr>
        <w:pStyle w:val="Heading1"/>
        <w:spacing w:after="140" w:before="320"/>
      </w:pPr>
      <w:r>
        <w:rPr>
          <w:rFonts w:ascii="Calibri" w:cs="Calibri" w:eastAsia="Calibri" w:hAnsi="Calibri"/>
          <w:b/>
          <w:bCs/>
          <w:color w:val="1F3864"/>
          <w:sz w:val="30"/>
          <w:szCs w:val="30"/>
        </w:rPr>
        <w:t xml:space="preserve">8. Documentation et liens utiles</w:t>
      </w:r>
    </w:p>
    <w:p>
      <w:pPr>
        <w:pStyle w:val="Heading3"/>
        <w:spacing w:after="80" w:before="160"/>
      </w:pPr>
      <w:r>
        <w:rPr>
          <w:rFonts w:ascii="Calibri" w:cs="Calibri" w:eastAsia="Calibri" w:hAnsi="Calibri"/>
          <w:b/>
          <w:bCs/>
          <w:color w:val="2E5496"/>
          <w:sz w:val="22"/>
          <w:szCs w:val="22"/>
        </w:rPr>
        <w:t xml:space="preserve">Données</w:t>
      </w:r>
    </w:p>
    <w:p>
      <w:pPr>
        <w:pStyle w:val="ListParagraph"/>
        <w:numPr>
          <w:ilvl w:val="0"/>
          <w:numId w:val="1"/>
        </w:numPr>
        <w:spacing w:after="60" w:line="272"/>
      </w:pPr>
      <w:r>
        <w:rPr>
          <w:rFonts w:ascii="Calibri" w:cs="Calibri" w:eastAsia="Calibri" w:hAnsi="Calibri"/>
          <w:b/>
          <w:bCs/>
          <w:color w:val="222222"/>
          <w:sz w:val="21"/>
          <w:szCs w:val="21"/>
        </w:rPr>
        <w:t xml:space="preserve">Kaggle — OASIS (démarrage immédiat) : </w:t>
      </w:r>
      <w:hyperlink w:history="1" r:id="rId4ut8srtb0rol8nesxoodc">
        <w:r>
          <w:rPr>
            <w:rStyle w:val="Hyperlink"/>
            <w:rFonts w:ascii="Calibri" w:cs="Calibri" w:eastAsia="Calibri" w:hAnsi="Calibri"/>
            <w:sz w:val="21"/>
            <w:szCs w:val="21"/>
          </w:rPr>
          <w:t xml:space="preserve">https://www.kaggle.com/datasets/jboysen/mri-and-alzheimers</w:t>
        </w:r>
      </w:hyperlink>
    </w:p>
    <w:p>
      <w:pPr>
        <w:pStyle w:val="ListParagraph"/>
        <w:numPr>
          <w:ilvl w:val="0"/>
          <w:numId w:val="1"/>
        </w:numPr>
        <w:spacing w:after="60" w:line="272"/>
      </w:pPr>
      <w:r>
        <w:rPr>
          <w:rFonts w:ascii="Calibri" w:cs="Calibri" w:eastAsia="Calibri" w:hAnsi="Calibri"/>
          <w:b/>
          <w:bCs/>
          <w:color w:val="222222"/>
          <w:sz w:val="21"/>
          <w:szCs w:val="21"/>
        </w:rPr>
        <w:t xml:space="preserve">OASIS — site officiel : </w:t>
      </w:r>
      <w:hyperlink w:history="1" r:id="rIdzlou_bpz9ugan3nwf6vzj">
        <w:r>
          <w:rPr>
            <w:rStyle w:val="Hyperlink"/>
            <w:rFonts w:ascii="Calibri" w:cs="Calibri" w:eastAsia="Calibri" w:hAnsi="Calibri"/>
            <w:sz w:val="21"/>
            <w:szCs w:val="21"/>
          </w:rPr>
          <w:t xml:space="preserve">https://www.oasis-brains.org/</w:t>
        </w:r>
      </w:hyperlink>
    </w:p>
    <w:p>
      <w:pPr>
        <w:pStyle w:val="ListParagraph"/>
        <w:numPr>
          <w:ilvl w:val="0"/>
          <w:numId w:val="1"/>
        </w:numPr>
        <w:spacing w:after="60" w:line="272"/>
      </w:pPr>
      <w:r>
        <w:rPr>
          <w:rFonts w:ascii="Calibri" w:cs="Calibri" w:eastAsia="Calibri" w:hAnsi="Calibri"/>
          <w:b/>
          <w:bCs/>
          <w:color w:val="222222"/>
          <w:sz w:val="21"/>
          <w:szCs w:val="21"/>
        </w:rPr>
        <w:t xml:space="preserve">OASIS — demande d'accès : </w:t>
      </w:r>
      <w:hyperlink w:history="1" r:id="rIdknp7mbschgal7xgnzfevp">
        <w:r>
          <w:rPr>
            <w:rStyle w:val="Hyperlink"/>
            <w:rFonts w:ascii="Calibri" w:cs="Calibri" w:eastAsia="Calibri" w:hAnsi="Calibri"/>
            <w:sz w:val="21"/>
            <w:szCs w:val="21"/>
          </w:rPr>
          <w:t xml:space="preserve">https://sites.wustl.edu/oasisbrains/request-access/</w:t>
        </w:r>
      </w:hyperlink>
    </w:p>
    <w:p>
      <w:pPr>
        <w:pStyle w:val="ListParagraph"/>
        <w:numPr>
          <w:ilvl w:val="0"/>
          <w:numId w:val="1"/>
        </w:numPr>
        <w:spacing w:after="60" w:line="272"/>
      </w:pPr>
      <w:r>
        <w:rPr>
          <w:rFonts w:ascii="Calibri" w:cs="Calibri" w:eastAsia="Calibri" w:hAnsi="Calibri"/>
          <w:b/>
          <w:bCs/>
          <w:color w:val="222222"/>
          <w:sz w:val="21"/>
          <w:szCs w:val="21"/>
        </w:rPr>
        <w:t xml:space="preserve">ADNI — données et accès : </w:t>
      </w:r>
      <w:hyperlink w:history="1" r:id="rIdgdlsm4k0uahcaabtmz8bn">
        <w:r>
          <w:rPr>
            <w:rStyle w:val="Hyperlink"/>
            <w:rFonts w:ascii="Calibri" w:cs="Calibri" w:eastAsia="Calibri" w:hAnsi="Calibri"/>
            <w:sz w:val="21"/>
            <w:szCs w:val="21"/>
          </w:rPr>
          <w:t xml:space="preserve">https://adni.loni.usc.edu/data-samples/adni-data/</w:t>
        </w:r>
      </w:hyperlink>
    </w:p>
    <w:p>
      <w:pPr>
        <w:pStyle w:val="ListParagraph"/>
        <w:numPr>
          <w:ilvl w:val="0"/>
          <w:numId w:val="1"/>
        </w:numPr>
        <w:spacing w:after="60" w:line="272"/>
      </w:pPr>
      <w:r>
        <w:rPr>
          <w:rFonts w:ascii="Calibri" w:cs="Calibri" w:eastAsia="Calibri" w:hAnsi="Calibri"/>
          <w:b/>
          <w:bCs/>
          <w:color w:val="222222"/>
          <w:sz w:val="21"/>
          <w:szCs w:val="21"/>
        </w:rPr>
        <w:t xml:space="preserve">ADNI — formulaire LONI IDA : </w:t>
      </w:r>
      <w:hyperlink w:history="1" r:id="rIdkt3uzzoovu9upnfmjcibe">
        <w:r>
          <w:rPr>
            <w:rStyle w:val="Hyperlink"/>
            <w:rFonts w:ascii="Calibri" w:cs="Calibri" w:eastAsia="Calibri" w:hAnsi="Calibri"/>
            <w:sz w:val="21"/>
            <w:szCs w:val="21"/>
          </w:rPr>
          <w:t xml:space="preserve">https://ida.loni.usc.edu/collaboration/access/appLicense.jsp</w:t>
        </w:r>
      </w:hyperlink>
    </w:p>
    <w:p>
      <w:pPr>
        <w:pStyle w:val="Heading3"/>
        <w:spacing w:after="80" w:before="160"/>
      </w:pPr>
      <w:r>
        <w:rPr>
          <w:rFonts w:ascii="Calibri" w:cs="Calibri" w:eastAsia="Calibri" w:hAnsi="Calibri"/>
          <w:b/>
          <w:bCs/>
          <w:color w:val="2E5496"/>
          <w:sz w:val="22"/>
          <w:szCs w:val="22"/>
        </w:rPr>
        <w:t xml:space="preserve">Technologies (documentation officielle)</w:t>
      </w:r>
    </w:p>
    <w:p>
      <w:pPr>
        <w:pStyle w:val="ListParagraph"/>
        <w:numPr>
          <w:ilvl w:val="0"/>
          <w:numId w:val="1"/>
        </w:numPr>
        <w:spacing w:after="60" w:line="272"/>
      </w:pPr>
      <w:r>
        <w:rPr>
          <w:rFonts w:ascii="Calibri" w:cs="Calibri" w:eastAsia="Calibri" w:hAnsi="Calibri"/>
          <w:b/>
          <w:bCs/>
          <w:color w:val="222222"/>
          <w:sz w:val="21"/>
          <w:szCs w:val="21"/>
        </w:rPr>
        <w:t xml:space="preserve">Python : </w:t>
      </w:r>
      <w:hyperlink w:history="1" r:id="rIdbwewzyh72sfqe5esij7gf">
        <w:r>
          <w:rPr>
            <w:rStyle w:val="Hyperlink"/>
            <w:rFonts w:ascii="Calibri" w:cs="Calibri" w:eastAsia="Calibri" w:hAnsi="Calibri"/>
            <w:sz w:val="21"/>
            <w:szCs w:val="21"/>
          </w:rPr>
          <w:t xml:space="preserve">https://www.python.org/</w:t>
        </w:r>
      </w:hyperlink>
    </w:p>
    <w:p>
      <w:pPr>
        <w:pStyle w:val="ListParagraph"/>
        <w:numPr>
          <w:ilvl w:val="0"/>
          <w:numId w:val="1"/>
        </w:numPr>
        <w:spacing w:after="60" w:line="272"/>
      </w:pPr>
      <w:r>
        <w:rPr>
          <w:rFonts w:ascii="Calibri" w:cs="Calibri" w:eastAsia="Calibri" w:hAnsi="Calibri"/>
          <w:b/>
          <w:bCs/>
          <w:color w:val="222222"/>
          <w:sz w:val="21"/>
          <w:szCs w:val="21"/>
        </w:rPr>
        <w:t xml:space="preserve">pandas : </w:t>
      </w:r>
      <w:hyperlink w:history="1" r:id="rIdcip1yvetyzfhbsgkvhddt">
        <w:r>
          <w:rPr>
            <w:rStyle w:val="Hyperlink"/>
            <w:rFonts w:ascii="Calibri" w:cs="Calibri" w:eastAsia="Calibri" w:hAnsi="Calibri"/>
            <w:sz w:val="21"/>
            <w:szCs w:val="21"/>
          </w:rPr>
          <w:t xml:space="preserve">https://pandas.pydata.org/docs/</w:t>
        </w:r>
      </w:hyperlink>
    </w:p>
    <w:p>
      <w:pPr>
        <w:pStyle w:val="ListParagraph"/>
        <w:numPr>
          <w:ilvl w:val="0"/>
          <w:numId w:val="1"/>
        </w:numPr>
        <w:spacing w:after="60" w:line="272"/>
      </w:pPr>
      <w:r>
        <w:rPr>
          <w:rFonts w:ascii="Calibri" w:cs="Calibri" w:eastAsia="Calibri" w:hAnsi="Calibri"/>
          <w:b/>
          <w:bCs/>
          <w:color w:val="222222"/>
          <w:sz w:val="21"/>
          <w:szCs w:val="21"/>
        </w:rPr>
        <w:t xml:space="preserve">Apache Spark / PySpark : </w:t>
      </w:r>
      <w:hyperlink w:history="1" r:id="rId0nbgmheqxnvpjwab0cqpg">
        <w:r>
          <w:rPr>
            <w:rStyle w:val="Hyperlink"/>
            <w:rFonts w:ascii="Calibri" w:cs="Calibri" w:eastAsia="Calibri" w:hAnsi="Calibri"/>
            <w:sz w:val="21"/>
            <w:szCs w:val="21"/>
          </w:rPr>
          <w:t xml:space="preserve">https://spark.apache.org/docs/latest/api/python/</w:t>
        </w:r>
      </w:hyperlink>
    </w:p>
    <w:p>
      <w:pPr>
        <w:pStyle w:val="ListParagraph"/>
        <w:numPr>
          <w:ilvl w:val="0"/>
          <w:numId w:val="1"/>
        </w:numPr>
        <w:spacing w:after="60" w:line="272"/>
      </w:pPr>
      <w:r>
        <w:rPr>
          <w:rFonts w:ascii="Calibri" w:cs="Calibri" w:eastAsia="Calibri" w:hAnsi="Calibri"/>
          <w:b/>
          <w:bCs/>
          <w:color w:val="222222"/>
          <w:sz w:val="21"/>
          <w:szCs w:val="21"/>
        </w:rPr>
        <w:t xml:space="preserve">scikit-learn : </w:t>
      </w:r>
      <w:hyperlink w:history="1" r:id="rIdt_fwuuo5t4con7vynjk-o">
        <w:r>
          <w:rPr>
            <w:rStyle w:val="Hyperlink"/>
            <w:rFonts w:ascii="Calibri" w:cs="Calibri" w:eastAsia="Calibri" w:hAnsi="Calibri"/>
            <w:sz w:val="21"/>
            <w:szCs w:val="21"/>
          </w:rPr>
          <w:t xml:space="preserve">https://scikit-learn.org/stable/</w:t>
        </w:r>
      </w:hyperlink>
    </w:p>
    <w:p>
      <w:pPr>
        <w:pStyle w:val="ListParagraph"/>
        <w:numPr>
          <w:ilvl w:val="0"/>
          <w:numId w:val="1"/>
        </w:numPr>
        <w:spacing w:after="60" w:line="272"/>
      </w:pPr>
      <w:r>
        <w:rPr>
          <w:rFonts w:ascii="Calibri" w:cs="Calibri" w:eastAsia="Calibri" w:hAnsi="Calibri"/>
          <w:b/>
          <w:bCs/>
          <w:color w:val="222222"/>
          <w:sz w:val="21"/>
          <w:szCs w:val="21"/>
        </w:rPr>
        <w:t xml:space="preserve">PyTorch : </w:t>
      </w:r>
      <w:hyperlink w:history="1" r:id="rId6i327b0js71ro2_yozzah">
        <w:r>
          <w:rPr>
            <w:rStyle w:val="Hyperlink"/>
            <w:rFonts w:ascii="Calibri" w:cs="Calibri" w:eastAsia="Calibri" w:hAnsi="Calibri"/>
            <w:sz w:val="21"/>
            <w:szCs w:val="21"/>
          </w:rPr>
          <w:t xml:space="preserve">https://pytorch.org/docs/stable/index.html</w:t>
        </w:r>
      </w:hyperlink>
    </w:p>
    <w:p>
      <w:pPr>
        <w:pStyle w:val="ListParagraph"/>
        <w:numPr>
          <w:ilvl w:val="0"/>
          <w:numId w:val="1"/>
        </w:numPr>
        <w:spacing w:after="60" w:line="272"/>
      </w:pPr>
      <w:r>
        <w:rPr>
          <w:rFonts w:ascii="Calibri" w:cs="Calibri" w:eastAsia="Calibri" w:hAnsi="Calibri"/>
          <w:b/>
          <w:bCs/>
          <w:color w:val="222222"/>
          <w:sz w:val="21"/>
          <w:szCs w:val="21"/>
        </w:rPr>
        <w:t xml:space="preserve">SHAP (explicabilité) : </w:t>
      </w:r>
      <w:hyperlink w:history="1" r:id="rIdmzmtokodayjcua2qo2lwt">
        <w:r>
          <w:rPr>
            <w:rStyle w:val="Hyperlink"/>
            <w:rFonts w:ascii="Calibri" w:cs="Calibri" w:eastAsia="Calibri" w:hAnsi="Calibri"/>
            <w:sz w:val="21"/>
            <w:szCs w:val="21"/>
          </w:rPr>
          <w:t xml:space="preserve">https://shap.readthedocs.io/</w:t>
        </w:r>
      </w:hyperlink>
    </w:p>
    <w:p>
      <w:pPr>
        <w:pStyle w:val="ListParagraph"/>
        <w:numPr>
          <w:ilvl w:val="0"/>
          <w:numId w:val="1"/>
        </w:numPr>
        <w:spacing w:after="60" w:line="272"/>
      </w:pPr>
      <w:r>
        <w:rPr>
          <w:rFonts w:ascii="Calibri" w:cs="Calibri" w:eastAsia="Calibri" w:hAnsi="Calibri"/>
          <w:b/>
          <w:bCs/>
          <w:color w:val="222222"/>
          <w:sz w:val="21"/>
          <w:szCs w:val="21"/>
        </w:rPr>
        <w:t xml:space="preserve">MONAI (imagerie médicale) : </w:t>
      </w:r>
      <w:hyperlink w:history="1" r:id="rId2d6bfmhiocift340yuxck">
        <w:r>
          <w:rPr>
            <w:rStyle w:val="Hyperlink"/>
            <w:rFonts w:ascii="Calibri" w:cs="Calibri" w:eastAsia="Calibri" w:hAnsi="Calibri"/>
            <w:sz w:val="21"/>
            <w:szCs w:val="21"/>
          </w:rPr>
          <w:t xml:space="preserve">https://monai.io/</w:t>
        </w:r>
      </w:hyperlink>
    </w:p>
    <w:p>
      <w:pPr>
        <w:pStyle w:val="ListParagraph"/>
        <w:numPr>
          <w:ilvl w:val="0"/>
          <w:numId w:val="1"/>
        </w:numPr>
        <w:spacing w:after="60" w:line="272"/>
      </w:pPr>
      <w:r>
        <w:rPr>
          <w:rFonts w:ascii="Calibri" w:cs="Calibri" w:eastAsia="Calibri" w:hAnsi="Calibri"/>
          <w:b/>
          <w:bCs/>
          <w:color w:val="222222"/>
          <w:sz w:val="21"/>
          <w:szCs w:val="21"/>
        </w:rPr>
        <w:t xml:space="preserve">Git : </w:t>
      </w:r>
      <w:hyperlink w:history="1" r:id="rIdq4tuap9gl7-fwxuaph-oy">
        <w:r>
          <w:rPr>
            <w:rStyle w:val="Hyperlink"/>
            <w:rFonts w:ascii="Calibri" w:cs="Calibri" w:eastAsia="Calibri" w:hAnsi="Calibri"/>
            <w:sz w:val="21"/>
            <w:szCs w:val="21"/>
          </w:rPr>
          <w:t xml:space="preserve">https://git-scm.com/doc</w:t>
        </w:r>
      </w:hyperlink>
    </w:p>
    <w:p>
      <w:pPr>
        <w:spacing w:after="200"/>
      </w:pPr>
    </w:p>
    <w:p>
      <w:pPr>
        <w:pBdr>
          <w:top w:val="single" w:color="BFBFBF" w:sz="8" w:space="8"/>
        </w:pBdr>
        <w:spacing w:before="200"/>
        <w:jc w:val="center"/>
      </w:pPr>
      <w:r>
        <w:rPr>
          <w:rFonts w:ascii="Calibri" w:cs="Calibri" w:eastAsia="Calibri" w:hAnsi="Calibri"/>
          <w:i/>
          <w:iCs/>
          <w:color w:val="595959"/>
          <w:sz w:val="20"/>
          <w:szCs w:val="20"/>
        </w:rPr>
        <w:t xml:space="preserve">Fin du document de cadrage — Phase 0. Prochaine étape : Phase 1 (exploration des données).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A6A6A6"/>
        <w:sz w:val="16"/>
        <w:szCs w:val="16"/>
      </w:rPr>
      <w:t xml:space="preserve">Nourchene Dridi · ING5-SDIAF-C · page </w:t>
    </w:r>
    <w:r>
      <w:rPr>
        <w:rFonts w:ascii="Calibri" w:cs="Calibri" w:eastAsia="Calibri" w:hAnsi="Calibri"/>
        <w:color w:val="A6A6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rFonts w:ascii="Calibri" w:cs="Calibri" w:eastAsia="Calibri" w:hAnsi="Calibri"/>
        <w:color w:val="A6A6A6"/>
        <w:sz w:val="16"/>
        <w:szCs w:val="16"/>
      </w:rPr>
      <w:t xml:space="preserve">Alzheimer — Big Data &amp; Deep Learning · Phase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yakmkcn7n4qoy6c5nupr" Type="http://schemas.openxmlformats.org/officeDocument/2006/relationships/hyperlink" Target="https://www.kaggle.com/datasets/jboysen/mri-and-alzheimers" TargetMode="External"/><Relationship Id="rId_sfqqabdxunlrp6-yhoky" Type="http://schemas.openxmlformats.org/officeDocument/2006/relationships/hyperlink" Target="https://www.oasis-brains.org/" TargetMode="External"/><Relationship Id="rIdopg2mwgr3ltgh2e5qa4q2" Type="http://schemas.openxmlformats.org/officeDocument/2006/relationships/hyperlink" Target="https://sites.wustl.edu/oasisbrains/request-access/" TargetMode="External"/><Relationship Id="rIdv7fcse429dvj0ff0_pdmu" Type="http://schemas.openxmlformats.org/officeDocument/2006/relationships/hyperlink" Target="https://adni.loni.usc.edu/data-samples/adni-data/" TargetMode="External"/><Relationship Id="rIdziifz_7rpxmzs3moxdq6u" Type="http://schemas.openxmlformats.org/officeDocument/2006/relationships/hyperlink" Target="https://ida.loni.usc.edu/collaboration/access/appLicense.jsp" TargetMode="External"/><Relationship Id="rId4ut8srtb0rol8nesxoodc" Type="http://schemas.openxmlformats.org/officeDocument/2006/relationships/hyperlink" Target="https://www.kaggle.com/datasets/jboysen/mri-and-alzheimers" TargetMode="External"/><Relationship Id="rIdzlou_bpz9ugan3nwf6vzj" Type="http://schemas.openxmlformats.org/officeDocument/2006/relationships/hyperlink" Target="https://www.oasis-brains.org/" TargetMode="External"/><Relationship Id="rIdknp7mbschgal7xgnzfevp" Type="http://schemas.openxmlformats.org/officeDocument/2006/relationships/hyperlink" Target="https://sites.wustl.edu/oasisbrains/request-access/" TargetMode="External"/><Relationship Id="rIdgdlsm4k0uahcaabtmz8bn" Type="http://schemas.openxmlformats.org/officeDocument/2006/relationships/hyperlink" Target="https://adni.loni.usc.edu/data-samples/adni-data/" TargetMode="External"/><Relationship Id="rIdkt3uzzoovu9upnfmjcibe" Type="http://schemas.openxmlformats.org/officeDocument/2006/relationships/hyperlink" Target="https://ida.loni.usc.edu/collaboration/access/appLicense.jsp" TargetMode="External"/><Relationship Id="rIdbwewzyh72sfqe5esij7gf" Type="http://schemas.openxmlformats.org/officeDocument/2006/relationships/hyperlink" Target="https://www.python.org/" TargetMode="External"/><Relationship Id="rIdcip1yvetyzfhbsgkvhddt" Type="http://schemas.openxmlformats.org/officeDocument/2006/relationships/hyperlink" Target="https://pandas.pydata.org/docs/" TargetMode="External"/><Relationship Id="rId0nbgmheqxnvpjwab0cqpg" Type="http://schemas.openxmlformats.org/officeDocument/2006/relationships/hyperlink" Target="https://spark.apache.org/docs/latest/api/python/" TargetMode="External"/><Relationship Id="rIdt_fwuuo5t4con7vynjk-o" Type="http://schemas.openxmlformats.org/officeDocument/2006/relationships/hyperlink" Target="https://scikit-learn.org/stable/" TargetMode="External"/><Relationship Id="rId6i327b0js71ro2_yozzah" Type="http://schemas.openxmlformats.org/officeDocument/2006/relationships/hyperlink" Target="https://pytorch.org/docs/stable/index.html" TargetMode="External"/><Relationship Id="rIdmzmtokodayjcua2qo2lwt" Type="http://schemas.openxmlformats.org/officeDocument/2006/relationships/hyperlink" Target="https://shap.readthedocs.io/" TargetMode="External"/><Relationship Id="rId2d6bfmhiocift340yuxck" Type="http://schemas.openxmlformats.org/officeDocument/2006/relationships/hyperlink" Target="https://monai.io/" TargetMode="External"/><Relationship Id="rIdq4tuap9gl7-fwxuaph-oy" Type="http://schemas.openxmlformats.org/officeDocument/2006/relationships/hyperlink" Target="https://git-scm.com/doc"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Prédiction de la progression de la maladie d'Alzheimer — Document de cadrage</dc:title>
  <dc:creator>Nourchene Dridi</dc:creator>
  <dc:description>Phase 0 — Big Data &amp; Deep Learning</dc:description>
  <cp:lastModifiedBy>Un-named</cp:lastModifiedBy>
  <cp:revision>1</cp:revision>
  <dcterms:created xsi:type="dcterms:W3CDTF">2026-09-23T09:12:36.871Z</dcterms:created>
  <dcterms:modified xsi:type="dcterms:W3CDTF">2026-09-23T09:12:36.881Z</dcterms:modified>
</cp:coreProperties>
</file>

<file path=docProps/custom.xml><?xml version="1.0" encoding="utf-8"?>
<Properties xmlns="http://schemas.openxmlformats.org/officeDocument/2006/custom-properties" xmlns:vt="http://schemas.openxmlformats.org/officeDocument/2006/docPropsVTypes"/>
</file>