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rFonts w:ascii="Calibri" w:cs="Calibri" w:eastAsia="Calibri" w:hAnsi="Calibri"/>
          <w:b/>
          <w:bCs/>
          <w:caps/>
          <w:color w:val="C55A11"/>
          <w:sz w:val="26"/>
          <w:szCs w:val="26"/>
        </w:rPr>
        <w:t xml:space="preserve">Projet Big Data &amp; Deep Learning</w:t>
      </w:r>
    </w:p>
    <w:p>
      <w:pPr>
        <w:pBdr>
          <w:bottom w:val="single" w:color="1F3864" w:sz="12" w:space="8"/>
        </w:pBdr>
        <w:spacing w:after="200"/>
        <w:jc w:val="center"/>
      </w:pPr>
      <w:r>
        <w:rPr>
          <w:rFonts w:ascii="Calibri" w:cs="Calibri" w:eastAsia="Calibri" w:hAnsi="Calibri"/>
          <w:b/>
          <w:bCs/>
          <w:color w:val="1F3864"/>
          <w:sz w:val="40"/>
          <w:szCs w:val="40"/>
        </w:rPr>
        <w:t xml:space="preserve">Organisation du binôme &amp; répartition des tâches</w:t>
      </w:r>
    </w:p>
    <w:p>
      <w:pPr>
        <w:spacing w:after="500"/>
        <w:jc w:val="center"/>
      </w:pPr>
      <w:r>
        <w:rPr>
          <w:rFonts w:ascii="Calibri" w:cs="Calibri" w:eastAsia="Calibri" w:hAnsi="Calibri"/>
          <w:i/>
          <w:iCs/>
          <w:color w:val="595959"/>
          <w:sz w:val="24"/>
          <w:szCs w:val="24"/>
        </w:rPr>
        <w:t xml:space="preserve">Prédiction de la progression de la maladie d'Alzheimer</w:t>
      </w:r>
    </w:p>
    <w:p>
      <w:pPr>
        <w:spacing w:after="60"/>
        <w:jc w:val="center"/>
      </w:pPr>
      <w:r>
        <w:rPr>
          <w:rFonts w:ascii="Calibri" w:cs="Calibri" w:eastAsia="Calibri" w:hAnsi="Calibri"/>
          <w:color w:val="595959"/>
          <w:sz w:val="20"/>
          <w:szCs w:val="20"/>
        </w:rPr>
        <w:t xml:space="preserve">Plan · Rôles · Technologies · Techniques · Merge Git · Liens</w:t>
      </w:r>
    </w:p>
    <w:p>
      <w:pPr>
        <w:spacing w:before="1000"/>
        <w:jc w:val="center"/>
      </w:pPr>
      <w:r>
        <w:rPr>
          <w:rFonts w:ascii="Calibri" w:cs="Calibri" w:eastAsia="Calibri" w:hAnsi="Calibri"/>
          <w:b/>
          <w:bCs/>
          <w:sz w:val="24"/>
          <w:szCs w:val="24"/>
        </w:rPr>
        <w:t xml:space="preserve">Nourchene Dridi</w:t>
      </w:r>
    </w:p>
    <w:p>
      <w:pPr>
        <w:jc w:val="center"/>
      </w:pPr>
      <w:r>
        <w:rPr>
          <w:rFonts w:ascii="Calibri" w:cs="Calibri" w:eastAsia="Calibri" w:hAnsi="Calibri"/>
          <w:color w:val="595959"/>
          <w:sz w:val="21"/>
          <w:szCs w:val="21"/>
        </w:rPr>
        <w:t xml:space="preserve">Classe ING5-SDIAF-C · Septembre 2026</w:t>
      </w:r>
    </w:p>
    <w:p>
      <w:r>
        <w:br w:type="page"/>
      </w:r>
    </w:p>
    <w:p>
      <w:pPr>
        <w:pStyle w:val="Heading1"/>
        <w:spacing w:after="140" w:before="320"/>
      </w:pPr>
      <w:r>
        <w:rPr>
          <w:rFonts w:ascii="Calibri" w:cs="Calibri" w:eastAsia="Calibri" w:hAnsi="Calibri"/>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864"/>
          <w:sz w:val="30"/>
          <w:szCs w:val="30"/>
        </w:rPr>
        <w:t xml:space="preserve">1. Comment on s'organise à deux</w:t>
      </w:r>
    </w:p>
    <w:p>
      <w:pPr>
        <w:spacing w:after="120" w:line="276"/>
      </w:pPr>
      <w:r>
        <w:rPr>
          <w:rFonts w:ascii="Calibri" w:cs="Calibri" w:eastAsia="Calibri" w:hAnsi="Calibri"/>
          <w:color w:val="222222"/>
          <w:sz w:val="21"/>
          <w:szCs w:val="21"/>
        </w:rPr>
        <w:t xml:space="preserve">L'objectif d'un binôme efficace : travailler en parallèle sans se bloquer, puis se retrouver à des points précis. Le projet a deux « mondes » naturels, et on en confie un à chacun.</w:t>
      </w:r>
    </w:p>
    <w:p>
      <w:pPr>
        <w:pStyle w:val="ListParagraph"/>
        <w:numPr>
          <w:ilvl w:val="0"/>
          <w:numId w:val="1"/>
        </w:numPr>
        <w:spacing w:after="70" w:line="272"/>
      </w:pPr>
      <w:r>
        <w:rPr>
          <w:rFonts w:ascii="Calibri" w:cs="Calibri" w:eastAsia="Calibri" w:hAnsi="Calibri"/>
          <w:b/>
          <w:bCs/>
          <w:color w:val="222222"/>
          <w:sz w:val="21"/>
          <w:szCs w:val="21"/>
        </w:rPr>
        <w:t xml:space="preserve">Le monde des données </w:t>
      </w:r>
      <w:r>
        <w:rPr>
          <w:rFonts w:ascii="Calibri" w:cs="Calibri" w:eastAsia="Calibri" w:hAnsi="Calibri"/>
          <w:color w:val="222222"/>
          <w:sz w:val="21"/>
          <w:szCs w:val="21"/>
        </w:rPr>
        <w:t xml:space="preserve">— acquisition, nettoyage, pipeline Big Data (Spark).</w:t>
      </w:r>
    </w:p>
    <w:p>
      <w:pPr>
        <w:pStyle w:val="ListParagraph"/>
        <w:numPr>
          <w:ilvl w:val="0"/>
          <w:numId w:val="1"/>
        </w:numPr>
        <w:spacing w:after="70" w:line="272"/>
      </w:pPr>
      <w:r>
        <w:rPr>
          <w:rFonts w:ascii="Calibri" w:cs="Calibri" w:eastAsia="Calibri" w:hAnsi="Calibri"/>
          <w:b/>
          <w:bCs/>
          <w:color w:val="222222"/>
          <w:sz w:val="21"/>
          <w:szCs w:val="21"/>
        </w:rPr>
        <w:t xml:space="preserve">Le monde des modèles </w:t>
      </w:r>
      <w:r>
        <w:rPr>
          <w:rFonts w:ascii="Calibri" w:cs="Calibri" w:eastAsia="Calibri" w:hAnsi="Calibri"/>
          <w:color w:val="222222"/>
          <w:sz w:val="21"/>
          <w:szCs w:val="21"/>
        </w:rPr>
        <w:t xml:space="preserve">— deep learning, entraînement, évaluation.</w:t>
      </w:r>
    </w:p>
    <w:p>
      <w:pPr>
        <w:pStyle w:val="Heading2"/>
        <w:spacing w:after="100" w:before="220"/>
      </w:pPr>
      <w:r>
        <w:rPr>
          <w:rFonts w:ascii="Calibri" w:cs="Calibri" w:eastAsia="Calibri" w:hAnsi="Calibri"/>
          <w:b/>
          <w:bCs/>
          <w:color w:val="2E5496"/>
          <w:sz w:val="25"/>
          <w:szCs w:val="25"/>
        </w:rPr>
        <w:t xml:space="preserve">Le « contrat de données » : la clé pour ne pas s'attendre</w:t>
      </w:r>
    </w:p>
    <w:p>
      <w:pPr>
        <w:spacing w:after="120" w:line="276"/>
      </w:pPr>
      <w:r>
        <w:rPr>
          <w:rFonts w:ascii="Calibri" w:cs="Calibri" w:eastAsia="Calibri" w:hAnsi="Calibri"/>
          <w:color w:val="222222"/>
          <w:sz w:val="21"/>
          <w:szCs w:val="21"/>
        </w:rPr>
        <w:t xml:space="preserve">Avant tout, on se met d'accord sur le format des données que le Membre A produit et que le Membre B utilise. Par exemple : « chaque patient = une séquence de visites, chaque visite = un vecteur de N caractéristiques, sauvegardé en fichier Parquet ».</w:t>
      </w:r>
    </w:p>
    <w:p>
      <w:pPr>
        <w:pBdr>
          <w:left w:val="single" w:color="2E5496" w:sz="24" w:space="12"/>
        </w:pBdr>
        <w:shd w:fill="FBF3EC" w:val="clear"/>
        <w:spacing w:after="140" w:before="120" w:line="276"/>
      </w:pPr>
      <w:r>
        <w:rPr>
          <w:rFonts w:ascii="Calibri" w:cs="Calibri" w:eastAsia="Calibri" w:hAnsi="Calibri"/>
          <w:b/>
          <w:bCs/>
          <w:color w:val="2E5496"/>
          <w:sz w:val="21"/>
          <w:szCs w:val="21"/>
        </w:rPr>
        <w:t xml:space="preserve">Pourquoi c'est essentiel :  </w:t>
      </w:r>
      <w:r>
        <w:rPr>
          <w:rFonts w:ascii="Calibri" w:cs="Calibri" w:eastAsia="Calibri" w:hAnsi="Calibri"/>
          <w:color w:val="333333"/>
          <w:sz w:val="21"/>
          <w:szCs w:val="21"/>
        </w:rPr>
        <w:t xml:space="preserve">grâce à ce contrat, le Membre B peut commencer à coder ses modèles avec le petit dataset OASIS Kaggle (déjà propre) pendant que le Membre A construit le vrai pipeline Spark. Personne n'attend personne.</w:t>
      </w:r>
    </w:p>
    <w:p>
      <w:pPr>
        <w:pStyle w:val="Heading1"/>
        <w:spacing w:after="140" w:before="320"/>
      </w:pPr>
      <w:r>
        <w:rPr>
          <w:rFonts w:ascii="Calibri" w:cs="Calibri" w:eastAsia="Calibri" w:hAnsi="Calibri"/>
          <w:b/>
          <w:bCs/>
          <w:color w:val="1F3864"/>
          <w:sz w:val="30"/>
          <w:szCs w:val="30"/>
        </w:rPr>
        <w:t xml:space="preserve">2. Les deux rôles en un coup d'œil</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563"/>
        <w:gridCol w:w="3563"/>
      </w:tblGrid>
      <w:tr>
        <w:trPr>
          <w:tblHeader/>
        </w:trPr>
        <w:tc>
          <w:tcPr>
            <w:tcW w:type="dxa" w:w="19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
            </w:r>
          </w:p>
        </w:tc>
        <w:tc>
          <w:tcPr>
            <w:tcW w:type="dxa" w:w="3563"/>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Membre A — Données &amp; Pipeline</w:t>
            </w:r>
          </w:p>
        </w:tc>
        <w:tc>
          <w:tcPr>
            <w:tcW w:type="dxa" w:w="3563"/>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Membre B — Modélisation &amp; Deep Learning</w:t>
            </w:r>
          </w:p>
        </w:tc>
      </w:tr>
      <w:tr>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Mission</w:t>
            </w:r>
          </w:p>
        </w:tc>
        <w:tc>
          <w:tcPr>
            <w:tcW w:type="dxa" w:w="3563"/>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Fournir des données propres, prêtes à l'emploi</w:t>
            </w:r>
          </w:p>
        </w:tc>
        <w:tc>
          <w:tcPr>
            <w:tcW w:type="dxa" w:w="3563"/>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Transformer ces données en modèles et en résultats</w:t>
            </w:r>
          </w:p>
        </w:tc>
      </w:tr>
      <w:tr>
        <w:tc>
          <w:tcPr>
            <w:tcW w:type="dxa" w:w="19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Phases principales</w:t>
            </w:r>
          </w:p>
        </w:tc>
        <w:tc>
          <w:tcPr>
            <w:tcW w:type="dxa" w:w="3563"/>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Phases 1 et 2</w:t>
            </w:r>
          </w:p>
        </w:tc>
        <w:tc>
          <w:tcPr>
            <w:tcW w:type="dxa" w:w="3563"/>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Phases 3, 4 et 5</w:t>
            </w:r>
          </w:p>
        </w:tc>
      </w:tr>
      <w:tr>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Technologies clés</w:t>
            </w:r>
          </w:p>
        </w:tc>
        <w:tc>
          <w:tcPr>
            <w:tcW w:type="dxa" w:w="3563"/>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pandas, Apache Spark (PySpark), nibabel</w:t>
            </w:r>
          </w:p>
        </w:tc>
        <w:tc>
          <w:tcPr>
            <w:tcW w:type="dxa" w:w="3563"/>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scikit-learn, PyTorch, SHAP</w:t>
            </w:r>
          </w:p>
        </w:tc>
      </w:tr>
      <w:tr>
        <w:tc>
          <w:tcPr>
            <w:tcW w:type="dxa" w:w="19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Livrables</w:t>
            </w:r>
          </w:p>
        </w:tc>
        <w:tc>
          <w:tcPr>
            <w:tcW w:type="dxa" w:w="3563"/>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Jeux de données au format du contrat</w:t>
            </w:r>
          </w:p>
        </w:tc>
        <w:tc>
          <w:tcPr>
            <w:tcW w:type="dxa" w:w="3563"/>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Modèles entraînés + tableaux de résultats</w:t>
            </w:r>
          </w:p>
        </w:tc>
      </w:tr>
    </w:tbl>
    <w:p>
      <w:pPr>
        <w:spacing w:after="80"/>
      </w:pPr>
    </w:p>
    <w:p>
      <w:pPr>
        <w:spacing w:after="120" w:line="276"/>
      </w:pPr>
      <w:r>
        <w:rPr>
          <w:rFonts w:ascii="Calibri" w:cs="Calibri" w:eastAsia="Calibri" w:hAnsi="Calibri"/>
          <w:b/>
          <w:bCs/>
          <w:color w:val="222222"/>
          <w:sz w:val="21"/>
          <w:szCs w:val="21"/>
        </w:rPr>
        <w:t xml:space="preserve">Bon à savoir : </w:t>
      </w:r>
      <w:r>
        <w:rPr>
          <w:rFonts w:ascii="Calibri" w:cs="Calibri" w:eastAsia="Calibri" w:hAnsi="Calibri"/>
          <w:color w:val="222222"/>
          <w:sz w:val="21"/>
          <w:szCs w:val="21"/>
        </w:rPr>
        <w:t xml:space="preserve">les deux charges sont équilibrées et aussi intéressantes l'une que l'autre. Chacun devient expert de son monde, mais grâce à la relecture croisée (voir §7), les deux doivent pouvoir parler de tout le projet à la soutenance.</w:t>
      </w:r>
    </w:p>
    <w:p>
      <w:r>
        <w:br w:type="page"/>
      </w:r>
    </w:p>
    <w:p>
      <w:pPr>
        <w:pStyle w:val="Heading1"/>
        <w:spacing w:after="140" w:before="320"/>
      </w:pPr>
      <w:r>
        <w:rPr>
          <w:rFonts w:ascii="Calibri" w:cs="Calibri" w:eastAsia="Calibri" w:hAnsi="Calibri"/>
          <w:b/>
          <w:bCs/>
          <w:color w:val="1F3864"/>
          <w:sz w:val="30"/>
          <w:szCs w:val="30"/>
        </w:rPr>
        <w:t xml:space="preserve">3. Tâches détaillées — Membre A (Données &amp; Pipeline)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50"/>
        <w:gridCol w:w="4250"/>
        <w:gridCol w:w="1900"/>
        <w:gridCol w:w="1626"/>
      </w:tblGrid>
      <w:tr>
        <w:trPr>
          <w:tblHeader/>
        </w:trPr>
        <w:tc>
          <w:tcPr>
            <w:tcW w:type="dxa" w:w="1250"/>
            <w:shd w:fill="C6E0B4"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Étape</w:t>
            </w:r>
          </w:p>
        </w:tc>
        <w:tc>
          <w:tcPr>
            <w:tcW w:type="dxa" w:w="4250"/>
            <w:shd w:fill="C6E0B4"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Ce que tu fais (détaillé)</w:t>
            </w:r>
          </w:p>
        </w:tc>
        <w:tc>
          <w:tcPr>
            <w:tcW w:type="dxa" w:w="1900"/>
            <w:shd w:fill="C6E0B4"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Outils / Où</w:t>
            </w:r>
          </w:p>
        </w:tc>
        <w:tc>
          <w:tcPr>
            <w:tcW w:type="dxa" w:w="1626"/>
            <w:shd w:fill="C6E0B4"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Livrable</w:t>
            </w:r>
          </w:p>
        </w:tc>
      </w:tr>
      <w:tr>
        <w:tc>
          <w:tcPr>
            <w:tcW w:type="dxa" w:w="1250"/>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1. Démarrage</w:t>
            </w:r>
          </w:p>
        </w:tc>
        <w:tc>
          <w:tcPr>
            <w:tcW w:type="dxa" w:w="4250"/>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Créer le dépôt GitHub et sa structure de dossiers</w:t>
            </w:r>
          </w:p>
          <w:p>
            <w:pPr>
              <w:pStyle w:val="ListParagraph"/>
              <w:numPr>
                <w:ilvl w:val="0"/>
                <w:numId w:val="1"/>
              </w:numPr>
              <w:spacing w:after="30" w:line="258"/>
            </w:pPr>
            <w:r>
              <w:rPr>
                <w:rFonts w:ascii="Calibri" w:cs="Calibri" w:eastAsia="Calibri" w:hAnsi="Calibri"/>
                <w:color w:val="222222"/>
                <w:sz w:val="19"/>
                <w:szCs w:val="19"/>
              </w:rPr>
              <w:t xml:space="preserve">Créer un compte Kaggle</w:t>
            </w:r>
          </w:p>
          <w:p>
            <w:pPr>
              <w:pStyle w:val="ListParagraph"/>
              <w:numPr>
                <w:ilvl w:val="0"/>
                <w:numId w:val="1"/>
              </w:numPr>
              <w:spacing w:after="30" w:line="258"/>
            </w:pPr>
            <w:r>
              <w:rPr>
                <w:rFonts w:ascii="Calibri" w:cs="Calibri" w:eastAsia="Calibri" w:hAnsi="Calibri"/>
                <w:color w:val="222222"/>
                <w:sz w:val="19"/>
                <w:szCs w:val="19"/>
              </w:rPr>
              <w:t xml:space="preserve">Co-définir la cible et le contrat de données</w:t>
            </w:r>
          </w:p>
        </w:tc>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GitHub, Kaggle</w:t>
            </w:r>
          </w:p>
        </w:tc>
        <w:tc>
          <w:tcPr>
            <w:tcW w:type="dxa" w:w="1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Dépôt prêt + contrat validé</w:t>
            </w:r>
          </w:p>
        </w:tc>
      </w:tr>
      <w:tr>
        <w:tc>
          <w:tcPr>
            <w:tcW w:type="dxa" w:w="1250"/>
            <w:shd w:fill="E8F0E4" w:val="clear"/>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2. Exploration &amp; nettoyage</w:t>
            </w:r>
          </w:p>
        </w:tc>
        <w:tc>
          <w:tcPr>
            <w:tcW w:type="dxa" w:w="4250"/>
            <w:shd w:fill="E8F0E4" w:val="clear"/>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Télécharger OASIS depuis Kaggle</w:t>
            </w:r>
          </w:p>
          <w:p>
            <w:pPr>
              <w:pStyle w:val="ListParagraph"/>
              <w:numPr>
                <w:ilvl w:val="0"/>
                <w:numId w:val="1"/>
              </w:numPr>
              <w:spacing w:after="30" w:line="258"/>
            </w:pPr>
            <w:r>
              <w:rPr>
                <w:rFonts w:ascii="Calibri" w:cs="Calibri" w:eastAsia="Calibri" w:hAnsi="Calibri"/>
                <w:color w:val="222222"/>
                <w:sz w:val="19"/>
                <w:szCs w:val="19"/>
              </w:rPr>
              <w:t xml:space="preserve">Analyse exploratoire : nb de patients, de visites, répartition des classes, valeurs manquantes</w:t>
            </w:r>
          </w:p>
          <w:p>
            <w:pPr>
              <w:pStyle w:val="ListParagraph"/>
              <w:numPr>
                <w:ilvl w:val="0"/>
                <w:numId w:val="1"/>
              </w:numPr>
              <w:spacing w:after="30" w:line="258"/>
            </w:pPr>
            <w:r>
              <w:rPr>
                <w:rFonts w:ascii="Calibri" w:cs="Calibri" w:eastAsia="Calibri" w:hAnsi="Calibri"/>
                <w:color w:val="222222"/>
                <w:sz w:val="19"/>
                <w:szCs w:val="19"/>
              </w:rPr>
              <w:t xml:space="preserve">Nettoyer : types, doublons, valeurs manquantes</w:t>
            </w:r>
          </w:p>
          <w:p>
            <w:pPr>
              <w:pStyle w:val="ListParagraph"/>
              <w:numPr>
                <w:ilvl w:val="0"/>
                <w:numId w:val="1"/>
              </w:numPr>
              <w:spacing w:after="30" w:line="258"/>
            </w:pPr>
            <w:r>
              <w:rPr>
                <w:rFonts w:ascii="Calibri" w:cs="Calibri" w:eastAsia="Calibri" w:hAnsi="Calibri"/>
                <w:color w:val="222222"/>
                <w:sz w:val="19"/>
                <w:szCs w:val="19"/>
              </w:rPr>
              <w:t xml:space="preserve">Encoder les variables (sexe…) et normaliser</w:t>
            </w:r>
          </w:p>
        </w:tc>
        <w:tc>
          <w:tcPr>
            <w:tcW w:type="dxa" w:w="1900"/>
            <w:shd w:fill="E8F0E4"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Python, pandas / PC local + Kaggle</w:t>
            </w:r>
          </w:p>
        </w:tc>
        <w:tc>
          <w:tcPr>
            <w:tcW w:type="dxa" w:w="1626"/>
            <w:shd w:fill="E8F0E4"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Notebook d'exploration + OASIS nettoyé</w:t>
            </w:r>
          </w:p>
        </w:tc>
      </w:tr>
      <w:tr>
        <w:tc>
          <w:tcPr>
            <w:tcW w:type="dxa" w:w="1250"/>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3. Pipeline Spark + longitudinal</w:t>
            </w:r>
          </w:p>
        </w:tc>
        <w:tc>
          <w:tcPr>
            <w:tcW w:type="dxa" w:w="4250"/>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Réécrire le nettoyage en PySpark (pipeline scalable)</w:t>
            </w:r>
          </w:p>
          <w:p>
            <w:pPr>
              <w:pStyle w:val="ListParagraph"/>
              <w:numPr>
                <w:ilvl w:val="0"/>
                <w:numId w:val="1"/>
              </w:numPr>
              <w:spacing w:after="30" w:line="258"/>
            </w:pPr>
            <w:r>
              <w:rPr>
                <w:rFonts w:ascii="Calibri" w:cs="Calibri" w:eastAsia="Calibri" w:hAnsi="Calibri"/>
                <w:color w:val="222222"/>
                <w:sz w:val="19"/>
                <w:szCs w:val="19"/>
              </w:rPr>
              <w:t xml:space="preserve">Construire la structure longitudinale : une séquence de visites par patient</w:t>
            </w:r>
          </w:p>
          <w:p>
            <w:pPr>
              <w:pStyle w:val="ListParagraph"/>
              <w:numPr>
                <w:ilvl w:val="0"/>
                <w:numId w:val="1"/>
              </w:numPr>
              <w:spacing w:after="30" w:line="258"/>
            </w:pPr>
            <w:r>
              <w:rPr>
                <w:rFonts w:ascii="Calibri" w:cs="Calibri" w:eastAsia="Calibri" w:hAnsi="Calibri"/>
                <w:color w:val="222222"/>
                <w:sz w:val="19"/>
                <w:szCs w:val="19"/>
              </w:rPr>
              <w:t xml:space="preserve">Exporter au format du contrat (Parquet)</w:t>
            </w:r>
          </w:p>
        </w:tc>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Apache Spark (PySpark) / Kaggle</w:t>
            </w:r>
          </w:p>
        </w:tc>
        <w:tc>
          <w:tcPr>
            <w:tcW w:type="dxa" w:w="1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Pipeline Spark + données au format contrat</w:t>
            </w:r>
          </w:p>
        </w:tc>
      </w:tr>
      <w:tr>
        <w:tc>
          <w:tcPr>
            <w:tcW w:type="dxa" w:w="1250"/>
            <w:shd w:fill="E8F0E4" w:val="clear"/>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4. Données à trous + ADNI/OASIS-3</w:t>
            </w:r>
          </w:p>
        </w:tc>
        <w:tc>
          <w:tcPr>
            <w:tcW w:type="dxa" w:w="4250"/>
            <w:shd w:fill="E8F0E4" w:val="clear"/>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Générer les versions « données manquantes » (retirer une modalité ou une visite) pour RQ3</w:t>
            </w:r>
          </w:p>
          <w:p>
            <w:pPr>
              <w:pStyle w:val="ListParagraph"/>
              <w:numPr>
                <w:ilvl w:val="0"/>
                <w:numId w:val="1"/>
              </w:numPr>
              <w:spacing w:after="30" w:line="258"/>
            </w:pPr>
            <w:r>
              <w:rPr>
                <w:rFonts w:ascii="Calibri" w:cs="Calibri" w:eastAsia="Calibri" w:hAnsi="Calibri"/>
                <w:color w:val="222222"/>
                <w:sz w:val="19"/>
                <w:szCs w:val="19"/>
              </w:rPr>
              <w:t xml:space="preserve">Intégrer ADNI et OASIS-3 dès l'accès validé</w:t>
            </w:r>
          </w:p>
          <w:p>
            <w:pPr>
              <w:pStyle w:val="ListParagraph"/>
              <w:numPr>
                <w:ilvl w:val="0"/>
                <w:numId w:val="1"/>
              </w:numPr>
              <w:spacing w:after="30" w:line="258"/>
            </w:pPr>
            <w:r>
              <w:rPr>
                <w:rFonts w:ascii="Calibri" w:cs="Calibri" w:eastAsia="Calibri" w:hAnsi="Calibri"/>
                <w:color w:val="222222"/>
                <w:sz w:val="19"/>
                <w:szCs w:val="19"/>
              </w:rPr>
              <w:t xml:space="preserve">Harmoniser les caractéristiques entre cohortes</w:t>
            </w:r>
          </w:p>
        </w:tc>
        <w:tc>
          <w:tcPr>
            <w:tcW w:type="dxa" w:w="1900"/>
            <w:shd w:fill="E8F0E4"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PySpark, pandas</w:t>
            </w:r>
          </w:p>
        </w:tc>
        <w:tc>
          <w:tcPr>
            <w:tcW w:type="dxa" w:w="1626"/>
            <w:shd w:fill="E8F0E4"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Jeux « complet » et « à trous » + cohortes harmonisées</w:t>
            </w:r>
          </w:p>
        </w:tc>
      </w:tr>
      <w:tr>
        <w:tc>
          <w:tcPr>
            <w:tcW w:type="dxa" w:w="1250"/>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5. Finalisation données</w:t>
            </w:r>
          </w:p>
        </w:tc>
        <w:tc>
          <w:tcPr>
            <w:tcW w:type="dxa" w:w="4250"/>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Finaliser et vérifier les jeux ADNI / OASIS-3</w:t>
            </w:r>
          </w:p>
          <w:p>
            <w:pPr>
              <w:pStyle w:val="ListParagraph"/>
              <w:numPr>
                <w:ilvl w:val="0"/>
                <w:numId w:val="1"/>
              </w:numPr>
              <w:spacing w:after="30" w:line="258"/>
            </w:pPr>
            <w:r>
              <w:rPr>
                <w:rFonts w:ascii="Calibri" w:cs="Calibri" w:eastAsia="Calibri" w:hAnsi="Calibri"/>
                <w:color w:val="222222"/>
                <w:sz w:val="19"/>
                <w:szCs w:val="19"/>
              </w:rPr>
              <w:t xml:space="preserve">Documenter le dictionnaire de données</w:t>
            </w:r>
          </w:p>
        </w:tc>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PySpark, pandas</w:t>
            </w:r>
          </w:p>
        </w:tc>
        <w:tc>
          <w:tcPr>
            <w:tcW w:type="dxa" w:w="1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Données finales documentées</w:t>
            </w:r>
          </w:p>
        </w:tc>
      </w:tr>
    </w:tbl>
    <w:p>
      <w:r>
        <w:br w:type="page"/>
      </w:r>
    </w:p>
    <w:p>
      <w:pPr>
        <w:pStyle w:val="Heading1"/>
        <w:spacing w:after="140" w:before="320"/>
      </w:pPr>
      <w:r>
        <w:rPr>
          <w:rFonts w:ascii="Calibri" w:cs="Calibri" w:eastAsia="Calibri" w:hAnsi="Calibri"/>
          <w:b/>
          <w:bCs/>
          <w:color w:val="1F3864"/>
          <w:sz w:val="30"/>
          <w:szCs w:val="30"/>
        </w:rPr>
        <w:t xml:space="preserve">4. Tâches détaillées — Membre B (Modélisation &amp; Deep Learning)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50"/>
        <w:gridCol w:w="4250"/>
        <w:gridCol w:w="1900"/>
        <w:gridCol w:w="1626"/>
      </w:tblGrid>
      <w:tr>
        <w:trPr>
          <w:tblHeader/>
        </w:trPr>
        <w:tc>
          <w:tcPr>
            <w:tcW w:type="dxa" w:w="1250"/>
            <w:shd w:fill="BDD7EE"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Étape</w:t>
            </w:r>
          </w:p>
        </w:tc>
        <w:tc>
          <w:tcPr>
            <w:tcW w:type="dxa" w:w="4250"/>
            <w:shd w:fill="BDD7EE"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Ce que tu fais (détaillé)</w:t>
            </w:r>
          </w:p>
        </w:tc>
        <w:tc>
          <w:tcPr>
            <w:tcW w:type="dxa" w:w="1900"/>
            <w:shd w:fill="BDD7EE"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Outils / Où</w:t>
            </w:r>
          </w:p>
        </w:tc>
        <w:tc>
          <w:tcPr>
            <w:tcW w:type="dxa" w:w="1626"/>
            <w:shd w:fill="BDD7EE"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Livrable</w:t>
            </w:r>
          </w:p>
        </w:tc>
      </w:tr>
      <w:tr>
        <w:tc>
          <w:tcPr>
            <w:tcW w:type="dxa" w:w="1250"/>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1. Démarrage</w:t>
            </w:r>
          </w:p>
        </w:tc>
        <w:tc>
          <w:tcPr>
            <w:tcW w:type="dxa" w:w="4250"/>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Co-participer au setup, à la cible et au contrat de données</w:t>
            </w:r>
          </w:p>
          <w:p>
            <w:pPr>
              <w:pStyle w:val="ListParagraph"/>
              <w:numPr>
                <w:ilvl w:val="0"/>
                <w:numId w:val="1"/>
              </w:numPr>
              <w:spacing w:after="30" w:line="258"/>
            </w:pPr>
            <w:r>
              <w:rPr>
                <w:rFonts w:ascii="Calibri" w:cs="Calibri" w:eastAsia="Calibri" w:hAnsi="Calibri"/>
                <w:color w:val="222222"/>
                <w:sz w:val="19"/>
                <w:szCs w:val="19"/>
              </w:rPr>
              <w:t xml:space="preserve">Préparer l'environnement Kaggle Notebook avec GPU</w:t>
            </w:r>
          </w:p>
          <w:p>
            <w:pPr>
              <w:pStyle w:val="ListParagraph"/>
              <w:numPr>
                <w:ilvl w:val="0"/>
                <w:numId w:val="1"/>
              </w:numPr>
              <w:spacing w:after="30" w:line="258"/>
            </w:pPr>
            <w:r>
              <w:rPr>
                <w:rFonts w:ascii="Calibri" w:cs="Calibri" w:eastAsia="Calibri" w:hAnsi="Calibri"/>
                <w:color w:val="222222"/>
                <w:sz w:val="19"/>
                <w:szCs w:val="19"/>
              </w:rPr>
              <w:t xml:space="preserve">Choisir les métriques d'évaluation</w:t>
            </w:r>
          </w:p>
        </w:tc>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Kaggle (GPU)</w:t>
            </w:r>
          </w:p>
        </w:tc>
        <w:tc>
          <w:tcPr>
            <w:tcW w:type="dxa" w:w="1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Environnement prêt + métriques choisies</w:t>
            </w:r>
          </w:p>
        </w:tc>
      </w:tr>
      <w:tr>
        <w:tc>
          <w:tcPr>
            <w:tcW w:type="dxa" w:w="1250"/>
            <w:shd w:fill="E6EEF7" w:val="clear"/>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2. Baselines</w:t>
            </w:r>
          </w:p>
        </w:tc>
        <w:tc>
          <w:tcPr>
            <w:tcW w:type="dxa" w:w="4250"/>
            <w:shd w:fill="E6EEF7" w:val="clear"/>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Modèle de base unimodal (une seule modalité)</w:t>
            </w:r>
          </w:p>
          <w:p>
            <w:pPr>
              <w:pStyle w:val="ListParagraph"/>
              <w:numPr>
                <w:ilvl w:val="0"/>
                <w:numId w:val="1"/>
              </w:numPr>
              <w:spacing w:after="30" w:line="258"/>
            </w:pPr>
            <w:r>
              <w:rPr>
                <w:rFonts w:ascii="Calibri" w:cs="Calibri" w:eastAsia="Calibri" w:hAnsi="Calibri"/>
                <w:color w:val="222222"/>
                <w:sz w:val="19"/>
                <w:szCs w:val="19"/>
              </w:rPr>
              <w:t xml:space="preserve">Modèle de base statique (une seule visite)</w:t>
            </w:r>
          </w:p>
          <w:p>
            <w:pPr>
              <w:pStyle w:val="ListParagraph"/>
              <w:numPr>
                <w:ilvl w:val="0"/>
                <w:numId w:val="1"/>
              </w:numPr>
              <w:spacing w:after="30" w:line="258"/>
            </w:pPr>
            <w:r>
              <w:rPr>
                <w:rFonts w:ascii="Calibri" w:cs="Calibri" w:eastAsia="Calibri" w:hAnsi="Calibri"/>
                <w:color w:val="222222"/>
                <w:sz w:val="19"/>
                <w:szCs w:val="19"/>
              </w:rPr>
              <w:t xml:space="preserve">Utiliser scikit-learn : régression logistique, forêt aléatoire</w:t>
            </w:r>
          </w:p>
          <w:p>
            <w:pPr>
              <w:pStyle w:val="ListParagraph"/>
              <w:numPr>
                <w:ilvl w:val="0"/>
                <w:numId w:val="1"/>
              </w:numPr>
              <w:spacing w:after="30" w:line="258"/>
            </w:pPr>
            <w:r>
              <w:rPr>
                <w:rFonts w:ascii="Calibri" w:cs="Calibri" w:eastAsia="Calibri" w:hAnsi="Calibri"/>
                <w:color w:val="222222"/>
                <w:sz w:val="19"/>
                <w:szCs w:val="19"/>
              </w:rPr>
              <w:t xml:space="preserve">Ce sont les points de comparaison</w:t>
            </w:r>
          </w:p>
        </w:tc>
        <w:tc>
          <w:tcPr>
            <w:tcW w:type="dxa" w:w="1900"/>
            <w:shd w:fill="E6EEF7"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scikit-learn / Kaggle</w:t>
            </w:r>
          </w:p>
        </w:tc>
        <w:tc>
          <w:tcPr>
            <w:tcW w:type="dxa" w:w="1626"/>
            <w:shd w:fill="E6EEF7"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Modèles baselines + premières performances</w:t>
            </w:r>
          </w:p>
        </w:tc>
      </w:tr>
      <w:tr>
        <w:tc>
          <w:tcPr>
            <w:tcW w:type="dxa" w:w="1250"/>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3. Multimodal → RQ1</w:t>
            </w:r>
          </w:p>
        </w:tc>
        <w:tc>
          <w:tcPr>
            <w:tcW w:type="dxa" w:w="4250"/>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Construire le modèle de fusion multimodale (combiner les modalités)</w:t>
            </w:r>
          </w:p>
          <w:p>
            <w:pPr>
              <w:pStyle w:val="ListParagraph"/>
              <w:numPr>
                <w:ilvl w:val="0"/>
                <w:numId w:val="1"/>
              </w:numPr>
              <w:spacing w:after="30" w:line="258"/>
            </w:pPr>
            <w:r>
              <w:rPr>
                <w:rFonts w:ascii="Calibri" w:cs="Calibri" w:eastAsia="Calibri" w:hAnsi="Calibri"/>
                <w:color w:val="222222"/>
                <w:sz w:val="19"/>
                <w:szCs w:val="19"/>
              </w:rPr>
              <w:t xml:space="preserve">Comparer multimodal vs unimodal</w:t>
            </w:r>
          </w:p>
        </w:tc>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PyTorch / Kaggle GPU</w:t>
            </w:r>
          </w:p>
        </w:tc>
        <w:tc>
          <w:tcPr>
            <w:tcW w:type="dxa" w:w="1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Modèle multimodal + réponse à RQ1</w:t>
            </w:r>
          </w:p>
        </w:tc>
      </w:tr>
      <w:tr>
        <w:tc>
          <w:tcPr>
            <w:tcW w:type="dxa" w:w="1250"/>
            <w:shd w:fill="E6EEF7" w:val="clear"/>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4. Longitudinal → RQ2</w:t>
            </w:r>
          </w:p>
        </w:tc>
        <w:tc>
          <w:tcPr>
            <w:tcW w:type="dxa" w:w="4250"/>
            <w:shd w:fill="E6EEF7" w:val="clear"/>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Construire le modèle séquentiel (LSTM/GRU) qui lit plusieurs visites</w:t>
            </w:r>
          </w:p>
          <w:p>
            <w:pPr>
              <w:pStyle w:val="ListParagraph"/>
              <w:numPr>
                <w:ilvl w:val="0"/>
                <w:numId w:val="1"/>
              </w:numPr>
              <w:spacing w:after="30" w:line="258"/>
            </w:pPr>
            <w:r>
              <w:rPr>
                <w:rFonts w:ascii="Calibri" w:cs="Calibri" w:eastAsia="Calibri" w:hAnsi="Calibri"/>
                <w:color w:val="222222"/>
                <w:sz w:val="19"/>
                <w:szCs w:val="19"/>
              </w:rPr>
              <w:t xml:space="preserve">Comparer longitudinal vs statique</w:t>
            </w:r>
          </w:p>
        </w:tc>
        <w:tc>
          <w:tcPr>
            <w:tcW w:type="dxa" w:w="1900"/>
            <w:shd w:fill="E6EEF7"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PyTorch / Kaggle GPU</w:t>
            </w:r>
          </w:p>
        </w:tc>
        <w:tc>
          <w:tcPr>
            <w:tcW w:type="dxa" w:w="1626"/>
            <w:shd w:fill="E6EEF7"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Modèle longitudinal + réponse à RQ2</w:t>
            </w:r>
          </w:p>
        </w:tc>
      </w:tr>
      <w:tr>
        <w:tc>
          <w:tcPr>
            <w:tcW w:type="dxa" w:w="1250"/>
            <w:tcMar>
              <w:top w:type="dxa" w:w="60"/>
              <w:left w:type="dxa" w:w="90"/>
              <w:bottom w:type="dxa" w:w="60"/>
              <w:right w:type="dxa" w:w="90"/>
            </w:tcMar>
          </w:tcPr>
          <w:p>
            <w:pPr>
              <w:spacing w:after="20" w:line="262"/>
            </w:pPr>
            <w:r>
              <w:rPr>
                <w:rFonts w:ascii="Calibri" w:cs="Calibri" w:eastAsia="Calibri" w:hAnsi="Calibri"/>
                <w:b/>
                <w:bCs/>
                <w:color w:val="222222"/>
                <w:sz w:val="19"/>
                <w:szCs w:val="19"/>
              </w:rPr>
              <w:t xml:space="preserve">5. Robustesse → RQ3 + explicabilité</w:t>
            </w:r>
          </w:p>
        </w:tc>
        <w:tc>
          <w:tcPr>
            <w:tcW w:type="dxa" w:w="4250"/>
            <w:tcMar>
              <w:top w:type="dxa" w:w="60"/>
              <w:left w:type="dxa" w:w="90"/>
              <w:bottom w:type="dxa" w:w="60"/>
              <w:right w:type="dxa" w:w="90"/>
            </w:tcMar>
          </w:tcPr>
          <w:p>
            <w:pPr>
              <w:pStyle w:val="ListParagraph"/>
              <w:numPr>
                <w:ilvl w:val="0"/>
                <w:numId w:val="1"/>
              </w:numPr>
              <w:spacing w:after="30" w:line="258"/>
            </w:pPr>
            <w:r>
              <w:rPr>
                <w:rFonts w:ascii="Calibri" w:cs="Calibri" w:eastAsia="Calibri" w:hAnsi="Calibri"/>
                <w:color w:val="222222"/>
                <w:sz w:val="19"/>
                <w:szCs w:val="19"/>
              </w:rPr>
              <w:t xml:space="preserve">Tester le meilleur modèle sur les données à trous</w:t>
            </w:r>
          </w:p>
          <w:p>
            <w:pPr>
              <w:pStyle w:val="ListParagraph"/>
              <w:numPr>
                <w:ilvl w:val="0"/>
                <w:numId w:val="1"/>
              </w:numPr>
              <w:spacing w:after="30" w:line="258"/>
            </w:pPr>
            <w:r>
              <w:rPr>
                <w:rFonts w:ascii="Calibri" w:cs="Calibri" w:eastAsia="Calibri" w:hAnsi="Calibri"/>
                <w:color w:val="222222"/>
                <w:sz w:val="19"/>
                <w:szCs w:val="19"/>
              </w:rPr>
              <w:t xml:space="preserve">Appliquer les techniques : masquage, imputation</w:t>
            </w:r>
          </w:p>
          <w:p>
            <w:pPr>
              <w:pStyle w:val="ListParagraph"/>
              <w:numPr>
                <w:ilvl w:val="0"/>
                <w:numId w:val="1"/>
              </w:numPr>
              <w:spacing w:after="30" w:line="258"/>
            </w:pPr>
            <w:r>
              <w:rPr>
                <w:rFonts w:ascii="Calibri" w:cs="Calibri" w:eastAsia="Calibri" w:hAnsi="Calibri"/>
                <w:color w:val="222222"/>
                <w:sz w:val="19"/>
                <w:szCs w:val="19"/>
              </w:rPr>
              <w:t xml:space="preserve">Expliquer les décisions : SHAP (tableaux), Grad-CAM (images)</w:t>
            </w:r>
          </w:p>
        </w:tc>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PyTorch, SHAP / Kaggle</w:t>
            </w:r>
          </w:p>
        </w:tc>
        <w:tc>
          <w:tcPr>
            <w:tcW w:type="dxa" w:w="1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Réponse à RQ3 + analyses d'explicabilité</w:t>
            </w:r>
          </w:p>
        </w:tc>
      </w:tr>
    </w:tbl>
    <w:p>
      <w:r>
        <w:br w:type="page"/>
      </w:r>
    </w:p>
    <w:p>
      <w:pPr>
        <w:pStyle w:val="Heading1"/>
        <w:spacing w:after="140" w:before="320"/>
      </w:pPr>
      <w:r>
        <w:rPr>
          <w:rFonts w:ascii="Calibri" w:cs="Calibri" w:eastAsia="Calibri" w:hAnsi="Calibri"/>
          <w:b/>
          <w:bCs/>
          <w:color w:val="1F3864"/>
          <w:sz w:val="30"/>
          <w:szCs w:val="30"/>
        </w:rPr>
        <w:t xml:space="preserve">5. Tâches faites par les deux (ensemble)</w:t>
      </w:r>
    </w:p>
    <w:p>
      <w:pPr>
        <w:spacing w:after="120" w:line="276"/>
      </w:pPr>
      <w:r>
        <w:rPr>
          <w:rFonts w:ascii="Calibri" w:cs="Calibri" w:eastAsia="Calibri" w:hAnsi="Calibri"/>
          <w:color w:val="222222"/>
          <w:sz w:val="21"/>
          <w:szCs w:val="21"/>
        </w:rPr>
        <w:t xml:space="preserve">Certaines tâches sont trop structurantes ou trop transverses pour être confiées à une seule personne. On les fait à deux.</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4626"/>
        <w:gridCol w:w="2500"/>
      </w:tblGrid>
      <w:tr>
        <w:trPr>
          <w:tblHeader/>
        </w:trPr>
        <w:tc>
          <w:tcPr>
            <w:tcW w:type="dxa" w:w="1900"/>
            <w:shd w:fill="FCE4D6"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Étape</w:t>
            </w:r>
          </w:p>
        </w:tc>
        <w:tc>
          <w:tcPr>
            <w:tcW w:type="dxa" w:w="4626"/>
            <w:shd w:fill="FCE4D6"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Tâche commune</w:t>
            </w:r>
          </w:p>
        </w:tc>
        <w:tc>
          <w:tcPr>
            <w:tcW w:type="dxa" w:w="2500"/>
            <w:shd w:fill="FCE4D6"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Pourquoi ensemble</w:t>
            </w:r>
          </w:p>
        </w:tc>
      </w:tr>
      <w:tr>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1. Fondations</w:t>
            </w:r>
          </w:p>
        </w:tc>
        <w:tc>
          <w:tcPr>
            <w:tcW w:type="dxa" w:w="4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Définir la cible, écrire le contrat de données, créer le dépôt</w:t>
            </w:r>
          </w:p>
        </w:tc>
        <w:tc>
          <w:tcPr>
            <w:tcW w:type="dxa" w:w="25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Cela engage tout le reste du projet</w:t>
            </w:r>
          </w:p>
        </w:tc>
      </w:tr>
      <w:tr>
        <w:tc>
          <w:tcPr>
            <w:tcW w:type="dxa" w:w="19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6. Expériences finales</w:t>
            </w:r>
          </w:p>
        </w:tc>
        <w:tc>
          <w:tcPr>
            <w:tcW w:type="dxa" w:w="4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Lancer tous les entraînements, vérifier, remplir les tableaux de résultats ; faire la généralisation externe (entraîner sur ADNI, tester sur OASIS-3)</w:t>
            </w:r>
          </w:p>
        </w:tc>
        <w:tc>
          <w:tcPr>
            <w:tcW w:type="dxa" w:w="25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Touche à la fois aux données et aux modèles</w:t>
            </w:r>
          </w:p>
        </w:tc>
      </w:tr>
      <w:tr>
        <w:tc>
          <w:tcPr>
            <w:tcW w:type="dxa" w:w="19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7. Rédaction</w:t>
            </w:r>
          </w:p>
        </w:tc>
        <w:tc>
          <w:tcPr>
            <w:tcW w:type="dxa" w:w="4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Rédiger l'introduction, la discussion et la conclusion ; préparer les slides ; relire le code de l'autre</w:t>
            </w:r>
          </w:p>
        </w:tc>
        <w:tc>
          <w:tcPr>
            <w:tcW w:type="dxa" w:w="25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Vision commune indispensable pour la soutenance</w:t>
            </w:r>
          </w:p>
        </w:tc>
      </w:tr>
    </w:tbl>
    <w:p>
      <w:pPr>
        <w:pStyle w:val="Heading1"/>
        <w:spacing w:after="140" w:before="320"/>
      </w:pPr>
      <w:r>
        <w:rPr>
          <w:rFonts w:ascii="Calibri" w:cs="Calibri" w:eastAsia="Calibri" w:hAnsi="Calibri"/>
          <w:b/>
          <w:bCs/>
          <w:color w:val="1F3864"/>
          <w:sz w:val="30"/>
          <w:szCs w:val="30"/>
        </w:rPr>
        <w:t xml:space="preserve">6. Le plan parallèle et les points de merge</w:t>
      </w:r>
    </w:p>
    <w:p>
      <w:pPr>
        <w:spacing w:after="120" w:line="276"/>
      </w:pPr>
      <w:r>
        <w:rPr>
          <w:rFonts w:ascii="Calibri" w:cs="Calibri" w:eastAsia="Calibri" w:hAnsi="Calibri"/>
          <w:color w:val="222222"/>
          <w:sz w:val="21"/>
          <w:szCs w:val="21"/>
        </w:rPr>
        <w:t xml:space="preserve">Le mot « merge » a deux sens ici : (1) se synchroniser sur le projet, et (2) fusionner le code dans Git. Voici les synchronisations à prévoir : les deux colonnes avancent en même temps, et on fusionne aux points indiqués.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700"/>
        <w:gridCol w:w="4626"/>
      </w:tblGrid>
      <w:tr>
        <w:trPr>
          <w:tblHeader/>
        </w:trPr>
        <w:tc>
          <w:tcPr>
            <w:tcW w:type="dxa" w:w="17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Point de merge</w:t>
            </w:r>
          </w:p>
        </w:tc>
        <w:tc>
          <w:tcPr>
            <w:tcW w:type="dxa" w:w="27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Quand</w:t>
            </w:r>
          </w:p>
        </w:tc>
        <w:tc>
          <w:tcPr>
            <w:tcW w:type="dxa" w:w="4626"/>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Ce qu'on fusionne / vérifie</w:t>
            </w:r>
          </w:p>
        </w:tc>
      </w:tr>
      <w:tr>
        <w:tc>
          <w:tcPr>
            <w:tcW w:type="dxa" w:w="17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Merge 0</w:t>
            </w:r>
          </w:p>
        </w:tc>
        <w:tc>
          <w:tcPr>
            <w:tcW w:type="dxa" w:w="27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Après le démarrage</w:t>
            </w:r>
          </w:p>
        </w:tc>
        <w:tc>
          <w:tcPr>
            <w:tcW w:type="dxa" w:w="4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Dépôt prêt + cible définie + contrat de données validé</w:t>
            </w:r>
          </w:p>
        </w:tc>
      </w:tr>
      <w:tr>
        <w:tc>
          <w:tcPr>
            <w:tcW w:type="dxa" w:w="17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Merge 1</w:t>
            </w:r>
          </w:p>
        </w:tc>
        <w:tc>
          <w:tcPr>
            <w:tcW w:type="dxa" w:w="27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Fin du prototype</w:t>
            </w:r>
          </w:p>
        </w:tc>
        <w:tc>
          <w:tcPr>
            <w:tcW w:type="dxa" w:w="4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 livre les données propres ; B rebranche ses modèles dessus</w:t>
            </w:r>
          </w:p>
        </w:tc>
      </w:tr>
      <w:tr>
        <w:tc>
          <w:tcPr>
            <w:tcW w:type="dxa" w:w="17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Merge 2</w:t>
            </w:r>
          </w:p>
        </w:tc>
        <w:tc>
          <w:tcPr>
            <w:tcW w:type="dxa" w:w="27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Après longitudinal</w:t>
            </w:r>
          </w:p>
        </w:tc>
        <w:tc>
          <w:tcPr>
            <w:tcW w:type="dxa" w:w="4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Nouvelles données (longitudinal, ADNI) ↔ nouveaux modèles</w:t>
            </w:r>
          </w:p>
        </w:tc>
      </w:tr>
      <w:tr>
        <w:tc>
          <w:tcPr>
            <w:tcW w:type="dxa" w:w="17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Merge 3</w:t>
            </w:r>
          </w:p>
        </w:tc>
        <w:tc>
          <w:tcPr>
            <w:tcW w:type="dxa" w:w="27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Après expériences</w:t>
            </w:r>
          </w:p>
        </w:tc>
        <w:tc>
          <w:tcPr>
            <w:tcW w:type="dxa" w:w="4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Tableaux de résultats répondant à RQ1, RQ2, RQ3</w:t>
            </w:r>
          </w:p>
        </w:tc>
      </w:tr>
      <w:tr>
        <w:tc>
          <w:tcPr>
            <w:tcW w:type="dxa" w:w="17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Merge 4</w:t>
            </w:r>
          </w:p>
        </w:tc>
        <w:tc>
          <w:tcPr>
            <w:tcW w:type="dxa" w:w="27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Fin</w:t>
            </w:r>
          </w:p>
        </w:tc>
        <w:tc>
          <w:tcPr>
            <w:tcW w:type="dxa" w:w="4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Rapport + slides assemblés</w:t>
            </w:r>
          </w:p>
        </w:tc>
      </w:tr>
    </w:tbl>
    <w:p>
      <w:pPr>
        <w:spacing w:after="80"/>
      </w:pPr>
    </w:p>
    <w:p>
      <w:pPr>
        <w:pBdr>
          <w:left w:val="single" w:color="C55A11" w:sz="24" w:space="12"/>
        </w:pBdr>
        <w:shd w:fill="FBF3EC" w:val="clear"/>
        <w:spacing w:after="140" w:before="120" w:line="276"/>
      </w:pPr>
      <w:r>
        <w:rPr>
          <w:rFonts w:ascii="Calibri" w:cs="Calibri" w:eastAsia="Calibri" w:hAnsi="Calibri"/>
          <w:b/>
          <w:bCs/>
          <w:color w:val="C55A11"/>
          <w:sz w:val="21"/>
          <w:szCs w:val="21"/>
        </w:rPr>
        <w:t xml:space="preserve">Rythme conseillé :  </w:t>
      </w:r>
      <w:r>
        <w:rPr>
          <w:rFonts w:ascii="Calibri" w:cs="Calibri" w:eastAsia="Calibri" w:hAnsi="Calibri"/>
          <w:color w:val="333333"/>
          <w:sz w:val="21"/>
          <w:szCs w:val="21"/>
        </w:rPr>
        <w:t xml:space="preserve">un point rapide (15 min) deux fois par semaine pour vérifier que le contrat de données tient toujours et que personne n'est bloqué. C'est court, mais ça évite les mauvaises surprises.</w:t>
      </w:r>
    </w:p>
    <w:p>
      <w:r>
        <w:br w:type="page"/>
      </w:r>
    </w:p>
    <w:p>
      <w:pPr>
        <w:pStyle w:val="Heading1"/>
        <w:spacing w:after="140" w:before="320"/>
      </w:pPr>
      <w:r>
        <w:rPr>
          <w:rFonts w:ascii="Calibri" w:cs="Calibri" w:eastAsia="Calibri" w:hAnsi="Calibri"/>
          <w:b/>
          <w:bCs/>
          <w:color w:val="1F3864"/>
          <w:sz w:val="30"/>
          <w:szCs w:val="30"/>
        </w:rPr>
        <w:t xml:space="preserve">7. Comment faire le merge dans Git</w:t>
      </w:r>
    </w:p>
    <w:p>
      <w:pPr>
        <w:pStyle w:val="Heading3"/>
        <w:spacing w:after="70" w:before="160"/>
      </w:pPr>
      <w:r>
        <w:rPr>
          <w:rFonts w:ascii="Calibri" w:cs="Calibri" w:eastAsia="Calibri" w:hAnsi="Calibri"/>
          <w:b/>
          <w:bCs/>
          <w:color w:val="2E5496"/>
          <w:sz w:val="22"/>
          <w:szCs w:val="22"/>
        </w:rPr>
        <w:t xml:space="preserve">a) Séparer les dossiers pour ne pas se marcher dessus</w:t>
      </w:r>
    </w:p>
    <w:p>
      <w:pPr>
        <w:spacing w:after="120" w:line="276"/>
      </w:pPr>
      <w:r>
        <w:rPr>
          <w:rFonts w:ascii="Calibri" w:cs="Calibri" w:eastAsia="Calibri" w:hAnsi="Calibri"/>
          <w:color w:val="222222"/>
          <w:sz w:val="21"/>
          <w:szCs w:val="21"/>
        </w:rPr>
        <w:t xml:space="preserve">Chacun édite surtout ses propres fichiers. Structure recommandée du dépôt :</w:t>
      </w:r>
    </w:p>
    <w:p>
      <w:pPr>
        <w:shd w:fill="F2F2F2" w:val="clear"/>
        <w:spacing w:after="20" w:line="260"/>
      </w:pPr>
      <w:r>
        <w:rPr>
          <w:rFonts w:ascii="Consolas" w:cs="Consolas" w:eastAsia="Consolas" w:hAnsi="Consolas"/>
          <w:color w:val="333333"/>
          <w:sz w:val="18"/>
          <w:szCs w:val="18"/>
        </w:rPr>
        <w:t xml:space="preserve">projet-alzheimer/</w:t>
      </w:r>
    </w:p>
    <w:p>
      <w:pPr>
        <w:shd w:fill="F2F2F2" w:val="clear"/>
        <w:spacing w:after="20" w:line="260"/>
      </w:pPr>
      <w:r>
        <w:rPr>
          <w:rFonts w:ascii="Consolas" w:cs="Consolas" w:eastAsia="Consolas" w:hAnsi="Consolas"/>
          <w:color w:val="333333"/>
          <w:sz w:val="18"/>
          <w:szCs w:val="18"/>
        </w:rPr>
        <w:t xml:space="preserve">├── data/          → Membre A (données, contrat)</w:t>
      </w:r>
    </w:p>
    <w:p>
      <w:pPr>
        <w:shd w:fill="F2F2F2" w:val="clear"/>
        <w:spacing w:after="20" w:line="260"/>
      </w:pPr>
      <w:r>
        <w:rPr>
          <w:rFonts w:ascii="Consolas" w:cs="Consolas" w:eastAsia="Consolas" w:hAnsi="Consolas"/>
          <w:color w:val="333333"/>
          <w:sz w:val="18"/>
          <w:szCs w:val="18"/>
        </w:rPr>
        <w:t xml:space="preserve">├── pipeline/      → Membre A (Spark, nettoyage)</w:t>
      </w:r>
    </w:p>
    <w:p>
      <w:pPr>
        <w:shd w:fill="F2F2F2" w:val="clear"/>
        <w:spacing w:after="20" w:line="260"/>
      </w:pPr>
      <w:r>
        <w:rPr>
          <w:rFonts w:ascii="Consolas" w:cs="Consolas" w:eastAsia="Consolas" w:hAnsi="Consolas"/>
          <w:color w:val="333333"/>
          <w:sz w:val="18"/>
          <w:szCs w:val="18"/>
        </w:rPr>
        <w:t xml:space="preserve">├── models/        → Membre B (modèles, deep learning)</w:t>
      </w:r>
    </w:p>
    <w:p>
      <w:pPr>
        <w:shd w:fill="F2F2F2" w:val="clear"/>
        <w:spacing w:after="20" w:line="260"/>
      </w:pPr>
      <w:r>
        <w:rPr>
          <w:rFonts w:ascii="Consolas" w:cs="Consolas" w:eastAsia="Consolas" w:hAnsi="Consolas"/>
          <w:color w:val="333333"/>
          <w:sz w:val="18"/>
          <w:szCs w:val="18"/>
        </w:rPr>
        <w:t xml:space="preserve">├── evaluation/    → Membre B (métriques, résultats)</w:t>
      </w:r>
    </w:p>
    <w:p>
      <w:pPr>
        <w:shd w:fill="F2F2F2" w:val="clear"/>
        <w:spacing w:after="20" w:line="260"/>
      </w:pPr>
      <w:r>
        <w:rPr>
          <w:rFonts w:ascii="Consolas" w:cs="Consolas" w:eastAsia="Consolas" w:hAnsi="Consolas"/>
          <w:color w:val="333333"/>
          <w:sz w:val="18"/>
          <w:szCs w:val="18"/>
        </w:rPr>
        <w:t xml:space="preserve">├── notebooks/     → un sous-dossier par personne</w:t>
      </w:r>
    </w:p>
    <w:p>
      <w:pPr>
        <w:shd w:fill="F2F2F2" w:val="clear"/>
        <w:spacing w:after="20" w:line="260"/>
      </w:pPr>
      <w:r>
        <w:rPr>
          <w:rFonts w:ascii="Consolas" w:cs="Consolas" w:eastAsia="Consolas" w:hAnsi="Consolas"/>
          <w:color w:val="333333"/>
          <w:sz w:val="18"/>
          <w:szCs w:val="18"/>
        </w:rPr>
        <w:t xml:space="preserve">├── report/        → les deux</w:t>
      </w:r>
    </w:p>
    <w:p>
      <w:pPr>
        <w:shd w:fill="F2F2F2" w:val="clear"/>
        <w:spacing w:after="20" w:line="260"/>
      </w:pPr>
      <w:r>
        <w:rPr>
          <w:rFonts w:ascii="Consolas" w:cs="Consolas" w:eastAsia="Consolas" w:hAnsi="Consolas"/>
          <w:color w:val="333333"/>
          <w:sz w:val="18"/>
          <w:szCs w:val="18"/>
        </w:rPr>
        <w:t xml:space="preserve">├── .gitignore     → ignore les gros fichiers de données</w:t>
      </w:r>
    </w:p>
    <w:p>
      <w:pPr>
        <w:shd w:fill="F2F2F2" w:val="clear"/>
        <w:spacing w:after="20" w:line="260"/>
      </w:pPr>
      <w:r>
        <w:rPr>
          <w:rFonts w:ascii="Consolas" w:cs="Consolas" w:eastAsia="Consolas" w:hAnsi="Consolas"/>
          <w:color w:val="333333"/>
          <w:sz w:val="18"/>
          <w:szCs w:val="18"/>
        </w:rPr>
        <w:t xml:space="preserve">└── README.md      → commun</w:t>
      </w:r>
    </w:p>
    <w:p>
      <w:pPr>
        <w:pStyle w:val="Heading3"/>
        <w:spacing w:after="70" w:before="160"/>
      </w:pPr>
      <w:r>
        <w:rPr>
          <w:rFonts w:ascii="Calibri" w:cs="Calibri" w:eastAsia="Calibri" w:hAnsi="Calibri"/>
          <w:b/>
          <w:bCs/>
          <w:color w:val="2E5496"/>
          <w:sz w:val="22"/>
          <w:szCs w:val="22"/>
        </w:rPr>
        <w:t xml:space="preserve">b) Le workflow (branches + pull requests)</w:t>
      </w:r>
    </w:p>
    <w:p>
      <w:pPr>
        <w:pStyle w:val="ListParagraph"/>
        <w:numPr>
          <w:ilvl w:val="0"/>
          <w:numId w:val="2"/>
        </w:numPr>
        <w:spacing w:after="70" w:line="272"/>
      </w:pPr>
      <w:r>
        <w:rPr>
          <w:rFonts w:ascii="Calibri" w:cs="Calibri" w:eastAsia="Calibri" w:hAnsi="Calibri"/>
          <w:color w:val="222222"/>
          <w:sz w:val="21"/>
          <w:szCs w:val="21"/>
        </w:rPr>
        <w:t xml:space="preserve">Chacun travaille sur sa propre branche (ex. « branche-donnees », « branche-modeles »), jamais directement sur main.</w:t>
      </w:r>
    </w:p>
    <w:p>
      <w:pPr>
        <w:pStyle w:val="ListParagraph"/>
        <w:numPr>
          <w:ilvl w:val="0"/>
          <w:numId w:val="2"/>
        </w:numPr>
        <w:spacing w:after="70" w:line="272"/>
      </w:pPr>
      <w:r>
        <w:rPr>
          <w:rFonts w:ascii="Calibri" w:cs="Calibri" w:eastAsia="Calibri" w:hAnsi="Calibri"/>
          <w:color w:val="222222"/>
          <w:sz w:val="21"/>
          <w:szCs w:val="21"/>
        </w:rPr>
        <w:t xml:space="preserve">Faire des commits fréquents avec des messages clairs (« ajout nettoyage OASIS », pas « update »).</w:t>
      </w:r>
    </w:p>
    <w:p>
      <w:pPr>
        <w:pStyle w:val="ListParagraph"/>
        <w:numPr>
          <w:ilvl w:val="0"/>
          <w:numId w:val="2"/>
        </w:numPr>
        <w:spacing w:after="70" w:line="272"/>
      </w:pPr>
      <w:r>
        <w:rPr>
          <w:rFonts w:ascii="Calibri" w:cs="Calibri" w:eastAsia="Calibri" w:hAnsi="Calibri"/>
          <w:color w:val="222222"/>
          <w:sz w:val="21"/>
          <w:szCs w:val="21"/>
        </w:rPr>
        <w:t xml:space="preserve">Quand une partie est prête, ouvrir une pull request vers main.</w:t>
      </w:r>
    </w:p>
    <w:p>
      <w:pPr>
        <w:pStyle w:val="ListParagraph"/>
        <w:numPr>
          <w:ilvl w:val="0"/>
          <w:numId w:val="2"/>
        </w:numPr>
        <w:spacing w:after="70" w:line="272"/>
      </w:pPr>
      <w:r>
        <w:rPr>
          <w:rFonts w:ascii="Calibri" w:cs="Calibri" w:eastAsia="Calibri" w:hAnsi="Calibri"/>
          <w:color w:val="222222"/>
          <w:sz w:val="21"/>
          <w:szCs w:val="21"/>
        </w:rPr>
        <w:t xml:space="preserve">L'autre relit la pull request, puis on fusionne. Cette relecture croisée fait que chacun connaît tout le projet.</w:t>
      </w:r>
    </w:p>
    <w:p>
      <w:pPr>
        <w:pStyle w:val="Heading3"/>
        <w:spacing w:after="70" w:before="160"/>
      </w:pPr>
      <w:r>
        <w:rPr>
          <w:rFonts w:ascii="Calibri" w:cs="Calibri" w:eastAsia="Calibri" w:hAnsi="Calibri"/>
          <w:b/>
          <w:bCs/>
          <w:color w:val="2E5496"/>
          <w:sz w:val="22"/>
          <w:szCs w:val="22"/>
        </w:rPr>
        <w:t xml:space="preserve">c) Règle d'or : les grosses données ne vont PAS dans Git</w:t>
      </w:r>
    </w:p>
    <w:p>
      <w:pPr>
        <w:spacing w:after="120" w:line="276"/>
      </w:pPr>
      <w:r>
        <w:rPr>
          <w:rFonts w:ascii="Calibri" w:cs="Calibri" w:eastAsia="Calibri" w:hAnsi="Calibri"/>
          <w:color w:val="222222"/>
          <w:sz w:val="21"/>
          <w:szCs w:val="21"/>
        </w:rPr>
        <w:t xml:space="preserve">Git est fait pour le code, pas pour les fichiers volumineux. On partage les données autrement :</w:t>
      </w:r>
    </w:p>
    <w:p>
      <w:pPr>
        <w:pStyle w:val="ListParagraph"/>
        <w:numPr>
          <w:ilvl w:val="0"/>
          <w:numId w:val="1"/>
        </w:numPr>
        <w:spacing w:after="70" w:line="272"/>
      </w:pPr>
      <w:r>
        <w:rPr>
          <w:rFonts w:ascii="Calibri" w:cs="Calibri" w:eastAsia="Calibri" w:hAnsi="Calibri"/>
          <w:b/>
          <w:bCs/>
          <w:color w:val="222222"/>
          <w:sz w:val="21"/>
          <w:szCs w:val="21"/>
        </w:rPr>
        <w:t xml:space="preserve">Les jeux de données </w:t>
      </w:r>
      <w:r>
        <w:rPr>
          <w:rFonts w:ascii="Calibri" w:cs="Calibri" w:eastAsia="Calibri" w:hAnsi="Calibri"/>
          <w:color w:val="222222"/>
          <w:sz w:val="21"/>
          <w:szCs w:val="21"/>
        </w:rPr>
        <w:t xml:space="preserve">se partagent via un Kaggle Dataset privé (ou Google Drive), pas dans le dépôt.</w:t>
      </w:r>
    </w:p>
    <w:p>
      <w:pPr>
        <w:pStyle w:val="ListParagraph"/>
        <w:numPr>
          <w:ilvl w:val="0"/>
          <w:numId w:val="1"/>
        </w:numPr>
        <w:spacing w:after="70" w:line="272"/>
      </w:pPr>
      <w:r>
        <w:rPr>
          <w:rFonts w:ascii="Calibri" w:cs="Calibri" w:eastAsia="Calibri" w:hAnsi="Calibri"/>
          <w:b/>
          <w:bCs/>
          <w:color w:val="222222"/>
          <w:sz w:val="21"/>
          <w:szCs w:val="21"/>
        </w:rPr>
        <w:t xml:space="preserve">Le fichier .gitignore </w:t>
      </w:r>
      <w:r>
        <w:rPr>
          <w:rFonts w:ascii="Calibri" w:cs="Calibri" w:eastAsia="Calibri" w:hAnsi="Calibri"/>
          <w:color w:val="222222"/>
          <w:sz w:val="21"/>
          <w:szCs w:val="21"/>
        </w:rPr>
        <w:t xml:space="preserve">empêche d'envoyer par erreur les fichiers .csv, .parquet, images, etc.</w:t>
      </w:r>
    </w:p>
    <w:p>
      <w:pPr>
        <w:pBdr>
          <w:left w:val="single" w:color="2E5496" w:sz="24" w:space="12"/>
        </w:pBdr>
        <w:shd w:fill="FBF3EC" w:val="clear"/>
        <w:spacing w:after="140" w:before="120" w:line="276"/>
      </w:pPr>
      <w:r>
        <w:rPr>
          <w:rFonts w:ascii="Calibri" w:cs="Calibri" w:eastAsia="Calibri" w:hAnsi="Calibri"/>
          <w:b/>
          <w:bCs/>
          <w:color w:val="2E5496"/>
          <w:sz w:val="21"/>
          <w:szCs w:val="21"/>
        </w:rPr>
        <w:t xml:space="preserve">En cas de conflit Git :  </w:t>
      </w:r>
      <w:r>
        <w:rPr>
          <w:rFonts w:ascii="Calibri" w:cs="Calibri" w:eastAsia="Calibri" w:hAnsi="Calibri"/>
          <w:color w:val="333333"/>
          <w:sz w:val="21"/>
          <w:szCs w:val="21"/>
        </w:rPr>
        <w:t xml:space="preserve">pas de panique. Un conflit arrive quand les deux ont modifié la même ligne du même fichier. Git le signale, on choisit ensemble quelle version garder. La structure en dossiers séparés rend cela très rare.</w:t>
      </w:r>
    </w:p>
    <w:p>
      <w:r>
        <w:br w:type="page"/>
      </w:r>
    </w:p>
    <w:p>
      <w:pPr>
        <w:pStyle w:val="Heading1"/>
        <w:spacing w:after="140" w:before="320"/>
      </w:pPr>
      <w:r>
        <w:rPr>
          <w:rFonts w:ascii="Calibri" w:cs="Calibri" w:eastAsia="Calibri" w:hAnsi="Calibri"/>
          <w:b/>
          <w:bCs/>
          <w:color w:val="1F3864"/>
          <w:sz w:val="30"/>
          <w:szCs w:val="30"/>
        </w:rPr>
        <w:t xml:space="preserve">8. Les technologies, par rôle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gridCol w:w="2226"/>
      </w:tblGrid>
      <w:tr>
        <w:trPr>
          <w:tblHeader/>
        </w:trPr>
        <w:tc>
          <w:tcPr>
            <w:tcW w:type="dxa" w:w="26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Technologie</w:t>
            </w:r>
          </w:p>
        </w:tc>
        <w:tc>
          <w:tcPr>
            <w:tcW w:type="dxa" w:w="42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À quoi ça sert</w:t>
            </w:r>
          </w:p>
        </w:tc>
        <w:tc>
          <w:tcPr>
            <w:tcW w:type="dxa" w:w="2226"/>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Qui l'utilise surtout</w:t>
            </w:r>
          </w:p>
        </w:tc>
      </w:tr>
      <w:tr>
        <w:tc>
          <w:tcPr>
            <w:tcW w:type="dxa" w:w="2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Python</w:t>
            </w:r>
          </w:p>
        </w:tc>
        <w:tc>
          <w:tcPr>
            <w:tcW w:type="dxa" w:w="42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Langage principal du projet</w:t>
            </w:r>
          </w:p>
        </w:tc>
        <w:tc>
          <w:tcPr>
            <w:tcW w:type="dxa" w:w="22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Les deux</w:t>
            </w:r>
          </w:p>
        </w:tc>
      </w:tr>
      <w:tr>
        <w:tc>
          <w:tcPr>
            <w:tcW w:type="dxa" w:w="2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pandas</w:t>
            </w:r>
          </w:p>
        </w:tc>
        <w:tc>
          <w:tcPr>
            <w:tcW w:type="dxa" w:w="42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Manipuler les tableaux de données</w:t>
            </w:r>
          </w:p>
        </w:tc>
        <w:tc>
          <w:tcPr>
            <w:tcW w:type="dxa" w:w="22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Membre A</w:t>
            </w:r>
          </w:p>
        </w:tc>
      </w:tr>
      <w:tr>
        <w:tc>
          <w:tcPr>
            <w:tcW w:type="dxa" w:w="2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Apache Spark (PySpark)</w:t>
            </w:r>
          </w:p>
        </w:tc>
        <w:tc>
          <w:tcPr>
            <w:tcW w:type="dxa" w:w="42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Pipeline Big Data, traitement à l'échelle</w:t>
            </w:r>
          </w:p>
        </w:tc>
        <w:tc>
          <w:tcPr>
            <w:tcW w:type="dxa" w:w="22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Membre A</w:t>
            </w:r>
          </w:p>
        </w:tc>
      </w:tr>
      <w:tr>
        <w:tc>
          <w:tcPr>
            <w:tcW w:type="dxa" w:w="2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nibabel / MONAI</w:t>
            </w:r>
          </w:p>
        </w:tc>
        <w:tc>
          <w:tcPr>
            <w:tcW w:type="dxa" w:w="42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Lire les images cérébrales (démo image)</w:t>
            </w:r>
          </w:p>
        </w:tc>
        <w:tc>
          <w:tcPr>
            <w:tcW w:type="dxa" w:w="22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Membre A</w:t>
            </w:r>
          </w:p>
        </w:tc>
      </w:tr>
      <w:tr>
        <w:tc>
          <w:tcPr>
            <w:tcW w:type="dxa" w:w="2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scikit-learn</w:t>
            </w:r>
          </w:p>
        </w:tc>
        <w:tc>
          <w:tcPr>
            <w:tcW w:type="dxa" w:w="42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Modèles simples (baselines)</w:t>
            </w:r>
          </w:p>
        </w:tc>
        <w:tc>
          <w:tcPr>
            <w:tcW w:type="dxa" w:w="22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Membre B</w:t>
            </w:r>
          </w:p>
        </w:tc>
      </w:tr>
      <w:tr>
        <w:tc>
          <w:tcPr>
            <w:tcW w:type="dxa" w:w="2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PyTorch</w:t>
            </w:r>
          </w:p>
        </w:tc>
        <w:tc>
          <w:tcPr>
            <w:tcW w:type="dxa" w:w="42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Deep learning : CNN, LSTM, fusion</w:t>
            </w:r>
          </w:p>
        </w:tc>
        <w:tc>
          <w:tcPr>
            <w:tcW w:type="dxa" w:w="22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Membre B</w:t>
            </w:r>
          </w:p>
        </w:tc>
      </w:tr>
      <w:tr>
        <w:tc>
          <w:tcPr>
            <w:tcW w:type="dxa" w:w="2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SHAP / Grad-CAM</w:t>
            </w:r>
          </w:p>
        </w:tc>
        <w:tc>
          <w:tcPr>
            <w:tcW w:type="dxa" w:w="42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Expliquer les décisions du modèle</w:t>
            </w:r>
          </w:p>
        </w:tc>
        <w:tc>
          <w:tcPr>
            <w:tcW w:type="dxa" w:w="22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Membre B</w:t>
            </w:r>
          </w:p>
        </w:tc>
      </w:tr>
      <w:tr>
        <w:tc>
          <w:tcPr>
            <w:tcW w:type="dxa" w:w="2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Kaggle Notebooks</w:t>
            </w:r>
          </w:p>
        </w:tc>
        <w:tc>
          <w:tcPr>
            <w:tcW w:type="dxa" w:w="42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Calcul GPU (entraînement, Spark)</w:t>
            </w:r>
          </w:p>
        </w:tc>
        <w:tc>
          <w:tcPr>
            <w:tcW w:type="dxa" w:w="22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Les deux</w:t>
            </w:r>
          </w:p>
        </w:tc>
      </w:tr>
      <w:tr>
        <w:tc>
          <w:tcPr>
            <w:tcW w:type="dxa" w:w="2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Git / GitHub</w:t>
            </w:r>
          </w:p>
        </w:tc>
        <w:tc>
          <w:tcPr>
            <w:tcW w:type="dxa" w:w="42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Versionner et fusionner le code</w:t>
            </w:r>
          </w:p>
        </w:tc>
        <w:tc>
          <w:tcPr>
            <w:tcW w:type="dxa" w:w="22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Les deux</w:t>
            </w:r>
          </w:p>
        </w:tc>
      </w:tr>
    </w:tbl>
    <w:p>
      <w:pPr>
        <w:pStyle w:val="Heading1"/>
        <w:spacing w:after="140" w:before="320"/>
      </w:pPr>
      <w:r>
        <w:rPr>
          <w:rFonts w:ascii="Calibri" w:cs="Calibri" w:eastAsia="Calibri" w:hAnsi="Calibri"/>
          <w:b/>
          <w:bCs/>
          <w:color w:val="1F3864"/>
          <w:sz w:val="30"/>
          <w:szCs w:val="30"/>
        </w:rPr>
        <w:t xml:space="preserve">9. Les techniques (méthodes) utilisées</w:t>
      </w:r>
    </w:p>
    <w:p>
      <w:pPr>
        <w:spacing w:after="120" w:line="276"/>
      </w:pPr>
      <w:r>
        <w:rPr>
          <w:rFonts w:ascii="Calibri" w:cs="Calibri" w:eastAsia="Calibri" w:hAnsi="Calibri"/>
          <w:color w:val="222222"/>
          <w:sz w:val="21"/>
          <w:szCs w:val="21"/>
        </w:rPr>
        <w:t xml:space="preserve">Voici les grandes méthodes qu'on va appliquer, expliquées simplement.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w:trPr>
          <w:tblHeader/>
        </w:trPr>
        <w:tc>
          <w:tcPr>
            <w:tcW w:type="dxa" w:w="34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Technique</w:t>
            </w:r>
          </w:p>
        </w:tc>
        <w:tc>
          <w:tcPr>
            <w:tcW w:type="dxa" w:w="5626"/>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À quoi elle sert</w:t>
            </w:r>
          </w:p>
        </w:tc>
      </w:tr>
      <w:tr>
        <w:tc>
          <w:tcPr>
            <w:tcW w:type="dxa" w:w="34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Nettoyage &amp; encodage</w:t>
            </w:r>
          </w:p>
        </w:tc>
        <w:tc>
          <w:tcPr>
            <w:tcW w:type="dxa" w:w="5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Rendre les données exploitables (types corrects, catégories en nombres)</w:t>
            </w:r>
          </w:p>
        </w:tc>
      </w:tr>
      <w:tr>
        <w:tc>
          <w:tcPr>
            <w:tcW w:type="dxa" w:w="34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Normalisation</w:t>
            </w:r>
          </w:p>
        </w:tc>
        <w:tc>
          <w:tcPr>
            <w:tcW w:type="dxa" w:w="5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Mettre les valeurs à la même échelle pour aider les modèles</w:t>
            </w:r>
          </w:p>
        </w:tc>
      </w:tr>
      <w:tr>
        <w:tc>
          <w:tcPr>
            <w:tcW w:type="dxa" w:w="34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Imputation</w:t>
            </w:r>
          </w:p>
        </w:tc>
        <w:tc>
          <w:tcPr>
            <w:tcW w:type="dxa" w:w="5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Remplir intelligemment les valeurs manquantes</w:t>
            </w:r>
          </w:p>
        </w:tc>
      </w:tr>
      <w:tr>
        <w:tc>
          <w:tcPr>
            <w:tcW w:type="dxa" w:w="34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Structure en séquences</w:t>
            </w:r>
          </w:p>
        </w:tc>
        <w:tc>
          <w:tcPr>
            <w:tcW w:type="dxa" w:w="5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Représenter chaque patient comme une suite de visites (pour le longitudinal)</w:t>
            </w:r>
          </w:p>
        </w:tc>
      </w:tr>
      <w:tr>
        <w:tc>
          <w:tcPr>
            <w:tcW w:type="dxa" w:w="34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Baselines (régression logistique, forêt aléatoire)</w:t>
            </w:r>
          </w:p>
        </w:tc>
        <w:tc>
          <w:tcPr>
            <w:tcW w:type="dxa" w:w="5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Modèles simples servant de points de comparaison</w:t>
            </w:r>
          </w:p>
        </w:tc>
      </w:tr>
      <w:tr>
        <w:tc>
          <w:tcPr>
            <w:tcW w:type="dxa" w:w="34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Fusion multimodale</w:t>
            </w:r>
          </w:p>
        </w:tc>
        <w:tc>
          <w:tcPr>
            <w:tcW w:type="dxa" w:w="5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Combiner plusieurs modalités en un seul modèle (RQ1)</w:t>
            </w:r>
          </w:p>
        </w:tc>
      </w:tr>
      <w:tr>
        <w:tc>
          <w:tcPr>
            <w:tcW w:type="dxa" w:w="34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Réseaux séquentiels (LSTM/GRU)</w:t>
            </w:r>
          </w:p>
        </w:tc>
        <w:tc>
          <w:tcPr>
            <w:tcW w:type="dxa" w:w="5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Apprendre l'évolution dans le temps (RQ2)</w:t>
            </w:r>
          </w:p>
        </w:tc>
      </w:tr>
      <w:tr>
        <w:tc>
          <w:tcPr>
            <w:tcW w:type="dxa" w:w="34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Masquage / robustesse</w:t>
            </w:r>
          </w:p>
        </w:tc>
        <w:tc>
          <w:tcPr>
            <w:tcW w:type="dxa" w:w="5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Tester le modèle avec des données volontairement absentes (RQ3)</w:t>
            </w:r>
          </w:p>
        </w:tc>
      </w:tr>
      <w:tr>
        <w:tc>
          <w:tcPr>
            <w:tcW w:type="dxa" w:w="34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Gestion du déséquilibre</w:t>
            </w:r>
          </w:p>
        </w:tc>
        <w:tc>
          <w:tcPr>
            <w:tcW w:type="dxa" w:w="5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Compenser le faible nombre de cas « convertis » (pondération, ré-échantillonnage)</w:t>
            </w:r>
          </w:p>
        </w:tc>
      </w:tr>
      <w:tr>
        <w:tc>
          <w:tcPr>
            <w:tcW w:type="dxa" w:w="34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Validation croisée</w:t>
            </w:r>
          </w:p>
        </w:tc>
        <w:tc>
          <w:tcPr>
            <w:tcW w:type="dxa" w:w="5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Obtenir des résultats fiables et non dus au hasard</w:t>
            </w:r>
          </w:p>
        </w:tc>
      </w:tr>
      <w:tr>
        <w:tc>
          <w:tcPr>
            <w:tcW w:type="dxa" w:w="34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Métriques (AUC, F1, sensibilité, spécificité)</w:t>
            </w:r>
          </w:p>
        </w:tc>
        <w:tc>
          <w:tcPr>
            <w:tcW w:type="dxa" w:w="5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Mesurer et comparer les performances</w:t>
            </w:r>
          </w:p>
        </w:tc>
      </w:tr>
      <w:tr>
        <w:tc>
          <w:tcPr>
            <w:tcW w:type="dxa" w:w="34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Explicabilité (SHAP, Grad-CAM)</w:t>
            </w:r>
          </w:p>
        </w:tc>
        <w:tc>
          <w:tcPr>
            <w:tcW w:type="dxa" w:w="5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Comprendre pourquoi le modèle prédit ce qu'il prédit</w:t>
            </w:r>
          </w:p>
        </w:tc>
      </w:tr>
    </w:tbl>
    <w:p>
      <w:r>
        <w:br w:type="page"/>
      </w:r>
    </w:p>
    <w:p>
      <w:pPr>
        <w:pStyle w:val="Heading1"/>
        <w:spacing w:after="140" w:before="320"/>
      </w:pPr>
      <w:r>
        <w:rPr>
          <w:rFonts w:ascii="Calibri" w:cs="Calibri" w:eastAsia="Calibri" w:hAnsi="Calibri"/>
          <w:b/>
          <w:bCs/>
          <w:color w:val="1F3864"/>
          <w:sz w:val="30"/>
          <w:szCs w:val="30"/>
        </w:rPr>
        <w:t xml:space="preserve">10. Où travailler chaque chose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2800"/>
        <w:gridCol w:w="2626"/>
      </w:tblGrid>
      <w:tr>
        <w:trPr>
          <w:tblHeader/>
        </w:trPr>
        <w:tc>
          <w:tcPr>
            <w:tcW w:type="dxa" w:w="36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Tâche</w:t>
            </w:r>
          </w:p>
        </w:tc>
        <w:tc>
          <w:tcPr>
            <w:tcW w:type="dxa" w:w="2800"/>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Plateforme</w:t>
            </w:r>
          </w:p>
        </w:tc>
        <w:tc>
          <w:tcPr>
            <w:tcW w:type="dxa" w:w="2626"/>
            <w:shd w:fill="D9E2F3" w:val="clear"/>
            <w:tcMar>
              <w:top w:type="dxa" w:w="60"/>
              <w:left w:type="dxa" w:w="90"/>
              <w:bottom w:type="dxa" w:w="60"/>
              <w:right w:type="dxa" w:w="90"/>
            </w:tcMar>
          </w:tcPr>
          <w:p>
            <w:pPr>
              <w:spacing w:after="20" w:line="262"/>
            </w:pPr>
            <w:r>
              <w:rPr>
                <w:rFonts w:ascii="Calibri" w:cs="Calibri" w:eastAsia="Calibri" w:hAnsi="Calibri"/>
                <w:b/>
                <w:bCs/>
                <w:color w:val="1F3864"/>
                <w:sz w:val="19"/>
                <w:szCs w:val="19"/>
              </w:rPr>
              <w:t xml:space="preserve">Pourquoi</w:t>
            </w:r>
          </w:p>
        </w:tc>
      </w:tr>
      <w:tr>
        <w:tc>
          <w:tcPr>
            <w:tcW w:type="dxa" w:w="3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Écrire / organiser le code, Git</w:t>
            </w:r>
          </w:p>
        </w:tc>
        <w:tc>
          <w:tcPr>
            <w:tcW w:type="dxa" w:w="28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PC local</w:t>
            </w:r>
          </w:p>
        </w:tc>
        <w:tc>
          <w:tcPr>
            <w:tcW w:type="dxa" w:w="2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Rapide, sans limite de temps</w:t>
            </w:r>
          </w:p>
        </w:tc>
      </w:tr>
      <w:tr>
        <w:tc>
          <w:tcPr>
            <w:tcW w:type="dxa" w:w="3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Exploration, tests sur petits échantillons</w:t>
            </w:r>
          </w:p>
        </w:tc>
        <w:tc>
          <w:tcPr>
            <w:tcW w:type="dxa" w:w="28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PC local</w:t>
            </w:r>
          </w:p>
        </w:tc>
        <w:tc>
          <w:tcPr>
            <w:tcW w:type="dxa" w:w="2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Léger, confortable</w:t>
            </w:r>
          </w:p>
        </w:tc>
      </w:tr>
      <w:tr>
        <w:tc>
          <w:tcPr>
            <w:tcW w:type="dxa" w:w="3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Pipeline Spark sur vraies données</w:t>
            </w:r>
          </w:p>
        </w:tc>
        <w:tc>
          <w:tcPr>
            <w:tcW w:type="dxa" w:w="28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Kaggle Notebook</w:t>
            </w:r>
          </w:p>
        </w:tc>
        <w:tc>
          <w:tcPr>
            <w:tcW w:type="dxa" w:w="2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Puissance sans saturer le PC</w:t>
            </w:r>
          </w:p>
        </w:tc>
      </w:tr>
      <w:tr>
        <w:tc>
          <w:tcPr>
            <w:tcW w:type="dxa" w:w="3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Entraîner les modèles (deep learning)</w:t>
            </w:r>
          </w:p>
        </w:tc>
        <w:tc>
          <w:tcPr>
            <w:tcW w:type="dxa" w:w="28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Kaggle Notebook (GPU)</w:t>
            </w:r>
          </w:p>
        </w:tc>
        <w:tc>
          <w:tcPr>
            <w:tcW w:type="dxa" w:w="2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GPU gratuit et fiable</w:t>
            </w:r>
          </w:p>
        </w:tc>
      </w:tr>
      <w:tr>
        <w:tc>
          <w:tcPr>
            <w:tcW w:type="dxa" w:w="36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Secours si quota Kaggle épuisé</w:t>
            </w:r>
          </w:p>
        </w:tc>
        <w:tc>
          <w:tcPr>
            <w:tcW w:type="dxa" w:w="2800"/>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Google Colab</w:t>
            </w:r>
          </w:p>
        </w:tc>
        <w:tc>
          <w:tcPr>
            <w:tcW w:type="dxa" w:w="2626"/>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Dépannage ponctuel</w:t>
            </w:r>
          </w:p>
        </w:tc>
      </w:tr>
      <w:tr>
        <w:tc>
          <w:tcPr>
            <w:tcW w:type="dxa" w:w="36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Partager les jeux de données</w:t>
            </w:r>
          </w:p>
        </w:tc>
        <w:tc>
          <w:tcPr>
            <w:tcW w:type="dxa" w:w="2800"/>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Kaggle Dataset privé</w:t>
            </w:r>
          </w:p>
        </w:tc>
        <w:tc>
          <w:tcPr>
            <w:tcW w:type="dxa" w:w="2626"/>
            <w:shd w:fill="F5F8FC" w:val="clear"/>
            <w:tcMar>
              <w:top w:type="dxa" w:w="60"/>
              <w:left w:type="dxa" w:w="90"/>
              <w:bottom w:type="dxa" w:w="60"/>
              <w:right w:type="dxa" w:w="90"/>
            </w:tcMar>
          </w:tcPr>
          <w:p>
            <w:pPr>
              <w:spacing w:after="20" w:line="262"/>
            </w:pPr>
            <w:r>
              <w:rPr>
                <w:rFonts w:ascii="Calibri" w:cs="Calibri" w:eastAsia="Calibri" w:hAnsi="Calibri"/>
                <w:color w:val="222222"/>
                <w:sz w:val="19"/>
                <w:szCs w:val="19"/>
              </w:rPr>
              <w:t xml:space="preserve">Éviter de mettre les données dans Git</w:t>
            </w:r>
          </w:p>
        </w:tc>
      </w:tr>
    </w:tbl>
    <w:p>
      <w:pPr>
        <w:pStyle w:val="Heading1"/>
        <w:spacing w:after="140" w:before="320"/>
      </w:pPr>
      <w:r>
        <w:rPr>
          <w:rFonts w:ascii="Calibri" w:cs="Calibri" w:eastAsia="Calibri" w:hAnsi="Calibri"/>
          <w:b/>
          <w:bCs/>
          <w:color w:val="1F3864"/>
          <w:sz w:val="30"/>
          <w:szCs w:val="30"/>
        </w:rPr>
        <w:t xml:space="preserve">11. Liens nécessaires</w:t>
      </w:r>
    </w:p>
    <w:p>
      <w:pPr>
        <w:pStyle w:val="Heading3"/>
        <w:spacing w:after="70" w:before="160"/>
      </w:pPr>
      <w:r>
        <w:rPr>
          <w:rFonts w:ascii="Calibri" w:cs="Calibri" w:eastAsia="Calibri" w:hAnsi="Calibri"/>
          <w:b/>
          <w:bCs/>
          <w:color w:val="2E5496"/>
          <w:sz w:val="22"/>
          <w:szCs w:val="22"/>
        </w:rPr>
        <w:t xml:space="preserve">Données</w:t>
      </w:r>
    </w:p>
    <w:p>
      <w:pPr>
        <w:pStyle w:val="ListParagraph"/>
        <w:numPr>
          <w:ilvl w:val="0"/>
          <w:numId w:val="1"/>
        </w:numPr>
        <w:spacing w:after="60" w:line="272"/>
      </w:pPr>
      <w:r>
        <w:rPr>
          <w:rFonts w:ascii="Calibri" w:cs="Calibri" w:eastAsia="Calibri" w:hAnsi="Calibri"/>
          <w:b/>
          <w:bCs/>
          <w:color w:val="222222"/>
          <w:sz w:val="21"/>
          <w:szCs w:val="21"/>
        </w:rPr>
        <w:t xml:space="preserve">Kaggle — OASIS (démarrage immédiat) : </w:t>
      </w:r>
      <w:hyperlink w:history="1" r:id="rIdssteqnp79inkjmxunyv1u">
        <w:r>
          <w:rPr>
            <w:rStyle w:val="Hyperlink"/>
            <w:rFonts w:ascii="Calibri" w:cs="Calibri" w:eastAsia="Calibri" w:hAnsi="Calibri"/>
            <w:sz w:val="21"/>
            <w:szCs w:val="21"/>
          </w:rPr>
          <w:t xml:space="preserve">https://www.kaggle.com/datasets/jboysen/mri-and-alzheimers</w:t>
        </w:r>
      </w:hyperlink>
    </w:p>
    <w:p>
      <w:pPr>
        <w:pStyle w:val="ListParagraph"/>
        <w:numPr>
          <w:ilvl w:val="0"/>
          <w:numId w:val="1"/>
        </w:numPr>
        <w:spacing w:after="60" w:line="272"/>
      </w:pPr>
      <w:r>
        <w:rPr>
          <w:rFonts w:ascii="Calibri" w:cs="Calibri" w:eastAsia="Calibri" w:hAnsi="Calibri"/>
          <w:b/>
          <w:bCs/>
          <w:color w:val="222222"/>
          <w:sz w:val="21"/>
          <w:szCs w:val="21"/>
        </w:rPr>
        <w:t xml:space="preserve">OASIS — site officiel : </w:t>
      </w:r>
      <w:hyperlink w:history="1" r:id="rIdxyxzq3wi6unsikviifjym">
        <w:r>
          <w:rPr>
            <w:rStyle w:val="Hyperlink"/>
            <w:rFonts w:ascii="Calibri" w:cs="Calibri" w:eastAsia="Calibri" w:hAnsi="Calibri"/>
            <w:sz w:val="21"/>
            <w:szCs w:val="21"/>
          </w:rPr>
          <w:t xml:space="preserve">https://www.oasis-brains.org/</w:t>
        </w:r>
      </w:hyperlink>
    </w:p>
    <w:p>
      <w:pPr>
        <w:pStyle w:val="ListParagraph"/>
        <w:numPr>
          <w:ilvl w:val="0"/>
          <w:numId w:val="1"/>
        </w:numPr>
        <w:spacing w:after="60" w:line="272"/>
      </w:pPr>
      <w:r>
        <w:rPr>
          <w:rFonts w:ascii="Calibri" w:cs="Calibri" w:eastAsia="Calibri" w:hAnsi="Calibri"/>
          <w:b/>
          <w:bCs/>
          <w:color w:val="222222"/>
          <w:sz w:val="21"/>
          <w:szCs w:val="21"/>
        </w:rPr>
        <w:t xml:space="preserve">OASIS — demande d'accès : </w:t>
      </w:r>
      <w:hyperlink w:history="1" r:id="rIdpdv7s45nymsuekwypwy4x">
        <w:r>
          <w:rPr>
            <w:rStyle w:val="Hyperlink"/>
            <w:rFonts w:ascii="Calibri" w:cs="Calibri" w:eastAsia="Calibri" w:hAnsi="Calibri"/>
            <w:sz w:val="21"/>
            <w:szCs w:val="21"/>
          </w:rPr>
          <w:t xml:space="preserve">https://sites.wustl.edu/oasisbrains/request-access/</w:t>
        </w:r>
      </w:hyperlink>
    </w:p>
    <w:p>
      <w:pPr>
        <w:pStyle w:val="ListParagraph"/>
        <w:numPr>
          <w:ilvl w:val="0"/>
          <w:numId w:val="1"/>
        </w:numPr>
        <w:spacing w:after="60" w:line="272"/>
      </w:pPr>
      <w:r>
        <w:rPr>
          <w:rFonts w:ascii="Calibri" w:cs="Calibri" w:eastAsia="Calibri" w:hAnsi="Calibri"/>
          <w:b/>
          <w:bCs/>
          <w:color w:val="222222"/>
          <w:sz w:val="21"/>
          <w:szCs w:val="21"/>
        </w:rPr>
        <w:t xml:space="preserve">ADNI — données et accès : </w:t>
      </w:r>
      <w:hyperlink w:history="1" r:id="rIdrbljm17fjnqfuiusfo0ku">
        <w:r>
          <w:rPr>
            <w:rStyle w:val="Hyperlink"/>
            <w:rFonts w:ascii="Calibri" w:cs="Calibri" w:eastAsia="Calibri" w:hAnsi="Calibri"/>
            <w:sz w:val="21"/>
            <w:szCs w:val="21"/>
          </w:rPr>
          <w:t xml:space="preserve">https://adni.loni.usc.edu/data-samples/adni-data/</w:t>
        </w:r>
      </w:hyperlink>
    </w:p>
    <w:p>
      <w:pPr>
        <w:pStyle w:val="ListParagraph"/>
        <w:numPr>
          <w:ilvl w:val="0"/>
          <w:numId w:val="1"/>
        </w:numPr>
        <w:spacing w:after="60" w:line="272"/>
      </w:pPr>
      <w:r>
        <w:rPr>
          <w:rFonts w:ascii="Calibri" w:cs="Calibri" w:eastAsia="Calibri" w:hAnsi="Calibri"/>
          <w:b/>
          <w:bCs/>
          <w:color w:val="222222"/>
          <w:sz w:val="21"/>
          <w:szCs w:val="21"/>
        </w:rPr>
        <w:t xml:space="preserve">ADNI — formulaire LONI IDA : </w:t>
      </w:r>
      <w:hyperlink w:history="1" r:id="rIdnqu1m0adpo3lkigwjjhmh">
        <w:r>
          <w:rPr>
            <w:rStyle w:val="Hyperlink"/>
            <w:rFonts w:ascii="Calibri" w:cs="Calibri" w:eastAsia="Calibri" w:hAnsi="Calibri"/>
            <w:sz w:val="21"/>
            <w:szCs w:val="21"/>
          </w:rPr>
          <w:t xml:space="preserve">https://ida.loni.usc.edu/collaboration/access/appLicense.jsp</w:t>
        </w:r>
      </w:hyperlink>
    </w:p>
    <w:p>
      <w:pPr>
        <w:pStyle w:val="Heading3"/>
        <w:spacing w:after="70" w:before="160"/>
      </w:pPr>
      <w:r>
        <w:rPr>
          <w:rFonts w:ascii="Calibri" w:cs="Calibri" w:eastAsia="Calibri" w:hAnsi="Calibri"/>
          <w:b/>
          <w:bCs/>
          <w:color w:val="2E5496"/>
          <w:sz w:val="22"/>
          <w:szCs w:val="22"/>
        </w:rPr>
        <w:t xml:space="preserve">Outils &amp; documentation</w:t>
      </w:r>
    </w:p>
    <w:p>
      <w:pPr>
        <w:pStyle w:val="ListParagraph"/>
        <w:numPr>
          <w:ilvl w:val="0"/>
          <w:numId w:val="1"/>
        </w:numPr>
        <w:spacing w:after="60" w:line="272"/>
      </w:pPr>
      <w:r>
        <w:rPr>
          <w:rFonts w:ascii="Calibri" w:cs="Calibri" w:eastAsia="Calibri" w:hAnsi="Calibri"/>
          <w:b/>
          <w:bCs/>
          <w:color w:val="222222"/>
          <w:sz w:val="21"/>
          <w:szCs w:val="21"/>
        </w:rPr>
        <w:t xml:space="preserve">GitHub : </w:t>
      </w:r>
      <w:hyperlink w:history="1" r:id="rIdkxebsnded8qsccqagh3-m">
        <w:r>
          <w:rPr>
            <w:rStyle w:val="Hyperlink"/>
            <w:rFonts w:ascii="Calibri" w:cs="Calibri" w:eastAsia="Calibri" w:hAnsi="Calibri"/>
            <w:sz w:val="21"/>
            <w:szCs w:val="21"/>
          </w:rPr>
          <w:t xml:space="preserve">https://github.com/</w:t>
        </w:r>
      </w:hyperlink>
    </w:p>
    <w:p>
      <w:pPr>
        <w:pStyle w:val="ListParagraph"/>
        <w:numPr>
          <w:ilvl w:val="0"/>
          <w:numId w:val="1"/>
        </w:numPr>
        <w:spacing w:after="60" w:line="272"/>
      </w:pPr>
      <w:r>
        <w:rPr>
          <w:rFonts w:ascii="Calibri" w:cs="Calibri" w:eastAsia="Calibri" w:hAnsi="Calibri"/>
          <w:b/>
          <w:bCs/>
          <w:color w:val="222222"/>
          <w:sz w:val="21"/>
          <w:szCs w:val="21"/>
        </w:rPr>
        <w:t xml:space="preserve">Kaggle : </w:t>
      </w:r>
      <w:hyperlink w:history="1" r:id="rIdir6vhzppxn57akwkrajsc">
        <w:r>
          <w:rPr>
            <w:rStyle w:val="Hyperlink"/>
            <w:rFonts w:ascii="Calibri" w:cs="Calibri" w:eastAsia="Calibri" w:hAnsi="Calibri"/>
            <w:sz w:val="21"/>
            <w:szCs w:val="21"/>
          </w:rPr>
          <w:t xml:space="preserve">https://www.kaggle.com/</w:t>
        </w:r>
      </w:hyperlink>
    </w:p>
    <w:p>
      <w:pPr>
        <w:pStyle w:val="ListParagraph"/>
        <w:numPr>
          <w:ilvl w:val="0"/>
          <w:numId w:val="1"/>
        </w:numPr>
        <w:spacing w:after="60" w:line="272"/>
      </w:pPr>
      <w:r>
        <w:rPr>
          <w:rFonts w:ascii="Calibri" w:cs="Calibri" w:eastAsia="Calibri" w:hAnsi="Calibri"/>
          <w:b/>
          <w:bCs/>
          <w:color w:val="222222"/>
          <w:sz w:val="21"/>
          <w:szCs w:val="21"/>
        </w:rPr>
        <w:t xml:space="preserve">pandas : </w:t>
      </w:r>
      <w:hyperlink w:history="1" r:id="rIdn7s0lwfcmnw3xqdl2ei01">
        <w:r>
          <w:rPr>
            <w:rStyle w:val="Hyperlink"/>
            <w:rFonts w:ascii="Calibri" w:cs="Calibri" w:eastAsia="Calibri" w:hAnsi="Calibri"/>
            <w:sz w:val="21"/>
            <w:szCs w:val="21"/>
          </w:rPr>
          <w:t xml:space="preserve">https://pandas.pydata.org/docs/</w:t>
        </w:r>
      </w:hyperlink>
    </w:p>
    <w:p>
      <w:pPr>
        <w:pStyle w:val="ListParagraph"/>
        <w:numPr>
          <w:ilvl w:val="0"/>
          <w:numId w:val="1"/>
        </w:numPr>
        <w:spacing w:after="60" w:line="272"/>
      </w:pPr>
      <w:r>
        <w:rPr>
          <w:rFonts w:ascii="Calibri" w:cs="Calibri" w:eastAsia="Calibri" w:hAnsi="Calibri"/>
          <w:b/>
          <w:bCs/>
          <w:color w:val="222222"/>
          <w:sz w:val="21"/>
          <w:szCs w:val="21"/>
        </w:rPr>
        <w:t xml:space="preserve">Apache Spark / PySpark : </w:t>
      </w:r>
      <w:hyperlink w:history="1" r:id="rIdks0bu5vxnbkcsb6hghlk4">
        <w:r>
          <w:rPr>
            <w:rStyle w:val="Hyperlink"/>
            <w:rFonts w:ascii="Calibri" w:cs="Calibri" w:eastAsia="Calibri" w:hAnsi="Calibri"/>
            <w:sz w:val="21"/>
            <w:szCs w:val="21"/>
          </w:rPr>
          <w:t xml:space="preserve">https://spark.apache.org/docs/latest/api/python/</w:t>
        </w:r>
      </w:hyperlink>
    </w:p>
    <w:p>
      <w:pPr>
        <w:pStyle w:val="ListParagraph"/>
        <w:numPr>
          <w:ilvl w:val="0"/>
          <w:numId w:val="1"/>
        </w:numPr>
        <w:spacing w:after="60" w:line="272"/>
      </w:pPr>
      <w:r>
        <w:rPr>
          <w:rFonts w:ascii="Calibri" w:cs="Calibri" w:eastAsia="Calibri" w:hAnsi="Calibri"/>
          <w:b/>
          <w:bCs/>
          <w:color w:val="222222"/>
          <w:sz w:val="21"/>
          <w:szCs w:val="21"/>
        </w:rPr>
        <w:t xml:space="preserve">scikit-learn : </w:t>
      </w:r>
      <w:hyperlink w:history="1" r:id="rId_jvzx0hf_6e0m77ku2mzf">
        <w:r>
          <w:rPr>
            <w:rStyle w:val="Hyperlink"/>
            <w:rFonts w:ascii="Calibri" w:cs="Calibri" w:eastAsia="Calibri" w:hAnsi="Calibri"/>
            <w:sz w:val="21"/>
            <w:szCs w:val="21"/>
          </w:rPr>
          <w:t xml:space="preserve">https://scikit-learn.org/stable/</w:t>
        </w:r>
      </w:hyperlink>
    </w:p>
    <w:p>
      <w:pPr>
        <w:pStyle w:val="ListParagraph"/>
        <w:numPr>
          <w:ilvl w:val="0"/>
          <w:numId w:val="1"/>
        </w:numPr>
        <w:spacing w:after="60" w:line="272"/>
      </w:pPr>
      <w:r>
        <w:rPr>
          <w:rFonts w:ascii="Calibri" w:cs="Calibri" w:eastAsia="Calibri" w:hAnsi="Calibri"/>
          <w:b/>
          <w:bCs/>
          <w:color w:val="222222"/>
          <w:sz w:val="21"/>
          <w:szCs w:val="21"/>
        </w:rPr>
        <w:t xml:space="preserve">PyTorch : </w:t>
      </w:r>
      <w:hyperlink w:history="1" r:id="rIdaktmvyd5b5rk4ysvaatig">
        <w:r>
          <w:rPr>
            <w:rStyle w:val="Hyperlink"/>
            <w:rFonts w:ascii="Calibri" w:cs="Calibri" w:eastAsia="Calibri" w:hAnsi="Calibri"/>
            <w:sz w:val="21"/>
            <w:szCs w:val="21"/>
          </w:rPr>
          <w:t xml:space="preserve">https://pytorch.org/docs/stable/index.html</w:t>
        </w:r>
      </w:hyperlink>
    </w:p>
    <w:p>
      <w:pPr>
        <w:pStyle w:val="ListParagraph"/>
        <w:numPr>
          <w:ilvl w:val="0"/>
          <w:numId w:val="1"/>
        </w:numPr>
        <w:spacing w:after="60" w:line="272"/>
      </w:pPr>
      <w:r>
        <w:rPr>
          <w:rFonts w:ascii="Calibri" w:cs="Calibri" w:eastAsia="Calibri" w:hAnsi="Calibri"/>
          <w:b/>
          <w:bCs/>
          <w:color w:val="222222"/>
          <w:sz w:val="21"/>
          <w:szCs w:val="21"/>
        </w:rPr>
        <w:t xml:space="preserve">SHAP : </w:t>
      </w:r>
      <w:hyperlink w:history="1" r:id="rIdtjigkuxiyc2w_zfeirsf3">
        <w:r>
          <w:rPr>
            <w:rStyle w:val="Hyperlink"/>
            <w:rFonts w:ascii="Calibri" w:cs="Calibri" w:eastAsia="Calibri" w:hAnsi="Calibri"/>
            <w:sz w:val="21"/>
            <w:szCs w:val="21"/>
          </w:rPr>
          <w:t xml:space="preserve">https://shap.readthedocs.io/</w:t>
        </w:r>
      </w:hyperlink>
    </w:p>
    <w:p>
      <w:pPr>
        <w:pStyle w:val="ListParagraph"/>
        <w:numPr>
          <w:ilvl w:val="0"/>
          <w:numId w:val="1"/>
        </w:numPr>
        <w:spacing w:after="60" w:line="272"/>
      </w:pPr>
      <w:r>
        <w:rPr>
          <w:rFonts w:ascii="Calibri" w:cs="Calibri" w:eastAsia="Calibri" w:hAnsi="Calibri"/>
          <w:b/>
          <w:bCs/>
          <w:color w:val="222222"/>
          <w:sz w:val="21"/>
          <w:szCs w:val="21"/>
        </w:rPr>
        <w:t xml:space="preserve">Git — documentation : </w:t>
      </w:r>
      <w:hyperlink w:history="1" r:id="rId_lq_a8dbmthipkshrt96-">
        <w:r>
          <w:rPr>
            <w:rStyle w:val="Hyperlink"/>
            <w:rFonts w:ascii="Calibri" w:cs="Calibri" w:eastAsia="Calibri" w:hAnsi="Calibri"/>
            <w:sz w:val="21"/>
            <w:szCs w:val="21"/>
          </w:rPr>
          <w:t xml:space="preserve">https://git-scm.com/doc</w:t>
        </w:r>
      </w:hyperlink>
    </w:p>
    <w:p>
      <w:pPr>
        <w:spacing w:after="200"/>
      </w:pPr>
    </w:p>
    <w:p>
      <w:pPr>
        <w:pBdr>
          <w:top w:val="single" w:color="BFBFBF" w:sz="8" w:space="8"/>
        </w:pBdr>
        <w:spacing w:before="200"/>
        <w:jc w:val="center"/>
      </w:pPr>
      <w:r>
        <w:rPr>
          <w:rFonts w:ascii="Calibri" w:cs="Calibri" w:eastAsia="Calibri" w:hAnsi="Calibri"/>
          <w:i/>
          <w:iCs/>
          <w:color w:val="595959"/>
          <w:sz w:val="20"/>
          <w:szCs w:val="20"/>
        </w:rPr>
        <w:t xml:space="preserve">Répartition du binôme — à ajuster ensemble selon vos préférences.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6A6A6"/>
        <w:sz w:val="16"/>
        <w:szCs w:val="16"/>
      </w:rPr>
      <w:t xml:space="preserve">Nourchene Dridi · ING5-SDIAF-C · page </w:t>
    </w:r>
    <w:r>
      <w:rPr>
        <w:rFonts w:ascii="Calibri" w:cs="Calibri" w:eastAsia="Calibri" w:hAnsi="Calibri"/>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A6A6A6"/>
        <w:sz w:val="16"/>
        <w:szCs w:val="16"/>
      </w:rPr>
      <w:t xml:space="preserve">Alzheimer — Organisation du binôme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steqnp79inkjmxunyv1u" Type="http://schemas.openxmlformats.org/officeDocument/2006/relationships/hyperlink" Target="https://www.kaggle.com/datasets/jboysen/mri-and-alzheimers" TargetMode="External"/><Relationship Id="rIdxyxzq3wi6unsikviifjym" Type="http://schemas.openxmlformats.org/officeDocument/2006/relationships/hyperlink" Target="https://www.oasis-brains.org/" TargetMode="External"/><Relationship Id="rIdpdv7s45nymsuekwypwy4x" Type="http://schemas.openxmlformats.org/officeDocument/2006/relationships/hyperlink" Target="https://sites.wustl.edu/oasisbrains/request-access/" TargetMode="External"/><Relationship Id="rIdrbljm17fjnqfuiusfo0ku" Type="http://schemas.openxmlformats.org/officeDocument/2006/relationships/hyperlink" Target="https://adni.loni.usc.edu/data-samples/adni-data/" TargetMode="External"/><Relationship Id="rIdnqu1m0adpo3lkigwjjhmh" Type="http://schemas.openxmlformats.org/officeDocument/2006/relationships/hyperlink" Target="https://ida.loni.usc.edu/collaboration/access/appLicense.jsp" TargetMode="External"/><Relationship Id="rIdkxebsnded8qsccqagh3-m" Type="http://schemas.openxmlformats.org/officeDocument/2006/relationships/hyperlink" Target="https://github.com/" TargetMode="External"/><Relationship Id="rIdir6vhzppxn57akwkrajsc" Type="http://schemas.openxmlformats.org/officeDocument/2006/relationships/hyperlink" Target="https://www.kaggle.com/" TargetMode="External"/><Relationship Id="rIdn7s0lwfcmnw3xqdl2ei01" Type="http://schemas.openxmlformats.org/officeDocument/2006/relationships/hyperlink" Target="https://pandas.pydata.org/docs/" TargetMode="External"/><Relationship Id="rIdks0bu5vxnbkcsb6hghlk4" Type="http://schemas.openxmlformats.org/officeDocument/2006/relationships/hyperlink" Target="https://spark.apache.org/docs/latest/api/python/" TargetMode="External"/><Relationship Id="rId_jvzx0hf_6e0m77ku2mzf" Type="http://schemas.openxmlformats.org/officeDocument/2006/relationships/hyperlink" Target="https://scikit-learn.org/stable/" TargetMode="External"/><Relationship Id="rIdaktmvyd5b5rk4ysvaatig" Type="http://schemas.openxmlformats.org/officeDocument/2006/relationships/hyperlink" Target="https://pytorch.org/docs/stable/index.html" TargetMode="External"/><Relationship Id="rIdtjigkuxiyc2w_zfeirsf3" Type="http://schemas.openxmlformats.org/officeDocument/2006/relationships/hyperlink" Target="https://shap.readthedocs.io/" TargetMode="External"/><Relationship Id="rId_lq_a8dbmthipkshrt96-" Type="http://schemas.openxmlformats.org/officeDocument/2006/relationships/hyperlink" Target="https://git-scm.com/doc"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 du binôme — Projet Alzheimer Big Data &amp; Deep Learning</dc:title>
  <dc:creator>Nourchene Dridi</dc:creator>
  <cp:lastModifiedBy>Un-named</cp:lastModifiedBy>
  <cp:revision>1</cp:revision>
  <dcterms:created xsi:type="dcterms:W3CDTF">2026-09-23T17:05:15.231Z</dcterms:created>
  <dcterms:modified xsi:type="dcterms:W3CDTF">2026-09-23T17:05:15.240Z</dcterms:modified>
</cp:coreProperties>
</file>

<file path=docProps/custom.xml><?xml version="1.0" encoding="utf-8"?>
<Properties xmlns="http://schemas.openxmlformats.org/officeDocument/2006/custom-properties" xmlns:vt="http://schemas.openxmlformats.org/officeDocument/2006/docPropsVTypes"/>
</file>