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328" w:rsidRPr="005D2AAF" w:rsidRDefault="00422328" w:rsidP="005D2AAF">
      <w:pPr>
        <w:pStyle w:val="ListParagraph"/>
        <w:spacing w:after="0"/>
        <w:ind w:left="0"/>
        <w:jc w:val="center"/>
        <w:rPr>
          <w:rFonts w:asciiTheme="majorBidi" w:hAnsiTheme="majorBidi" w:cstheme="majorBidi"/>
          <w:b/>
          <w:bCs/>
          <w:color w:val="000000"/>
          <w:sz w:val="28"/>
          <w:szCs w:val="28"/>
        </w:rPr>
      </w:pPr>
      <w:r w:rsidRPr="005D2AAF">
        <w:rPr>
          <w:rFonts w:asciiTheme="majorBidi" w:hAnsiTheme="majorBidi" w:cstheme="majorBidi"/>
          <w:sz w:val="28"/>
          <w:szCs w:val="28"/>
        </w:rPr>
        <w:t>Survey and seasonal abundance of mealybug species and its associated predators and parasitoid on guava trees in Egypt.</w:t>
      </w:r>
    </w:p>
    <w:p w:rsidR="00422328" w:rsidRPr="005D2AAF" w:rsidRDefault="00422328" w:rsidP="005D2AAF">
      <w:pPr>
        <w:pStyle w:val="BodyTextIndent"/>
        <w:spacing w:line="276" w:lineRule="auto"/>
        <w:ind w:left="0"/>
        <w:jc w:val="lowKashida"/>
        <w:rPr>
          <w:rFonts w:asciiTheme="majorBidi" w:hAnsiTheme="majorBidi" w:cstheme="majorBidi"/>
          <w:sz w:val="28"/>
        </w:rPr>
      </w:pPr>
      <w:r w:rsidRPr="005D2AAF">
        <w:rPr>
          <w:rFonts w:asciiTheme="majorBidi" w:hAnsiTheme="majorBidi" w:cstheme="majorBidi"/>
          <w:sz w:val="28"/>
        </w:rPr>
        <w:t>A survey and seasonal abundance of mealybugs and their associated parasitoid and predator species were conducted on guava trees in Giza Governorate, Egypt for two years, (January 2014 to December 2015). Fifteen plants were randomly chosen and five leaves were biweekly collected, each from the four cardinal directions and the middle of the inspected trees.</w:t>
      </w:r>
    </w:p>
    <w:p w:rsidR="00422328" w:rsidRPr="005D2AAF" w:rsidRDefault="00422328" w:rsidP="005D2AAF">
      <w:pPr>
        <w:pStyle w:val="BodyTextIndent"/>
        <w:spacing w:line="276" w:lineRule="auto"/>
        <w:ind w:left="0"/>
        <w:jc w:val="lowKashida"/>
        <w:rPr>
          <w:rFonts w:asciiTheme="majorBidi" w:hAnsiTheme="majorBidi" w:cstheme="majorBidi"/>
          <w:sz w:val="28"/>
        </w:rPr>
      </w:pPr>
      <w:r w:rsidRPr="005D2AAF">
        <w:rPr>
          <w:rFonts w:asciiTheme="majorBidi" w:hAnsiTheme="majorBidi" w:cstheme="majorBidi"/>
          <w:sz w:val="28"/>
        </w:rPr>
        <w:t xml:space="preserve"> </w:t>
      </w:r>
      <w:r w:rsidRPr="005D2AAF">
        <w:rPr>
          <w:rFonts w:asciiTheme="majorBidi" w:hAnsiTheme="majorBidi" w:cstheme="majorBidi"/>
          <w:b/>
          <w:bCs/>
          <w:sz w:val="28"/>
        </w:rPr>
        <w:t xml:space="preserve">Four </w:t>
      </w:r>
      <w:r w:rsidRPr="005D2AAF">
        <w:rPr>
          <w:rFonts w:asciiTheme="majorBidi" w:hAnsiTheme="majorBidi" w:cstheme="majorBidi"/>
          <w:b/>
          <w:bCs/>
          <w:sz w:val="28"/>
        </w:rPr>
        <w:t>pest mealybug species;</w:t>
      </w:r>
      <w:r w:rsidRPr="005D2AAF">
        <w:rPr>
          <w:rFonts w:asciiTheme="majorBidi" w:hAnsiTheme="majorBidi" w:cstheme="majorBidi"/>
          <w:sz w:val="28"/>
        </w:rPr>
        <w:t xml:space="preserve"> </w:t>
      </w:r>
      <w:r w:rsidRPr="005D2AAF">
        <w:rPr>
          <w:rFonts w:asciiTheme="majorBidi" w:hAnsiTheme="majorBidi" w:cstheme="majorBidi"/>
          <w:i/>
          <w:iCs/>
          <w:sz w:val="28"/>
        </w:rPr>
        <w:t>Ferrisia virgata</w:t>
      </w:r>
      <w:r w:rsidRPr="005D2AAF">
        <w:rPr>
          <w:rFonts w:asciiTheme="majorBidi" w:hAnsiTheme="majorBidi" w:cstheme="majorBidi"/>
          <w:i/>
          <w:iCs/>
          <w:color w:val="000000"/>
          <w:sz w:val="28"/>
        </w:rPr>
        <w:t>,</w:t>
      </w:r>
      <w:r w:rsidRPr="005D2AAF">
        <w:rPr>
          <w:rFonts w:asciiTheme="majorBidi" w:hAnsiTheme="majorBidi" w:cstheme="majorBidi"/>
          <w:i/>
          <w:iCs/>
          <w:color w:val="000000"/>
          <w:sz w:val="28"/>
        </w:rPr>
        <w:t xml:space="preserve"> Icerya seychellarum</w:t>
      </w:r>
      <w:r w:rsidRPr="005D2AAF">
        <w:rPr>
          <w:rFonts w:asciiTheme="majorBidi" w:hAnsiTheme="majorBidi" w:cstheme="majorBidi"/>
          <w:i/>
          <w:iCs/>
          <w:color w:val="000000"/>
          <w:sz w:val="28"/>
        </w:rPr>
        <w:t>,</w:t>
      </w:r>
      <w:r w:rsidRPr="005D2AAF">
        <w:rPr>
          <w:rFonts w:asciiTheme="majorBidi" w:hAnsiTheme="majorBidi" w:cstheme="majorBidi"/>
          <w:i/>
          <w:iCs/>
          <w:color w:val="000000"/>
          <w:sz w:val="28"/>
        </w:rPr>
        <w:t xml:space="preserve"> Icerya purchasi</w:t>
      </w:r>
      <w:r w:rsidRPr="005D2AAF">
        <w:rPr>
          <w:rFonts w:asciiTheme="majorBidi" w:hAnsiTheme="majorBidi" w:cstheme="majorBidi"/>
          <w:sz w:val="28"/>
        </w:rPr>
        <w:t xml:space="preserve"> and </w:t>
      </w:r>
      <w:r w:rsidRPr="005D2AAF">
        <w:rPr>
          <w:rFonts w:asciiTheme="majorBidi" w:hAnsiTheme="majorBidi" w:cstheme="majorBidi"/>
          <w:i/>
          <w:iCs/>
          <w:color w:val="000000"/>
          <w:sz w:val="28"/>
        </w:rPr>
        <w:t>planococcus citri</w:t>
      </w:r>
      <w:r w:rsidRPr="005D2AAF">
        <w:rPr>
          <w:rFonts w:asciiTheme="majorBidi" w:hAnsiTheme="majorBidi" w:cstheme="majorBidi"/>
          <w:sz w:val="28"/>
        </w:rPr>
        <w:t>.</w:t>
      </w:r>
    </w:p>
    <w:p w:rsidR="00422328" w:rsidRPr="005D2AAF" w:rsidRDefault="00422328" w:rsidP="005D2AAF">
      <w:pPr>
        <w:pStyle w:val="BodyTextIndent"/>
        <w:spacing w:line="276" w:lineRule="auto"/>
        <w:ind w:left="0"/>
        <w:jc w:val="lowKashida"/>
        <w:rPr>
          <w:rFonts w:asciiTheme="majorBidi" w:hAnsiTheme="majorBidi" w:cstheme="majorBidi"/>
          <w:sz w:val="28"/>
        </w:rPr>
      </w:pPr>
      <w:r w:rsidRPr="005D2AAF">
        <w:rPr>
          <w:rFonts w:asciiTheme="majorBidi" w:hAnsiTheme="majorBidi" w:cstheme="majorBidi"/>
          <w:b/>
          <w:bCs/>
          <w:sz w:val="28"/>
        </w:rPr>
        <w:t>Six predator species;</w:t>
      </w:r>
      <w:r w:rsidRPr="005D2AAF">
        <w:rPr>
          <w:rFonts w:asciiTheme="majorBidi" w:hAnsiTheme="majorBidi" w:cstheme="majorBidi"/>
          <w:sz w:val="28"/>
        </w:rPr>
        <w:t xml:space="preserve"> </w:t>
      </w:r>
      <w:r w:rsidRPr="00422328">
        <w:rPr>
          <w:rFonts w:asciiTheme="majorBidi" w:hAnsiTheme="majorBidi" w:cstheme="majorBidi"/>
          <w:i/>
          <w:iCs/>
          <w:sz w:val="28"/>
        </w:rPr>
        <w:t>Scymnus syriacus</w:t>
      </w:r>
      <w:r w:rsidRPr="005D2AAF">
        <w:rPr>
          <w:rFonts w:asciiTheme="majorBidi" w:hAnsiTheme="majorBidi" w:cstheme="majorBidi"/>
          <w:sz w:val="28"/>
        </w:rPr>
        <w:t xml:space="preserve">, </w:t>
      </w:r>
      <w:r w:rsidRPr="00422328">
        <w:rPr>
          <w:rFonts w:asciiTheme="majorBidi" w:hAnsiTheme="majorBidi" w:cstheme="majorBidi"/>
          <w:i/>
          <w:iCs/>
          <w:sz w:val="28"/>
        </w:rPr>
        <w:t>Cydonia vicina</w:t>
      </w:r>
      <w:r w:rsidRPr="005D2AAF">
        <w:rPr>
          <w:rFonts w:asciiTheme="majorBidi" w:hAnsiTheme="majorBidi" w:cstheme="majorBidi"/>
          <w:i/>
          <w:iCs/>
          <w:sz w:val="28"/>
        </w:rPr>
        <w:t xml:space="preserve">, </w:t>
      </w:r>
      <w:r w:rsidRPr="00422328">
        <w:rPr>
          <w:rFonts w:asciiTheme="majorBidi" w:hAnsiTheme="majorBidi" w:cstheme="majorBidi"/>
          <w:i/>
          <w:iCs/>
          <w:sz w:val="28"/>
        </w:rPr>
        <w:t>Chrysoperla carnea</w:t>
      </w:r>
      <w:r w:rsidRPr="005D2AAF">
        <w:rPr>
          <w:rFonts w:asciiTheme="majorBidi" w:hAnsiTheme="majorBidi" w:cstheme="majorBidi"/>
          <w:sz w:val="28"/>
        </w:rPr>
        <w:t xml:space="preserve"> and </w:t>
      </w:r>
    </w:p>
    <w:p w:rsidR="00422328" w:rsidRPr="005D2AAF" w:rsidRDefault="00422328" w:rsidP="005D2AAF">
      <w:pPr>
        <w:pStyle w:val="BodyTextIndent"/>
        <w:spacing w:line="276" w:lineRule="auto"/>
        <w:ind w:left="0"/>
        <w:jc w:val="lowKashida"/>
        <w:rPr>
          <w:rFonts w:asciiTheme="majorBidi" w:hAnsiTheme="majorBidi" w:cstheme="majorBidi"/>
          <w:sz w:val="28"/>
        </w:rPr>
      </w:pPr>
      <w:r w:rsidRPr="00422328">
        <w:rPr>
          <w:rFonts w:asciiTheme="majorBidi" w:hAnsiTheme="majorBidi" w:cstheme="majorBidi"/>
          <w:i/>
          <w:iCs/>
          <w:color w:val="000000"/>
          <w:sz w:val="28"/>
        </w:rPr>
        <w:t>Rodalia</w:t>
      </w:r>
      <w:r w:rsidRPr="005D2AAF">
        <w:rPr>
          <w:rFonts w:asciiTheme="majorBidi" w:hAnsiTheme="majorBidi" w:cstheme="majorBidi"/>
          <w:sz w:val="28"/>
        </w:rPr>
        <w:t>.</w:t>
      </w:r>
    </w:p>
    <w:p w:rsidR="005D2AAF" w:rsidRPr="005D2AAF" w:rsidRDefault="005D2AAF" w:rsidP="005D2AAF">
      <w:pPr>
        <w:pStyle w:val="BodyTextIndent"/>
        <w:spacing w:line="276" w:lineRule="auto"/>
        <w:ind w:left="0"/>
        <w:jc w:val="lowKashida"/>
        <w:rPr>
          <w:rFonts w:asciiTheme="majorBidi" w:hAnsiTheme="majorBidi" w:cstheme="majorBidi"/>
          <w:sz w:val="28"/>
        </w:rPr>
      </w:pPr>
      <w:r w:rsidRPr="005D2AAF">
        <w:rPr>
          <w:rFonts w:asciiTheme="majorBidi" w:hAnsiTheme="majorBidi" w:cstheme="majorBidi"/>
          <w:sz w:val="28"/>
        </w:rPr>
        <w:t xml:space="preserve">Two </w:t>
      </w:r>
      <w:r w:rsidRPr="005D2AAF">
        <w:rPr>
          <w:rFonts w:asciiTheme="majorBidi" w:hAnsiTheme="majorBidi" w:cstheme="majorBidi"/>
          <w:color w:val="000000"/>
          <w:sz w:val="28"/>
        </w:rPr>
        <w:t>p</w:t>
      </w:r>
      <w:r w:rsidRPr="005D2AAF">
        <w:rPr>
          <w:rFonts w:asciiTheme="majorBidi" w:hAnsiTheme="majorBidi" w:cstheme="majorBidi"/>
          <w:color w:val="000000"/>
          <w:sz w:val="28"/>
        </w:rPr>
        <w:t>arasitoid</w:t>
      </w:r>
      <w:r w:rsidRPr="005D2AAF">
        <w:rPr>
          <w:rFonts w:asciiTheme="majorBidi" w:hAnsiTheme="majorBidi" w:cstheme="majorBidi"/>
          <w:color w:val="000000"/>
          <w:sz w:val="28"/>
        </w:rPr>
        <w:t>s</w:t>
      </w:r>
      <w:r w:rsidRPr="005D2AAF">
        <w:rPr>
          <w:rFonts w:asciiTheme="majorBidi" w:hAnsiTheme="majorBidi" w:cstheme="majorBidi"/>
          <w:color w:val="000000"/>
          <w:sz w:val="28"/>
        </w:rPr>
        <w:t xml:space="preserve"> attack predators</w:t>
      </w:r>
      <w:r w:rsidRPr="005D2AAF">
        <w:rPr>
          <w:rFonts w:asciiTheme="majorBidi" w:hAnsiTheme="majorBidi" w:cstheme="majorBidi"/>
          <w:sz w:val="28"/>
        </w:rPr>
        <w:t xml:space="preserve">; </w:t>
      </w:r>
      <w:r w:rsidRPr="005D2AAF">
        <w:rPr>
          <w:rFonts w:asciiTheme="majorBidi" w:hAnsiTheme="majorBidi" w:cstheme="majorBidi"/>
          <w:i/>
          <w:iCs/>
          <w:color w:val="000000"/>
          <w:sz w:val="28"/>
        </w:rPr>
        <w:t>Homalotylus vicinus</w:t>
      </w:r>
      <w:r w:rsidRPr="005D2AAF">
        <w:rPr>
          <w:rFonts w:asciiTheme="majorBidi" w:hAnsiTheme="majorBidi" w:cstheme="majorBidi"/>
          <w:sz w:val="28"/>
        </w:rPr>
        <w:t xml:space="preserve"> and </w:t>
      </w:r>
      <w:r w:rsidRPr="005D2AAF">
        <w:rPr>
          <w:rFonts w:asciiTheme="majorBidi" w:hAnsiTheme="majorBidi" w:cstheme="majorBidi"/>
          <w:i/>
          <w:iCs/>
          <w:color w:val="000000"/>
          <w:sz w:val="28"/>
        </w:rPr>
        <w:t>Homalotyloidea</w:t>
      </w:r>
      <w:r w:rsidRPr="005D2AAF">
        <w:rPr>
          <w:rFonts w:asciiTheme="majorBidi" w:hAnsiTheme="majorBidi" w:cstheme="majorBidi"/>
          <w:sz w:val="28"/>
        </w:rPr>
        <w:t xml:space="preserve">. </w:t>
      </w:r>
    </w:p>
    <w:p w:rsidR="00422328" w:rsidRPr="005D2AAF" w:rsidRDefault="005D2AAF" w:rsidP="005D2AAF">
      <w:pPr>
        <w:pStyle w:val="BodyTextIndent"/>
        <w:spacing w:line="276" w:lineRule="auto"/>
        <w:ind w:left="0"/>
        <w:jc w:val="lowKashida"/>
        <w:rPr>
          <w:rFonts w:asciiTheme="majorBidi" w:hAnsiTheme="majorBidi" w:cstheme="majorBidi"/>
          <w:sz w:val="28"/>
        </w:rPr>
      </w:pPr>
      <w:r w:rsidRPr="005D2AAF">
        <w:rPr>
          <w:rFonts w:asciiTheme="majorBidi" w:hAnsiTheme="majorBidi" w:cstheme="majorBidi"/>
          <w:b/>
          <w:bCs/>
          <w:sz w:val="28"/>
        </w:rPr>
        <w:t>Four</w:t>
      </w:r>
      <w:r w:rsidR="00422328" w:rsidRPr="005D2AAF">
        <w:rPr>
          <w:rFonts w:asciiTheme="majorBidi" w:hAnsiTheme="majorBidi" w:cstheme="majorBidi"/>
          <w:b/>
          <w:bCs/>
          <w:sz w:val="28"/>
        </w:rPr>
        <w:t xml:space="preserve"> primary parasitoid species</w:t>
      </w:r>
      <w:r w:rsidR="00422328" w:rsidRPr="005D2AAF">
        <w:rPr>
          <w:rFonts w:asciiTheme="majorBidi" w:hAnsiTheme="majorBidi" w:cstheme="majorBidi"/>
          <w:b/>
          <w:bCs/>
          <w:sz w:val="28"/>
        </w:rPr>
        <w:t xml:space="preserve">; </w:t>
      </w:r>
      <w:r w:rsidRPr="00422328">
        <w:rPr>
          <w:rFonts w:asciiTheme="majorBidi" w:hAnsiTheme="majorBidi" w:cstheme="majorBidi"/>
          <w:i/>
          <w:iCs/>
          <w:color w:val="000000"/>
          <w:sz w:val="28"/>
        </w:rPr>
        <w:t>Leptomastix</w:t>
      </w:r>
      <w:r w:rsidRPr="005D2AAF">
        <w:rPr>
          <w:rFonts w:asciiTheme="majorBidi" w:hAnsiTheme="majorBidi" w:cstheme="majorBidi"/>
          <w:i/>
          <w:iCs/>
          <w:color w:val="000000"/>
          <w:sz w:val="28"/>
        </w:rPr>
        <w:t xml:space="preserve">, </w:t>
      </w:r>
      <w:r w:rsidRPr="00422328">
        <w:rPr>
          <w:rFonts w:asciiTheme="majorBidi" w:hAnsiTheme="majorBidi" w:cstheme="majorBidi"/>
          <w:i/>
          <w:iCs/>
          <w:color w:val="000000"/>
          <w:sz w:val="28"/>
        </w:rPr>
        <w:t>Leptomastidae</w:t>
      </w:r>
      <w:r w:rsidRPr="005D2AAF">
        <w:rPr>
          <w:rFonts w:asciiTheme="majorBidi" w:hAnsiTheme="majorBidi" w:cstheme="majorBidi"/>
          <w:i/>
          <w:iCs/>
          <w:color w:val="000000"/>
          <w:sz w:val="28"/>
        </w:rPr>
        <w:t xml:space="preserve">, </w:t>
      </w:r>
      <w:r w:rsidRPr="00422328">
        <w:rPr>
          <w:rFonts w:asciiTheme="majorBidi" w:hAnsiTheme="majorBidi" w:cstheme="majorBidi"/>
          <w:i/>
          <w:iCs/>
          <w:color w:val="000000"/>
          <w:sz w:val="28"/>
        </w:rPr>
        <w:t>Gyranusoidea indica</w:t>
      </w:r>
      <w:r w:rsidRPr="005D2AAF">
        <w:rPr>
          <w:rFonts w:asciiTheme="majorBidi" w:hAnsiTheme="majorBidi" w:cstheme="majorBidi"/>
          <w:b/>
          <w:bCs/>
          <w:sz w:val="28"/>
        </w:rPr>
        <w:t xml:space="preserve"> </w:t>
      </w:r>
      <w:r w:rsidRPr="005D2AAF">
        <w:rPr>
          <w:rFonts w:asciiTheme="majorBidi" w:hAnsiTheme="majorBidi" w:cstheme="majorBidi"/>
          <w:sz w:val="28"/>
        </w:rPr>
        <w:t>and</w:t>
      </w:r>
      <w:r w:rsidRPr="005D2AAF">
        <w:rPr>
          <w:rFonts w:asciiTheme="majorBidi" w:hAnsiTheme="majorBidi" w:cstheme="majorBidi"/>
          <w:b/>
          <w:bCs/>
          <w:sz w:val="28"/>
        </w:rPr>
        <w:t xml:space="preserve"> </w:t>
      </w:r>
      <w:r w:rsidRPr="00422328">
        <w:rPr>
          <w:rFonts w:asciiTheme="majorBidi" w:hAnsiTheme="majorBidi" w:cstheme="majorBidi"/>
          <w:i/>
          <w:iCs/>
          <w:color w:val="000000"/>
          <w:sz w:val="28"/>
        </w:rPr>
        <w:t>Aenasius</w:t>
      </w:r>
      <w:r w:rsidRPr="005D2AAF">
        <w:rPr>
          <w:rFonts w:asciiTheme="majorBidi" w:hAnsiTheme="majorBidi" w:cstheme="majorBidi"/>
          <w:sz w:val="28"/>
        </w:rPr>
        <w:t>.</w:t>
      </w:r>
    </w:p>
    <w:p w:rsidR="005D2AAF" w:rsidRPr="005D2AAF" w:rsidRDefault="005D2AAF" w:rsidP="005D2AAF">
      <w:pPr>
        <w:pStyle w:val="BodyTextIndent"/>
        <w:spacing w:line="276" w:lineRule="auto"/>
        <w:ind w:left="0"/>
        <w:jc w:val="lowKashida"/>
        <w:rPr>
          <w:rFonts w:asciiTheme="majorBidi" w:hAnsiTheme="majorBidi" w:cstheme="majorBidi"/>
          <w:sz w:val="28"/>
        </w:rPr>
      </w:pPr>
      <w:r w:rsidRPr="005D2AAF">
        <w:rPr>
          <w:rFonts w:asciiTheme="majorBidi" w:hAnsiTheme="majorBidi" w:cstheme="majorBidi"/>
          <w:b/>
          <w:bCs/>
          <w:sz w:val="28"/>
        </w:rPr>
        <w:t>One hyper parasitoid</w:t>
      </w:r>
      <w:r w:rsidRPr="005D2AAF">
        <w:rPr>
          <w:rFonts w:asciiTheme="majorBidi" w:hAnsiTheme="majorBidi" w:cstheme="majorBidi"/>
          <w:sz w:val="28"/>
        </w:rPr>
        <w:t xml:space="preserve">; </w:t>
      </w:r>
      <w:r w:rsidRPr="005D2AAF">
        <w:rPr>
          <w:rFonts w:asciiTheme="majorBidi" w:hAnsiTheme="majorBidi" w:cstheme="majorBidi"/>
          <w:i/>
          <w:iCs/>
          <w:color w:val="000000"/>
          <w:sz w:val="28"/>
        </w:rPr>
        <w:t>Chartocerus subaeneus</w:t>
      </w:r>
      <w:r w:rsidRPr="005D2AAF">
        <w:rPr>
          <w:rFonts w:asciiTheme="majorBidi" w:hAnsiTheme="majorBidi" w:cstheme="majorBidi"/>
          <w:sz w:val="28"/>
        </w:rPr>
        <w:t>.</w:t>
      </w:r>
      <w:r>
        <w:rPr>
          <w:rFonts w:asciiTheme="majorBidi" w:hAnsiTheme="majorBidi" w:cstheme="majorBidi"/>
          <w:sz w:val="28"/>
        </w:rPr>
        <w:t xml:space="preserve"> w</w:t>
      </w:r>
      <w:bookmarkStart w:id="0" w:name="_GoBack"/>
      <w:bookmarkEnd w:id="0"/>
      <w:r>
        <w:rPr>
          <w:rFonts w:asciiTheme="majorBidi" w:hAnsiTheme="majorBidi" w:cstheme="majorBidi"/>
          <w:sz w:val="28"/>
        </w:rPr>
        <w:t>ere recorded.</w:t>
      </w:r>
    </w:p>
    <w:p w:rsidR="00422328" w:rsidRPr="00422328" w:rsidRDefault="00422328" w:rsidP="005D2AAF">
      <w:pPr>
        <w:pStyle w:val="BodyTextIndent"/>
        <w:spacing w:line="276" w:lineRule="auto"/>
        <w:ind w:left="0"/>
        <w:jc w:val="lowKashida"/>
        <w:rPr>
          <w:sz w:val="28"/>
        </w:rPr>
      </w:pPr>
      <w:r w:rsidRPr="005D2AAF">
        <w:rPr>
          <w:rFonts w:asciiTheme="majorBidi" w:hAnsiTheme="majorBidi" w:cstheme="majorBidi"/>
          <w:sz w:val="28"/>
        </w:rPr>
        <w:t xml:space="preserve">The most dominant insect species were; the mealybug </w:t>
      </w:r>
      <w:r w:rsidRPr="005D2AAF">
        <w:rPr>
          <w:rFonts w:asciiTheme="majorBidi" w:hAnsiTheme="majorBidi" w:cstheme="majorBidi"/>
          <w:i/>
          <w:iCs/>
          <w:sz w:val="28"/>
        </w:rPr>
        <w:t>Ferrisia virgata</w:t>
      </w:r>
      <w:r w:rsidRPr="005D2AAF">
        <w:rPr>
          <w:rFonts w:asciiTheme="majorBidi" w:hAnsiTheme="majorBidi" w:cstheme="majorBidi"/>
          <w:sz w:val="28"/>
        </w:rPr>
        <w:t xml:space="preserve"> (Ckll.), the predator </w:t>
      </w:r>
      <w:r w:rsidRPr="005D2AAF">
        <w:rPr>
          <w:rFonts w:asciiTheme="majorBidi" w:hAnsiTheme="majorBidi" w:cstheme="majorBidi"/>
          <w:i/>
          <w:iCs/>
          <w:sz w:val="28"/>
        </w:rPr>
        <w:t>Scymnus syriacus</w:t>
      </w:r>
      <w:r w:rsidRPr="005D2AAF">
        <w:rPr>
          <w:rFonts w:asciiTheme="majorBidi" w:hAnsiTheme="majorBidi" w:cstheme="majorBidi"/>
          <w:sz w:val="28"/>
        </w:rPr>
        <w:t xml:space="preserve"> (Mars.), the parasitoid that attacked coccinellids </w:t>
      </w:r>
      <w:r w:rsidRPr="005D2AAF">
        <w:rPr>
          <w:rFonts w:asciiTheme="majorBidi" w:hAnsiTheme="majorBidi" w:cstheme="majorBidi"/>
          <w:i/>
          <w:iCs/>
          <w:sz w:val="28"/>
        </w:rPr>
        <w:t>Homalotylus vicinus</w:t>
      </w:r>
      <w:r w:rsidRPr="005D2AAF">
        <w:rPr>
          <w:rFonts w:asciiTheme="majorBidi" w:hAnsiTheme="majorBidi" w:cstheme="majorBidi"/>
          <w:sz w:val="28"/>
        </w:rPr>
        <w:t xml:space="preserve"> Silvestri, the primary parasitoid of mealybugs, </w:t>
      </w:r>
      <w:r w:rsidRPr="005D2AAF">
        <w:rPr>
          <w:rFonts w:asciiTheme="majorBidi" w:hAnsiTheme="majorBidi" w:cstheme="majorBidi"/>
          <w:i/>
          <w:iCs/>
          <w:sz w:val="28"/>
        </w:rPr>
        <w:t>Gyranusoidea indica</w:t>
      </w:r>
      <w:r w:rsidRPr="005D2AAF">
        <w:rPr>
          <w:rFonts w:asciiTheme="majorBidi" w:hAnsiTheme="majorBidi" w:cstheme="majorBidi"/>
          <w:sz w:val="28"/>
        </w:rPr>
        <w:t xml:space="preserve"> Shafee, Alam and Agarwal in 2014, </w:t>
      </w:r>
      <w:r w:rsidRPr="005D2AAF">
        <w:rPr>
          <w:rFonts w:asciiTheme="majorBidi" w:hAnsiTheme="majorBidi" w:cstheme="majorBidi"/>
          <w:i/>
          <w:iCs/>
          <w:sz w:val="28"/>
        </w:rPr>
        <w:t>Leptomastix dactylopii</w:t>
      </w:r>
      <w:r w:rsidRPr="005D2AAF">
        <w:rPr>
          <w:rFonts w:asciiTheme="majorBidi" w:hAnsiTheme="majorBidi" w:cstheme="majorBidi"/>
          <w:sz w:val="28"/>
        </w:rPr>
        <w:t xml:space="preserve"> Howard in 2015, and the hyperparasitoid, </w:t>
      </w:r>
      <w:r w:rsidRPr="005D2AAF">
        <w:rPr>
          <w:rFonts w:asciiTheme="majorBidi" w:hAnsiTheme="majorBidi" w:cstheme="majorBidi"/>
          <w:i/>
          <w:iCs/>
          <w:sz w:val="28"/>
        </w:rPr>
        <w:t>Chartocerus subaeneus</w:t>
      </w:r>
      <w:r w:rsidRPr="005D2AAF">
        <w:rPr>
          <w:rFonts w:asciiTheme="majorBidi" w:hAnsiTheme="majorBidi" w:cstheme="majorBidi"/>
          <w:sz w:val="28"/>
        </w:rPr>
        <w:t xml:space="preserve"> (Foerester). </w:t>
      </w:r>
      <w:r w:rsidRPr="005D2AAF">
        <w:rPr>
          <w:rFonts w:asciiTheme="majorBidi" w:hAnsiTheme="majorBidi" w:cstheme="majorBidi"/>
          <w:i/>
          <w:iCs/>
          <w:sz w:val="28"/>
        </w:rPr>
        <w:t>F. virgata</w:t>
      </w:r>
      <w:r w:rsidRPr="005D2AAF">
        <w:rPr>
          <w:rFonts w:asciiTheme="majorBidi" w:hAnsiTheme="majorBidi" w:cstheme="majorBidi"/>
          <w:sz w:val="28"/>
        </w:rPr>
        <w:t xml:space="preserve"> is the first record on guava trees in Egypt and the primary parasitoid Aenasius sp. is recorded for the first time in the Egyptian fauna. The present study revealed that the surveyed natural enemies played a weak role </w:t>
      </w:r>
      <w:r w:rsidRPr="005D2AAF">
        <w:rPr>
          <w:rFonts w:asciiTheme="majorBidi" w:hAnsiTheme="majorBidi" w:cstheme="majorBidi"/>
          <w:sz w:val="28"/>
        </w:rPr>
        <w:t xml:space="preserve">in controlling the mealybugs attacking guava trees, due to the effect of </w:t>
      </w:r>
      <w:r w:rsidRPr="005D2AAF">
        <w:rPr>
          <w:rFonts w:asciiTheme="majorBidi" w:hAnsiTheme="majorBidi" w:cstheme="majorBidi"/>
          <w:sz w:val="28"/>
        </w:rPr>
        <w:t xml:space="preserve">the parasitoids attacking predators and the hyperparasitoids. It is suggested that the </w:t>
      </w:r>
      <w:r w:rsidRPr="005D2AAF">
        <w:rPr>
          <w:rFonts w:asciiTheme="majorBidi" w:hAnsiTheme="majorBidi" w:cstheme="majorBidi"/>
          <w:sz w:val="28"/>
        </w:rPr>
        <w:t xml:space="preserve">role played by these  bioagents could be enhanced by mass rearing and releasing of the predator </w:t>
      </w:r>
      <w:r w:rsidRPr="005D2AAF">
        <w:rPr>
          <w:rFonts w:asciiTheme="majorBidi" w:hAnsiTheme="majorBidi" w:cstheme="majorBidi"/>
          <w:i/>
          <w:iCs/>
          <w:sz w:val="28"/>
        </w:rPr>
        <w:t>S. syriacus</w:t>
      </w:r>
      <w:r w:rsidRPr="005D2AAF">
        <w:rPr>
          <w:rFonts w:asciiTheme="majorBidi" w:hAnsiTheme="majorBidi" w:cstheme="majorBidi"/>
          <w:sz w:val="28"/>
        </w:rPr>
        <w:t xml:space="preserve"> and </w:t>
      </w:r>
      <w:r w:rsidRPr="005D2AAF">
        <w:rPr>
          <w:rFonts w:asciiTheme="majorBidi" w:hAnsiTheme="majorBidi" w:cstheme="majorBidi"/>
          <w:sz w:val="28"/>
        </w:rPr>
        <w:t xml:space="preserve"> </w:t>
      </w:r>
      <w:r w:rsidRPr="005D2AAF">
        <w:rPr>
          <w:rFonts w:asciiTheme="majorBidi" w:hAnsiTheme="majorBidi" w:cstheme="majorBidi"/>
          <w:sz w:val="28"/>
        </w:rPr>
        <w:t>the</w:t>
      </w:r>
      <w:r w:rsidRPr="005D2AAF">
        <w:rPr>
          <w:rFonts w:asciiTheme="majorBidi" w:hAnsiTheme="majorBidi" w:cstheme="majorBidi"/>
          <w:sz w:val="28"/>
        </w:rPr>
        <w:t xml:space="preserve"> </w:t>
      </w:r>
      <w:r w:rsidRPr="005D2AAF">
        <w:rPr>
          <w:rFonts w:asciiTheme="majorBidi" w:hAnsiTheme="majorBidi" w:cstheme="majorBidi"/>
          <w:sz w:val="28"/>
        </w:rPr>
        <w:t xml:space="preserve">primary parasitoids, </w:t>
      </w:r>
      <w:r w:rsidRPr="005D2AAF">
        <w:rPr>
          <w:rFonts w:asciiTheme="majorBidi" w:hAnsiTheme="majorBidi" w:cstheme="majorBidi"/>
          <w:i/>
          <w:iCs/>
          <w:sz w:val="28"/>
        </w:rPr>
        <w:t>G. indica</w:t>
      </w:r>
      <w:r w:rsidRPr="005D2AAF">
        <w:rPr>
          <w:rFonts w:asciiTheme="majorBidi" w:hAnsiTheme="majorBidi" w:cstheme="majorBidi"/>
          <w:sz w:val="28"/>
        </w:rPr>
        <w:t xml:space="preserve"> and </w:t>
      </w:r>
      <w:r w:rsidRPr="005D2AAF">
        <w:rPr>
          <w:rFonts w:asciiTheme="majorBidi" w:hAnsiTheme="majorBidi" w:cstheme="majorBidi"/>
          <w:i/>
          <w:iCs/>
          <w:sz w:val="28"/>
        </w:rPr>
        <w:t>L. dactylopii</w:t>
      </w:r>
      <w:r w:rsidRPr="005D2AAF">
        <w:rPr>
          <w:rFonts w:asciiTheme="majorBidi" w:hAnsiTheme="majorBidi" w:cstheme="majorBidi"/>
          <w:sz w:val="28"/>
        </w:rPr>
        <w:t xml:space="preserve">. </w:t>
      </w:r>
      <w:r w:rsidRPr="00422328">
        <w:rPr>
          <w:sz w:val="28"/>
        </w:rPr>
        <w:t xml:space="preserve"> </w:t>
      </w:r>
    </w:p>
    <w:p w:rsidR="00422328" w:rsidRPr="00422328" w:rsidRDefault="00422328" w:rsidP="00422328">
      <w:pPr>
        <w:bidi w:val="0"/>
        <w:rPr>
          <w:lang w:val="de-DE" w:bidi="ar-EG"/>
        </w:rPr>
      </w:pPr>
    </w:p>
    <w:sectPr w:rsidR="00422328" w:rsidRPr="00422328" w:rsidSect="00203044">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328"/>
    <w:rsid w:val="00105772"/>
    <w:rsid w:val="00203044"/>
    <w:rsid w:val="00422328"/>
    <w:rsid w:val="005D2A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63D3"/>
  <w15:chartTrackingRefBased/>
  <w15:docId w15:val="{A80E0EBF-7A9B-47D3-9AFF-05D99597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0"/>
    <w:uiPriority w:val="99"/>
    <w:locked/>
    <w:rsid w:val="00422328"/>
    <w:rPr>
      <w:rFonts w:ascii="Arial" w:hAnsi="Arial" w:cs="Arial"/>
      <w:sz w:val="19"/>
      <w:szCs w:val="19"/>
      <w:shd w:val="clear" w:color="auto" w:fill="FFFFFF"/>
    </w:rPr>
  </w:style>
  <w:style w:type="paragraph" w:customStyle="1" w:styleId="MSGENFONTSTYLENAMETEMPLATEROLEMSGENFONTSTYLENAMEBYROLETEXT0">
    <w:name w:val="MSG_EN_FONT_STYLE_NAME_TEMPLATE_ROLE MSG_EN_FONT_STYLE_NAME_BY_ROLE_TEXT"/>
    <w:basedOn w:val="Normal"/>
    <w:link w:val="MSGENFONTSTYLENAMETEMPLATEROLEMSGENFONTSTYLENAMEBYROLETEXT"/>
    <w:uiPriority w:val="99"/>
    <w:rsid w:val="00422328"/>
    <w:pPr>
      <w:widowControl w:val="0"/>
      <w:shd w:val="clear" w:color="auto" w:fill="FFFFFF"/>
      <w:bidi w:val="0"/>
      <w:spacing w:before="180" w:after="0" w:line="230" w:lineRule="exact"/>
      <w:ind w:hanging="540"/>
      <w:jc w:val="both"/>
    </w:pPr>
    <w:rPr>
      <w:rFonts w:ascii="Arial" w:hAnsi="Arial" w:cs="Arial"/>
      <w:sz w:val="19"/>
      <w:szCs w:val="19"/>
    </w:rPr>
  </w:style>
  <w:style w:type="paragraph" w:styleId="BodyTextIndent">
    <w:name w:val="Body Text Indent"/>
    <w:basedOn w:val="Normal"/>
    <w:link w:val="BodyTextIndentChar"/>
    <w:semiHidden/>
    <w:rsid w:val="00422328"/>
    <w:pPr>
      <w:bidi w:val="0"/>
      <w:spacing w:after="0" w:line="360" w:lineRule="auto"/>
      <w:ind w:left="360"/>
    </w:pPr>
    <w:rPr>
      <w:rFonts w:ascii="Times New Roman" w:eastAsia="Times New Roman" w:hAnsi="Times New Roman" w:cs="Traditional Arabic"/>
      <w:sz w:val="24"/>
      <w:szCs w:val="28"/>
      <w:lang w:val="de-DE" w:eastAsia="de-DE"/>
    </w:rPr>
  </w:style>
  <w:style w:type="character" w:customStyle="1" w:styleId="BodyTextIndentChar">
    <w:name w:val="Body Text Indent Char"/>
    <w:basedOn w:val="DefaultParagraphFont"/>
    <w:link w:val="BodyTextIndent"/>
    <w:semiHidden/>
    <w:rsid w:val="00422328"/>
    <w:rPr>
      <w:rFonts w:ascii="Times New Roman" w:eastAsia="Times New Roman" w:hAnsi="Times New Roman" w:cs="Traditional Arabic"/>
      <w:sz w:val="24"/>
      <w:szCs w:val="28"/>
      <w:lang w:val="de-DE" w:eastAsia="de-DE"/>
    </w:rPr>
  </w:style>
  <w:style w:type="paragraph" w:styleId="ListParagraph">
    <w:name w:val="List Paragraph"/>
    <w:basedOn w:val="Normal"/>
    <w:uiPriority w:val="34"/>
    <w:qFormat/>
    <w:rsid w:val="00422328"/>
    <w:pPr>
      <w:bidi w:val="0"/>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96814">
      <w:bodyDiv w:val="1"/>
      <w:marLeft w:val="0"/>
      <w:marRight w:val="0"/>
      <w:marTop w:val="0"/>
      <w:marBottom w:val="0"/>
      <w:divBdr>
        <w:top w:val="none" w:sz="0" w:space="0" w:color="auto"/>
        <w:left w:val="none" w:sz="0" w:space="0" w:color="auto"/>
        <w:bottom w:val="none" w:sz="0" w:space="0" w:color="auto"/>
        <w:right w:val="none" w:sz="0" w:space="0" w:color="auto"/>
      </w:divBdr>
    </w:div>
    <w:div w:id="79177390">
      <w:bodyDiv w:val="1"/>
      <w:marLeft w:val="0"/>
      <w:marRight w:val="0"/>
      <w:marTop w:val="0"/>
      <w:marBottom w:val="0"/>
      <w:divBdr>
        <w:top w:val="none" w:sz="0" w:space="0" w:color="auto"/>
        <w:left w:val="none" w:sz="0" w:space="0" w:color="auto"/>
        <w:bottom w:val="none" w:sz="0" w:space="0" w:color="auto"/>
        <w:right w:val="none" w:sz="0" w:space="0" w:color="auto"/>
      </w:divBdr>
    </w:div>
    <w:div w:id="182285798">
      <w:bodyDiv w:val="1"/>
      <w:marLeft w:val="0"/>
      <w:marRight w:val="0"/>
      <w:marTop w:val="0"/>
      <w:marBottom w:val="0"/>
      <w:divBdr>
        <w:top w:val="none" w:sz="0" w:space="0" w:color="auto"/>
        <w:left w:val="none" w:sz="0" w:space="0" w:color="auto"/>
        <w:bottom w:val="none" w:sz="0" w:space="0" w:color="auto"/>
        <w:right w:val="none" w:sz="0" w:space="0" w:color="auto"/>
      </w:divBdr>
    </w:div>
    <w:div w:id="284585287">
      <w:bodyDiv w:val="1"/>
      <w:marLeft w:val="0"/>
      <w:marRight w:val="0"/>
      <w:marTop w:val="0"/>
      <w:marBottom w:val="0"/>
      <w:divBdr>
        <w:top w:val="none" w:sz="0" w:space="0" w:color="auto"/>
        <w:left w:val="none" w:sz="0" w:space="0" w:color="auto"/>
        <w:bottom w:val="none" w:sz="0" w:space="0" w:color="auto"/>
        <w:right w:val="none" w:sz="0" w:space="0" w:color="auto"/>
      </w:divBdr>
    </w:div>
    <w:div w:id="1143081102">
      <w:bodyDiv w:val="1"/>
      <w:marLeft w:val="0"/>
      <w:marRight w:val="0"/>
      <w:marTop w:val="0"/>
      <w:marBottom w:val="0"/>
      <w:divBdr>
        <w:top w:val="none" w:sz="0" w:space="0" w:color="auto"/>
        <w:left w:val="none" w:sz="0" w:space="0" w:color="auto"/>
        <w:bottom w:val="none" w:sz="0" w:space="0" w:color="auto"/>
        <w:right w:val="none" w:sz="0" w:space="0" w:color="auto"/>
      </w:divBdr>
    </w:div>
    <w:div w:id="140522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adly</dc:creator>
  <cp:keywords/>
  <dc:description/>
  <cp:lastModifiedBy>adly</cp:lastModifiedBy>
  <cp:revision>1</cp:revision>
  <dcterms:created xsi:type="dcterms:W3CDTF">2020-09-14T19:14:00Z</dcterms:created>
  <dcterms:modified xsi:type="dcterms:W3CDTF">2020-09-14T19:35:00Z</dcterms:modified>
</cp:coreProperties>
</file>