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2F6F1" w14:textId="77777777" w:rsidR="00720F46" w:rsidRPr="00720F46" w:rsidRDefault="00720F46" w:rsidP="009923A9">
      <w:pPr>
        <w:pStyle w:val="Heading1"/>
        <w:spacing w:before="0"/>
        <w:rPr>
          <w:rFonts w:cstheme="majorHAnsi"/>
          <w:b w:val="0"/>
          <w:bCs w:val="0"/>
          <w:color w:val="17365D" w:themeColor="text2" w:themeShade="BF"/>
          <w:spacing w:val="5"/>
          <w:kern w:val="28"/>
          <w:sz w:val="52"/>
          <w:szCs w:val="52"/>
        </w:rPr>
      </w:pPr>
      <w:r w:rsidRPr="00720F46">
        <w:rPr>
          <w:rFonts w:cstheme="majorHAnsi"/>
          <w:b w:val="0"/>
          <w:bCs w:val="0"/>
          <w:color w:val="17365D" w:themeColor="text2" w:themeShade="BF"/>
          <w:spacing w:val="5"/>
          <w:kern w:val="28"/>
          <w:sz w:val="52"/>
          <w:szCs w:val="52"/>
        </w:rPr>
        <w:t xml:space="preserve">Risk Management Plan for </w:t>
      </w:r>
      <w:proofErr w:type="spellStart"/>
      <w:r w:rsidRPr="00720F46">
        <w:rPr>
          <w:rFonts w:cstheme="majorHAnsi"/>
          <w:b w:val="0"/>
          <w:bCs w:val="0"/>
          <w:color w:val="17365D" w:themeColor="text2" w:themeShade="BF"/>
          <w:spacing w:val="5"/>
          <w:kern w:val="28"/>
          <w:sz w:val="52"/>
          <w:szCs w:val="52"/>
        </w:rPr>
        <w:t>TechSecure</w:t>
      </w:r>
      <w:proofErr w:type="spellEnd"/>
      <w:r w:rsidRPr="00720F46">
        <w:rPr>
          <w:rFonts w:cstheme="majorHAnsi"/>
          <w:b w:val="0"/>
          <w:bCs w:val="0"/>
          <w:color w:val="17365D" w:themeColor="text2" w:themeShade="BF"/>
          <w:spacing w:val="5"/>
          <w:kern w:val="28"/>
          <w:sz w:val="52"/>
          <w:szCs w:val="52"/>
        </w:rPr>
        <w:t xml:space="preserve"> Inc.</w:t>
      </w:r>
    </w:p>
    <w:p w14:paraId="362BA7E8" w14:textId="3A7DB247" w:rsidR="001844A5" w:rsidRPr="0050731E" w:rsidRDefault="00000000" w:rsidP="0050731E">
      <w:pPr>
        <w:rPr>
          <w:rFonts w:asciiTheme="majorHAnsi" w:hAnsiTheme="majorHAnsi" w:cstheme="majorHAnsi"/>
        </w:rPr>
      </w:pP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Executive Summary</w:t>
      </w:r>
      <w:r w:rsidRPr="00720F46">
        <w:rPr>
          <w:rFonts w:asciiTheme="majorHAnsi" w:eastAsiaTheme="majorEastAsia" w:hAnsiTheme="majorHAnsi" w:cstheme="majorHAnsi"/>
          <w:b/>
          <w:bCs/>
          <w:color w:val="365F91" w:themeColor="accent1" w:themeShade="BF"/>
          <w:sz w:val="28"/>
          <w:szCs w:val="28"/>
        </w:rPr>
        <w:br/>
      </w:r>
      <w:r w:rsidRPr="00EB3634">
        <w:rPr>
          <w:rFonts w:asciiTheme="majorHAnsi" w:hAnsiTheme="majorHAnsi" w:cstheme="majorHAnsi"/>
        </w:rPr>
        <w:t>This document outlines the risk management plan for TechSecure Inc., a medium-sized technology solutions company. The primary goal of this plan is to identify potential risks, assess their impact and likelihood, and develop mitigation strategies to ensure the security and continuity of business operations.</w:t>
      </w:r>
      <w:r w:rsidRPr="00EB3634">
        <w:rPr>
          <w:rFonts w:asciiTheme="majorHAnsi" w:hAnsiTheme="majorHAnsi" w:cstheme="majorHAnsi"/>
        </w:rPr>
        <w:br/>
      </w: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Introduction</w:t>
      </w:r>
      <w:r w:rsidRPr="00EB3634">
        <w:rPr>
          <w:rFonts w:asciiTheme="majorHAnsi" w:hAnsiTheme="majorHAnsi" w:cstheme="majorHAnsi"/>
        </w:rPr>
        <w:br/>
        <w:t>TechSecure Inc. is a medium-sized company specializing in technology solutions, including web application hosting, data processing, and client services. The company’s critical assets include customer data, IT infrastructure, and intellectual property. This risk management plan follows the NIST SP 800-30 framework and aims to minimize vulnerabilities and mitigate potential threats.</w:t>
      </w:r>
      <w:r w:rsidRPr="00EB3634">
        <w:rPr>
          <w:rFonts w:asciiTheme="majorHAnsi" w:hAnsiTheme="majorHAnsi" w:cstheme="majorHAnsi"/>
        </w:rPr>
        <w:br/>
      </w: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Risk Assessment Methodology</w:t>
      </w:r>
      <w:r w:rsidRPr="00EB3634">
        <w:rPr>
          <w:rFonts w:asciiTheme="majorHAnsi" w:hAnsiTheme="majorHAnsi" w:cstheme="majorHAnsi"/>
        </w:rPr>
        <w:br/>
        <w:t>The risk assessment process follows these key steps:</w:t>
      </w:r>
      <w:r w:rsidRPr="00EB3634">
        <w:rPr>
          <w:rFonts w:asciiTheme="majorHAnsi" w:hAnsiTheme="majorHAnsi" w:cstheme="majorHAnsi"/>
        </w:rPr>
        <w:br/>
        <w:t>1. Asset Identification: Listing critical assets that require protection.</w:t>
      </w:r>
      <w:r w:rsidRPr="00EB3634">
        <w:rPr>
          <w:rFonts w:asciiTheme="majorHAnsi" w:hAnsiTheme="majorHAnsi" w:cstheme="majorHAnsi"/>
        </w:rPr>
        <w:br/>
        <w:t>2. Threat Identification: Identifying external, internal, and environmental threats.</w:t>
      </w:r>
      <w:r w:rsidRPr="00EB3634">
        <w:rPr>
          <w:rFonts w:asciiTheme="majorHAnsi" w:hAnsiTheme="majorHAnsi" w:cstheme="majorHAnsi"/>
        </w:rPr>
        <w:br/>
        <w:t>3. Vulnerability Assessment: Evaluating the vulnerabilities that may expose assets to threats.</w:t>
      </w:r>
      <w:r w:rsidRPr="00EB3634">
        <w:rPr>
          <w:rFonts w:asciiTheme="majorHAnsi" w:hAnsiTheme="majorHAnsi" w:cstheme="majorHAnsi"/>
        </w:rPr>
        <w:br/>
        <w:t>4. Risk Analysis: Calculating the risk level by assessing the likelihood and impact.</w:t>
      </w:r>
      <w:r w:rsidRPr="00EB3634">
        <w:rPr>
          <w:rFonts w:asciiTheme="majorHAnsi" w:hAnsiTheme="majorHAnsi" w:cstheme="majorHAnsi"/>
        </w:rPr>
        <w:br/>
        <w:t>5. Risk Treatment: Developing strategies to mitigate, transfer, avoid, or accept the risks.</w:t>
      </w:r>
      <w:r w:rsidRPr="00EB3634">
        <w:rPr>
          <w:rFonts w:asciiTheme="majorHAnsi" w:hAnsiTheme="majorHAnsi" w:cstheme="majorHAnsi"/>
        </w:rPr>
        <w:br/>
        <w:t>6. Monitoring and Review: Continuously reviewing and updating the risk management plan.</w:t>
      </w:r>
      <w:r w:rsidRPr="00EB3634">
        <w:rPr>
          <w:rFonts w:asciiTheme="majorHAnsi" w:hAnsiTheme="majorHAnsi" w:cstheme="majorHAnsi"/>
        </w:rPr>
        <w:br/>
      </w: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Asset Identification</w:t>
      </w:r>
    </w:p>
    <w:tbl>
      <w:tblPr>
        <w:tblStyle w:val="PlainTable3"/>
        <w:tblW w:w="0" w:type="auto"/>
        <w:tblLook w:val="04A0" w:firstRow="1" w:lastRow="0" w:firstColumn="1" w:lastColumn="0" w:noHBand="0" w:noVBand="1"/>
      </w:tblPr>
      <w:tblGrid>
        <w:gridCol w:w="2880"/>
        <w:gridCol w:w="3324"/>
        <w:gridCol w:w="2436"/>
      </w:tblGrid>
      <w:tr w:rsidR="009923A9" w:rsidRPr="007A62C4" w14:paraId="06BA2314" w14:textId="77777777" w:rsidTr="009923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hideMark/>
          </w:tcPr>
          <w:p w14:paraId="7D974293" w14:textId="77777777" w:rsidR="009923A9" w:rsidRPr="007A62C4" w:rsidRDefault="009923A9" w:rsidP="009923A9">
            <w:pPr>
              <w:spacing w:before="60" w:after="60" w:line="276" w:lineRule="auto"/>
              <w:rPr>
                <w:rFonts w:asciiTheme="majorHAnsi" w:hAnsiTheme="majorHAnsi" w:cstheme="majorHAnsi"/>
              </w:rPr>
            </w:pPr>
            <w:r w:rsidRPr="007A62C4">
              <w:rPr>
                <w:rFonts w:asciiTheme="majorHAnsi" w:hAnsiTheme="majorHAnsi" w:cstheme="majorHAnsi"/>
              </w:rPr>
              <w:t>Asset Type</w:t>
            </w:r>
          </w:p>
        </w:tc>
        <w:tc>
          <w:tcPr>
            <w:tcW w:w="3324" w:type="dxa"/>
            <w:hideMark/>
          </w:tcPr>
          <w:p w14:paraId="2EE20966" w14:textId="77777777" w:rsidR="009923A9" w:rsidRPr="007A62C4" w:rsidRDefault="009923A9" w:rsidP="009923A9">
            <w:pPr>
              <w:spacing w:before="60" w:after="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Asset Description</w:t>
            </w:r>
          </w:p>
        </w:tc>
        <w:tc>
          <w:tcPr>
            <w:tcW w:w="2436" w:type="dxa"/>
            <w:hideMark/>
          </w:tcPr>
          <w:p w14:paraId="308F5B9B" w14:textId="77777777" w:rsidR="009923A9" w:rsidRPr="007A62C4" w:rsidRDefault="009923A9" w:rsidP="009923A9">
            <w:pPr>
              <w:spacing w:before="60" w:after="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Value/Criticality</w:t>
            </w:r>
          </w:p>
        </w:tc>
      </w:tr>
      <w:tr w:rsidR="009923A9" w:rsidRPr="007A62C4" w14:paraId="038E735B" w14:textId="77777777" w:rsidTr="0099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DE05A9B" w14:textId="77777777" w:rsidR="009923A9" w:rsidRPr="007A62C4" w:rsidRDefault="009923A9" w:rsidP="009923A9">
            <w:pPr>
              <w:spacing w:before="60" w:after="60" w:line="276" w:lineRule="auto"/>
              <w:rPr>
                <w:rFonts w:asciiTheme="majorHAnsi" w:hAnsiTheme="majorHAnsi" w:cstheme="majorHAnsi"/>
              </w:rPr>
            </w:pPr>
            <w:r w:rsidRPr="007A62C4">
              <w:rPr>
                <w:rFonts w:asciiTheme="majorHAnsi" w:hAnsiTheme="majorHAnsi" w:cstheme="majorHAnsi"/>
              </w:rPr>
              <w:t>Data</w:t>
            </w:r>
          </w:p>
        </w:tc>
        <w:tc>
          <w:tcPr>
            <w:tcW w:w="3324" w:type="dxa"/>
            <w:hideMark/>
          </w:tcPr>
          <w:p w14:paraId="1300C9D2" w14:textId="77777777" w:rsidR="009923A9" w:rsidRPr="007A62C4" w:rsidRDefault="009923A9"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Customer data, employee records</w:t>
            </w:r>
          </w:p>
        </w:tc>
        <w:tc>
          <w:tcPr>
            <w:tcW w:w="2436" w:type="dxa"/>
            <w:hideMark/>
          </w:tcPr>
          <w:p w14:paraId="204B4B24" w14:textId="77777777" w:rsidR="009923A9" w:rsidRPr="007A62C4" w:rsidRDefault="009923A9"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Critical</w:t>
            </w:r>
          </w:p>
        </w:tc>
      </w:tr>
      <w:tr w:rsidR="009923A9" w:rsidRPr="007A62C4" w14:paraId="709C0986" w14:textId="77777777" w:rsidTr="009923A9">
        <w:tc>
          <w:tcPr>
            <w:cnfStyle w:val="001000000000" w:firstRow="0" w:lastRow="0" w:firstColumn="1" w:lastColumn="0" w:oddVBand="0" w:evenVBand="0" w:oddHBand="0" w:evenHBand="0" w:firstRowFirstColumn="0" w:firstRowLastColumn="0" w:lastRowFirstColumn="0" w:lastRowLastColumn="0"/>
            <w:tcW w:w="2880" w:type="dxa"/>
            <w:hideMark/>
          </w:tcPr>
          <w:p w14:paraId="0AEC2448" w14:textId="77777777" w:rsidR="009923A9" w:rsidRPr="007A62C4" w:rsidRDefault="009923A9" w:rsidP="009923A9">
            <w:pPr>
              <w:spacing w:before="60" w:after="60" w:line="276" w:lineRule="auto"/>
              <w:rPr>
                <w:rFonts w:asciiTheme="majorHAnsi" w:hAnsiTheme="majorHAnsi" w:cstheme="majorHAnsi"/>
              </w:rPr>
            </w:pPr>
            <w:r w:rsidRPr="007A62C4">
              <w:rPr>
                <w:rFonts w:asciiTheme="majorHAnsi" w:hAnsiTheme="majorHAnsi" w:cstheme="majorHAnsi"/>
              </w:rPr>
              <w:t>Hardware</w:t>
            </w:r>
          </w:p>
        </w:tc>
        <w:tc>
          <w:tcPr>
            <w:tcW w:w="3324" w:type="dxa"/>
            <w:hideMark/>
          </w:tcPr>
          <w:p w14:paraId="203896CE" w14:textId="77777777" w:rsidR="009923A9" w:rsidRPr="007A62C4" w:rsidRDefault="009923A9"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Servers, routers, workstations</w:t>
            </w:r>
          </w:p>
        </w:tc>
        <w:tc>
          <w:tcPr>
            <w:tcW w:w="2436" w:type="dxa"/>
            <w:hideMark/>
          </w:tcPr>
          <w:p w14:paraId="35FE1C9A" w14:textId="77777777" w:rsidR="009923A9" w:rsidRPr="007A62C4" w:rsidRDefault="009923A9"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High</w:t>
            </w:r>
          </w:p>
        </w:tc>
      </w:tr>
      <w:tr w:rsidR="009923A9" w:rsidRPr="007A62C4" w14:paraId="23B5159E" w14:textId="77777777" w:rsidTr="0099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D2641C2" w14:textId="77777777" w:rsidR="009923A9" w:rsidRPr="007A62C4" w:rsidRDefault="009923A9" w:rsidP="009923A9">
            <w:pPr>
              <w:spacing w:before="60" w:after="60" w:line="276" w:lineRule="auto"/>
              <w:rPr>
                <w:rFonts w:asciiTheme="majorHAnsi" w:hAnsiTheme="majorHAnsi" w:cstheme="majorHAnsi"/>
              </w:rPr>
            </w:pPr>
            <w:r w:rsidRPr="007A62C4">
              <w:rPr>
                <w:rFonts w:asciiTheme="majorHAnsi" w:hAnsiTheme="majorHAnsi" w:cstheme="majorHAnsi"/>
              </w:rPr>
              <w:t>Network</w:t>
            </w:r>
          </w:p>
        </w:tc>
        <w:tc>
          <w:tcPr>
            <w:tcW w:w="3324" w:type="dxa"/>
            <w:hideMark/>
          </w:tcPr>
          <w:p w14:paraId="2FB56E7E" w14:textId="77777777" w:rsidR="009923A9" w:rsidRPr="007A62C4" w:rsidRDefault="009923A9"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LAN, WAN, VPN</w:t>
            </w:r>
          </w:p>
        </w:tc>
        <w:tc>
          <w:tcPr>
            <w:tcW w:w="2436" w:type="dxa"/>
            <w:hideMark/>
          </w:tcPr>
          <w:p w14:paraId="5E5CA865" w14:textId="77777777" w:rsidR="009923A9" w:rsidRPr="007A62C4" w:rsidRDefault="009923A9"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High</w:t>
            </w:r>
          </w:p>
        </w:tc>
      </w:tr>
      <w:tr w:rsidR="009923A9" w:rsidRPr="007A62C4" w14:paraId="183269BC" w14:textId="77777777" w:rsidTr="009923A9">
        <w:tc>
          <w:tcPr>
            <w:cnfStyle w:val="001000000000" w:firstRow="0" w:lastRow="0" w:firstColumn="1" w:lastColumn="0" w:oddVBand="0" w:evenVBand="0" w:oddHBand="0" w:evenHBand="0" w:firstRowFirstColumn="0" w:firstRowLastColumn="0" w:lastRowFirstColumn="0" w:lastRowLastColumn="0"/>
            <w:tcW w:w="2880" w:type="dxa"/>
            <w:hideMark/>
          </w:tcPr>
          <w:p w14:paraId="750B0997" w14:textId="77777777" w:rsidR="009923A9" w:rsidRPr="007A62C4" w:rsidRDefault="009923A9" w:rsidP="009923A9">
            <w:pPr>
              <w:spacing w:before="60" w:after="60" w:line="276" w:lineRule="auto"/>
              <w:rPr>
                <w:rFonts w:asciiTheme="majorHAnsi" w:hAnsiTheme="majorHAnsi" w:cstheme="majorHAnsi"/>
              </w:rPr>
            </w:pPr>
            <w:r w:rsidRPr="007A62C4">
              <w:rPr>
                <w:rFonts w:asciiTheme="majorHAnsi" w:hAnsiTheme="majorHAnsi" w:cstheme="majorHAnsi"/>
              </w:rPr>
              <w:t>People</w:t>
            </w:r>
          </w:p>
        </w:tc>
        <w:tc>
          <w:tcPr>
            <w:tcW w:w="3324" w:type="dxa"/>
            <w:hideMark/>
          </w:tcPr>
          <w:p w14:paraId="437BD2BA" w14:textId="77777777" w:rsidR="009923A9" w:rsidRPr="007A62C4" w:rsidRDefault="009923A9"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IT staff, managers, users</w:t>
            </w:r>
          </w:p>
        </w:tc>
        <w:tc>
          <w:tcPr>
            <w:tcW w:w="2436" w:type="dxa"/>
            <w:hideMark/>
          </w:tcPr>
          <w:p w14:paraId="00500091" w14:textId="77777777" w:rsidR="009923A9" w:rsidRPr="007A62C4" w:rsidRDefault="009923A9"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Medium</w:t>
            </w:r>
          </w:p>
        </w:tc>
      </w:tr>
      <w:tr w:rsidR="009923A9" w:rsidRPr="007A62C4" w14:paraId="3E5ED345" w14:textId="77777777" w:rsidTr="00992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0F0778" w14:textId="77777777" w:rsidR="009923A9" w:rsidRPr="007A62C4" w:rsidRDefault="009923A9" w:rsidP="009923A9">
            <w:pPr>
              <w:spacing w:before="60" w:after="60" w:line="276" w:lineRule="auto"/>
              <w:rPr>
                <w:rFonts w:asciiTheme="majorHAnsi" w:hAnsiTheme="majorHAnsi" w:cstheme="majorHAnsi"/>
              </w:rPr>
            </w:pPr>
            <w:r w:rsidRPr="007A62C4">
              <w:rPr>
                <w:rFonts w:asciiTheme="majorHAnsi" w:hAnsiTheme="majorHAnsi" w:cstheme="majorHAnsi"/>
              </w:rPr>
              <w:t>Software</w:t>
            </w:r>
          </w:p>
        </w:tc>
        <w:tc>
          <w:tcPr>
            <w:tcW w:w="3324" w:type="dxa"/>
            <w:hideMark/>
          </w:tcPr>
          <w:p w14:paraId="189E7B51" w14:textId="77777777" w:rsidR="009923A9" w:rsidRPr="007A62C4" w:rsidRDefault="009923A9"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CRM systems, ERP solutions</w:t>
            </w:r>
          </w:p>
        </w:tc>
        <w:tc>
          <w:tcPr>
            <w:tcW w:w="2436" w:type="dxa"/>
            <w:hideMark/>
          </w:tcPr>
          <w:p w14:paraId="12ED8D9F" w14:textId="77777777" w:rsidR="009923A9" w:rsidRPr="007A62C4" w:rsidRDefault="009923A9"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High</w:t>
            </w:r>
          </w:p>
        </w:tc>
      </w:tr>
    </w:tbl>
    <w:p w14:paraId="255687D7" w14:textId="77777777" w:rsidR="009923A9" w:rsidRDefault="00000000" w:rsidP="00EB3634">
      <w:pPr>
        <w:rPr>
          <w:rFonts w:asciiTheme="majorHAnsi" w:eastAsiaTheme="majorEastAsia" w:hAnsiTheme="majorHAnsi" w:cstheme="majorHAnsi"/>
          <w:b/>
          <w:bCs/>
          <w:color w:val="365F91" w:themeColor="accent1" w:themeShade="BF"/>
          <w:sz w:val="28"/>
          <w:szCs w:val="28"/>
        </w:rPr>
      </w:pPr>
      <w:r w:rsidRPr="00EB3634">
        <w:rPr>
          <w:rFonts w:asciiTheme="majorHAnsi" w:hAnsiTheme="majorHAnsi" w:cstheme="majorHAnsi"/>
        </w:rPr>
        <w:br/>
      </w:r>
    </w:p>
    <w:p w14:paraId="7D914074" w14:textId="1FA55910" w:rsidR="007A62C4" w:rsidRDefault="00000000" w:rsidP="00EB3634">
      <w:pPr>
        <w:rPr>
          <w:rFonts w:asciiTheme="majorHAnsi" w:hAnsiTheme="majorHAnsi" w:cstheme="majorHAnsi"/>
        </w:rPr>
      </w:pPr>
      <w:r w:rsidRPr="00720F46">
        <w:rPr>
          <w:rFonts w:asciiTheme="majorHAnsi" w:eastAsiaTheme="majorEastAsia" w:hAnsiTheme="majorHAnsi" w:cstheme="majorHAnsi"/>
          <w:b/>
          <w:bCs/>
          <w:color w:val="365F91" w:themeColor="accent1" w:themeShade="BF"/>
          <w:sz w:val="28"/>
          <w:szCs w:val="28"/>
        </w:rPr>
        <w:lastRenderedPageBreak/>
        <w:t>Threat Identification and Vulnerability Assessment</w:t>
      </w:r>
    </w:p>
    <w:tbl>
      <w:tblPr>
        <w:tblStyle w:val="PlainTable3"/>
        <w:tblW w:w="8830" w:type="dxa"/>
        <w:tblLayout w:type="fixed"/>
        <w:tblLook w:val="04A0" w:firstRow="1" w:lastRow="0" w:firstColumn="1" w:lastColumn="0" w:noHBand="0" w:noVBand="1"/>
      </w:tblPr>
      <w:tblGrid>
        <w:gridCol w:w="2376"/>
        <w:gridCol w:w="3544"/>
        <w:gridCol w:w="851"/>
        <w:gridCol w:w="992"/>
        <w:gridCol w:w="1067"/>
      </w:tblGrid>
      <w:tr w:rsidR="009923A9" w:rsidRPr="007A62C4" w14:paraId="6C1CC79E" w14:textId="77777777" w:rsidTr="007A2C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hideMark/>
          </w:tcPr>
          <w:p w14:paraId="5B60DD0A" w14:textId="77777777" w:rsidR="007A62C4" w:rsidRPr="007A62C4" w:rsidRDefault="007A62C4" w:rsidP="009923A9">
            <w:pPr>
              <w:spacing w:before="60" w:after="60" w:line="276" w:lineRule="auto"/>
              <w:rPr>
                <w:rFonts w:asciiTheme="majorHAnsi" w:hAnsiTheme="majorHAnsi" w:cstheme="majorHAnsi"/>
              </w:rPr>
            </w:pPr>
            <w:r w:rsidRPr="007A62C4">
              <w:rPr>
                <w:rFonts w:asciiTheme="majorHAnsi" w:hAnsiTheme="majorHAnsi" w:cstheme="majorHAnsi"/>
              </w:rPr>
              <w:t>Threat Type</w:t>
            </w:r>
          </w:p>
        </w:tc>
        <w:tc>
          <w:tcPr>
            <w:tcW w:w="3544" w:type="dxa"/>
            <w:hideMark/>
          </w:tcPr>
          <w:p w14:paraId="2E0CAD43" w14:textId="77777777" w:rsidR="007A62C4" w:rsidRPr="007A62C4" w:rsidRDefault="007A62C4" w:rsidP="009923A9">
            <w:pPr>
              <w:spacing w:before="60" w:after="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Description</w:t>
            </w:r>
          </w:p>
        </w:tc>
        <w:tc>
          <w:tcPr>
            <w:tcW w:w="851" w:type="dxa"/>
            <w:hideMark/>
          </w:tcPr>
          <w:p w14:paraId="375FBB02" w14:textId="77777777" w:rsidR="007A62C4" w:rsidRPr="007A62C4" w:rsidRDefault="007A62C4" w:rsidP="009923A9">
            <w:pPr>
              <w:spacing w:before="60" w:after="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Likelihood</w:t>
            </w:r>
          </w:p>
        </w:tc>
        <w:tc>
          <w:tcPr>
            <w:tcW w:w="992" w:type="dxa"/>
            <w:hideMark/>
          </w:tcPr>
          <w:p w14:paraId="6E960321" w14:textId="77777777" w:rsidR="007A62C4" w:rsidRPr="007A62C4" w:rsidRDefault="007A62C4" w:rsidP="009923A9">
            <w:pPr>
              <w:spacing w:before="60" w:after="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Impact</w:t>
            </w:r>
          </w:p>
        </w:tc>
        <w:tc>
          <w:tcPr>
            <w:tcW w:w="1067" w:type="dxa"/>
            <w:hideMark/>
          </w:tcPr>
          <w:p w14:paraId="0C030D2A" w14:textId="77777777" w:rsidR="007A62C4" w:rsidRPr="007A62C4" w:rsidRDefault="007A62C4" w:rsidP="009923A9">
            <w:pPr>
              <w:spacing w:before="60" w:after="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Risk Level</w:t>
            </w:r>
          </w:p>
        </w:tc>
      </w:tr>
      <w:tr w:rsidR="009923A9" w:rsidRPr="007A62C4" w14:paraId="2B935CDF" w14:textId="77777777" w:rsidTr="007A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722DD8E" w14:textId="77777777" w:rsidR="007A62C4" w:rsidRPr="007A62C4" w:rsidRDefault="007A62C4" w:rsidP="009923A9">
            <w:pPr>
              <w:spacing w:before="60" w:after="60" w:line="276" w:lineRule="auto"/>
              <w:rPr>
                <w:rFonts w:asciiTheme="majorHAnsi" w:hAnsiTheme="majorHAnsi" w:cstheme="majorHAnsi"/>
              </w:rPr>
            </w:pPr>
            <w:r w:rsidRPr="007A62C4">
              <w:rPr>
                <w:rFonts w:asciiTheme="majorHAnsi" w:hAnsiTheme="majorHAnsi" w:cstheme="majorHAnsi"/>
              </w:rPr>
              <w:t>Phishing Attack</w:t>
            </w:r>
          </w:p>
        </w:tc>
        <w:tc>
          <w:tcPr>
            <w:tcW w:w="3544" w:type="dxa"/>
            <w:hideMark/>
          </w:tcPr>
          <w:p w14:paraId="7F9A4C73"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Unauthorized access via deceptive emails</w:t>
            </w:r>
          </w:p>
        </w:tc>
        <w:tc>
          <w:tcPr>
            <w:tcW w:w="851" w:type="dxa"/>
            <w:hideMark/>
          </w:tcPr>
          <w:p w14:paraId="5D73DD00"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4</w:t>
            </w:r>
          </w:p>
        </w:tc>
        <w:tc>
          <w:tcPr>
            <w:tcW w:w="992" w:type="dxa"/>
            <w:hideMark/>
          </w:tcPr>
          <w:p w14:paraId="40F22157"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5</w:t>
            </w:r>
          </w:p>
        </w:tc>
        <w:tc>
          <w:tcPr>
            <w:tcW w:w="1067" w:type="dxa"/>
            <w:hideMark/>
          </w:tcPr>
          <w:p w14:paraId="23F5E65E"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High</w:t>
            </w:r>
          </w:p>
        </w:tc>
      </w:tr>
      <w:tr w:rsidR="009923A9" w:rsidRPr="007A62C4" w14:paraId="2EC4D556" w14:textId="77777777" w:rsidTr="007A2CDD">
        <w:tc>
          <w:tcPr>
            <w:cnfStyle w:val="001000000000" w:firstRow="0" w:lastRow="0" w:firstColumn="1" w:lastColumn="0" w:oddVBand="0" w:evenVBand="0" w:oddHBand="0" w:evenHBand="0" w:firstRowFirstColumn="0" w:firstRowLastColumn="0" w:lastRowFirstColumn="0" w:lastRowLastColumn="0"/>
            <w:tcW w:w="2376" w:type="dxa"/>
            <w:hideMark/>
          </w:tcPr>
          <w:p w14:paraId="4F5E9DBE" w14:textId="77777777" w:rsidR="007A62C4" w:rsidRPr="007A62C4" w:rsidRDefault="007A62C4" w:rsidP="009923A9">
            <w:pPr>
              <w:spacing w:before="60" w:after="60" w:line="276" w:lineRule="auto"/>
              <w:rPr>
                <w:rFonts w:asciiTheme="majorHAnsi" w:hAnsiTheme="majorHAnsi" w:cstheme="majorHAnsi"/>
              </w:rPr>
            </w:pPr>
            <w:r w:rsidRPr="007A62C4">
              <w:rPr>
                <w:rFonts w:asciiTheme="majorHAnsi" w:hAnsiTheme="majorHAnsi" w:cstheme="majorHAnsi"/>
              </w:rPr>
              <w:t>Malware Infection</w:t>
            </w:r>
          </w:p>
        </w:tc>
        <w:tc>
          <w:tcPr>
            <w:tcW w:w="3544" w:type="dxa"/>
            <w:hideMark/>
          </w:tcPr>
          <w:p w14:paraId="7BD66DD8"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Data corruption from malicious software</w:t>
            </w:r>
          </w:p>
        </w:tc>
        <w:tc>
          <w:tcPr>
            <w:tcW w:w="851" w:type="dxa"/>
            <w:hideMark/>
          </w:tcPr>
          <w:p w14:paraId="6C40DFEB"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3</w:t>
            </w:r>
          </w:p>
        </w:tc>
        <w:tc>
          <w:tcPr>
            <w:tcW w:w="992" w:type="dxa"/>
            <w:hideMark/>
          </w:tcPr>
          <w:p w14:paraId="0FDB1C4E"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4</w:t>
            </w:r>
          </w:p>
        </w:tc>
        <w:tc>
          <w:tcPr>
            <w:tcW w:w="1067" w:type="dxa"/>
            <w:hideMark/>
          </w:tcPr>
          <w:p w14:paraId="63D99F65"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Medium</w:t>
            </w:r>
          </w:p>
        </w:tc>
      </w:tr>
      <w:tr w:rsidR="009923A9" w:rsidRPr="007A62C4" w14:paraId="62EC694A" w14:textId="77777777" w:rsidTr="007A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0391072" w14:textId="77777777" w:rsidR="007A62C4" w:rsidRPr="007A62C4" w:rsidRDefault="007A62C4" w:rsidP="009923A9">
            <w:pPr>
              <w:spacing w:before="60" w:after="60" w:line="276" w:lineRule="auto"/>
              <w:rPr>
                <w:rFonts w:asciiTheme="majorHAnsi" w:hAnsiTheme="majorHAnsi" w:cstheme="majorHAnsi"/>
              </w:rPr>
            </w:pPr>
            <w:r w:rsidRPr="007A62C4">
              <w:rPr>
                <w:rFonts w:asciiTheme="majorHAnsi" w:hAnsiTheme="majorHAnsi" w:cstheme="majorHAnsi"/>
              </w:rPr>
              <w:t>Insider Threat</w:t>
            </w:r>
          </w:p>
        </w:tc>
        <w:tc>
          <w:tcPr>
            <w:tcW w:w="3544" w:type="dxa"/>
            <w:hideMark/>
          </w:tcPr>
          <w:p w14:paraId="3838B4D7"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Data theft or misuse by employees</w:t>
            </w:r>
          </w:p>
        </w:tc>
        <w:tc>
          <w:tcPr>
            <w:tcW w:w="851" w:type="dxa"/>
            <w:hideMark/>
          </w:tcPr>
          <w:p w14:paraId="727E6442"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2</w:t>
            </w:r>
          </w:p>
        </w:tc>
        <w:tc>
          <w:tcPr>
            <w:tcW w:w="992" w:type="dxa"/>
            <w:hideMark/>
          </w:tcPr>
          <w:p w14:paraId="75D9351B"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5</w:t>
            </w:r>
          </w:p>
        </w:tc>
        <w:tc>
          <w:tcPr>
            <w:tcW w:w="1067" w:type="dxa"/>
            <w:hideMark/>
          </w:tcPr>
          <w:p w14:paraId="28D733D6" w14:textId="77777777" w:rsidR="007A62C4" w:rsidRPr="007A62C4" w:rsidRDefault="007A62C4" w:rsidP="009923A9">
            <w:pPr>
              <w:spacing w:before="60" w:after="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Medium</w:t>
            </w:r>
          </w:p>
        </w:tc>
      </w:tr>
      <w:tr w:rsidR="009923A9" w:rsidRPr="007A62C4" w14:paraId="175F35A5" w14:textId="77777777" w:rsidTr="007A2CDD">
        <w:tc>
          <w:tcPr>
            <w:cnfStyle w:val="001000000000" w:firstRow="0" w:lastRow="0" w:firstColumn="1" w:lastColumn="0" w:oddVBand="0" w:evenVBand="0" w:oddHBand="0" w:evenHBand="0" w:firstRowFirstColumn="0" w:firstRowLastColumn="0" w:lastRowFirstColumn="0" w:lastRowLastColumn="0"/>
            <w:tcW w:w="2376" w:type="dxa"/>
            <w:hideMark/>
          </w:tcPr>
          <w:p w14:paraId="22901FD7" w14:textId="77777777" w:rsidR="007A62C4" w:rsidRPr="007A62C4" w:rsidRDefault="007A62C4" w:rsidP="009923A9">
            <w:pPr>
              <w:spacing w:before="60" w:after="60" w:line="276" w:lineRule="auto"/>
              <w:rPr>
                <w:rFonts w:asciiTheme="majorHAnsi" w:hAnsiTheme="majorHAnsi" w:cstheme="majorHAnsi"/>
              </w:rPr>
            </w:pPr>
            <w:r w:rsidRPr="007A62C4">
              <w:rPr>
                <w:rFonts w:asciiTheme="majorHAnsi" w:hAnsiTheme="majorHAnsi" w:cstheme="majorHAnsi"/>
              </w:rPr>
              <w:t>Power Outage</w:t>
            </w:r>
          </w:p>
        </w:tc>
        <w:tc>
          <w:tcPr>
            <w:tcW w:w="3544" w:type="dxa"/>
            <w:hideMark/>
          </w:tcPr>
          <w:p w14:paraId="0E223A6C"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Disruption of business operations</w:t>
            </w:r>
          </w:p>
        </w:tc>
        <w:tc>
          <w:tcPr>
            <w:tcW w:w="851" w:type="dxa"/>
            <w:hideMark/>
          </w:tcPr>
          <w:p w14:paraId="5228075E"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3</w:t>
            </w:r>
          </w:p>
        </w:tc>
        <w:tc>
          <w:tcPr>
            <w:tcW w:w="992" w:type="dxa"/>
            <w:hideMark/>
          </w:tcPr>
          <w:p w14:paraId="64AF7B96"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3</w:t>
            </w:r>
          </w:p>
        </w:tc>
        <w:tc>
          <w:tcPr>
            <w:tcW w:w="1067" w:type="dxa"/>
            <w:hideMark/>
          </w:tcPr>
          <w:p w14:paraId="3B250C8C" w14:textId="77777777" w:rsidR="007A62C4" w:rsidRPr="007A62C4" w:rsidRDefault="007A62C4" w:rsidP="009923A9">
            <w:pPr>
              <w:spacing w:before="60" w:after="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2C4">
              <w:rPr>
                <w:rFonts w:asciiTheme="majorHAnsi" w:hAnsiTheme="majorHAnsi" w:cstheme="majorHAnsi"/>
              </w:rPr>
              <w:t>Medium</w:t>
            </w:r>
          </w:p>
        </w:tc>
      </w:tr>
    </w:tbl>
    <w:p w14:paraId="6AD25D7F" w14:textId="77777777" w:rsidR="006E4C27" w:rsidRPr="006E4C27" w:rsidRDefault="00000000" w:rsidP="00EB3634">
      <w:pPr>
        <w:rPr>
          <w:rFonts w:asciiTheme="majorHAnsi" w:hAnsiTheme="majorHAnsi" w:cstheme="majorHAnsi"/>
          <w:b/>
          <w:bCs/>
          <w:color w:val="4F81BD" w:themeColor="accent1"/>
        </w:rPr>
      </w:pP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Risk Treatment Plan</w:t>
      </w:r>
    </w:p>
    <w:tbl>
      <w:tblPr>
        <w:tblStyle w:val="PlainTable3"/>
        <w:tblW w:w="0" w:type="auto"/>
        <w:tblLayout w:type="fixed"/>
        <w:tblLook w:val="04A0" w:firstRow="1" w:lastRow="0" w:firstColumn="1" w:lastColumn="0" w:noHBand="0" w:noVBand="1"/>
      </w:tblPr>
      <w:tblGrid>
        <w:gridCol w:w="817"/>
        <w:gridCol w:w="1985"/>
        <w:gridCol w:w="2693"/>
        <w:gridCol w:w="1941"/>
        <w:gridCol w:w="1309"/>
      </w:tblGrid>
      <w:tr w:rsidR="006E4C27" w:rsidRPr="006E4C27" w14:paraId="7A17F68B" w14:textId="77777777" w:rsidTr="001520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hideMark/>
          </w:tcPr>
          <w:p w14:paraId="0E7312C6" w14:textId="77777777" w:rsidR="006E4C27" w:rsidRPr="006E4C27" w:rsidRDefault="006E4C27" w:rsidP="0015206D">
            <w:pPr>
              <w:spacing w:beforeLines="60" w:before="144" w:afterLines="60" w:after="144" w:line="276" w:lineRule="auto"/>
              <w:rPr>
                <w:rFonts w:asciiTheme="majorHAnsi" w:hAnsiTheme="majorHAnsi" w:cstheme="majorHAnsi"/>
              </w:rPr>
            </w:pPr>
            <w:r w:rsidRPr="006E4C27">
              <w:rPr>
                <w:rFonts w:asciiTheme="majorHAnsi" w:hAnsiTheme="majorHAnsi" w:cstheme="majorHAnsi"/>
              </w:rPr>
              <w:t>Risk ID</w:t>
            </w:r>
          </w:p>
        </w:tc>
        <w:tc>
          <w:tcPr>
            <w:tcW w:w="1985" w:type="dxa"/>
            <w:hideMark/>
          </w:tcPr>
          <w:p w14:paraId="6FA3FFE2" w14:textId="77777777" w:rsidR="006E4C27" w:rsidRPr="006E4C27" w:rsidRDefault="006E4C27" w:rsidP="0015206D">
            <w:pPr>
              <w:spacing w:beforeLines="60" w:before="144" w:afterLines="60" w:after="144"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Risk Description</w:t>
            </w:r>
          </w:p>
        </w:tc>
        <w:tc>
          <w:tcPr>
            <w:tcW w:w="2693" w:type="dxa"/>
            <w:hideMark/>
          </w:tcPr>
          <w:p w14:paraId="019C65A9" w14:textId="77777777" w:rsidR="006E4C27" w:rsidRPr="006E4C27" w:rsidRDefault="006E4C27" w:rsidP="0015206D">
            <w:pPr>
              <w:spacing w:beforeLines="60" w:before="144" w:afterLines="60" w:after="144"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Mitigation Strategy</w:t>
            </w:r>
          </w:p>
        </w:tc>
        <w:tc>
          <w:tcPr>
            <w:tcW w:w="1941" w:type="dxa"/>
            <w:hideMark/>
          </w:tcPr>
          <w:p w14:paraId="67F4AEE0" w14:textId="77777777" w:rsidR="006E4C27" w:rsidRPr="006E4C27" w:rsidRDefault="006E4C27" w:rsidP="0015206D">
            <w:pPr>
              <w:spacing w:beforeLines="60" w:before="144" w:afterLines="60" w:after="144"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Responsible Person</w:t>
            </w:r>
          </w:p>
        </w:tc>
        <w:tc>
          <w:tcPr>
            <w:tcW w:w="1309" w:type="dxa"/>
            <w:hideMark/>
          </w:tcPr>
          <w:p w14:paraId="30E5C734" w14:textId="77777777" w:rsidR="006E4C27" w:rsidRPr="006E4C27" w:rsidRDefault="006E4C27" w:rsidP="0015206D">
            <w:pPr>
              <w:spacing w:beforeLines="60" w:before="144" w:afterLines="60" w:after="144"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Status</w:t>
            </w:r>
          </w:p>
        </w:tc>
      </w:tr>
      <w:tr w:rsidR="006E4C27" w:rsidRPr="006E4C27" w14:paraId="621C66CD" w14:textId="77777777" w:rsidTr="0015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045A3ED7" w14:textId="77777777" w:rsidR="006E4C27" w:rsidRPr="006E4C27" w:rsidRDefault="006E4C27" w:rsidP="0015206D">
            <w:pPr>
              <w:spacing w:beforeLines="60" w:before="144" w:afterLines="60" w:after="144" w:line="276" w:lineRule="auto"/>
              <w:rPr>
                <w:rFonts w:asciiTheme="majorHAnsi" w:hAnsiTheme="majorHAnsi" w:cstheme="majorHAnsi"/>
              </w:rPr>
            </w:pPr>
            <w:r w:rsidRPr="006E4C27">
              <w:rPr>
                <w:rFonts w:asciiTheme="majorHAnsi" w:hAnsiTheme="majorHAnsi" w:cstheme="majorHAnsi"/>
              </w:rPr>
              <w:t>R1</w:t>
            </w:r>
          </w:p>
        </w:tc>
        <w:tc>
          <w:tcPr>
            <w:tcW w:w="1985" w:type="dxa"/>
            <w:hideMark/>
          </w:tcPr>
          <w:p w14:paraId="152979D4"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Phishing Attack</w:t>
            </w:r>
          </w:p>
        </w:tc>
        <w:tc>
          <w:tcPr>
            <w:tcW w:w="2693" w:type="dxa"/>
            <w:hideMark/>
          </w:tcPr>
          <w:p w14:paraId="73336492"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Implement multi-factor authentication (MFA)</w:t>
            </w:r>
          </w:p>
        </w:tc>
        <w:tc>
          <w:tcPr>
            <w:tcW w:w="1941" w:type="dxa"/>
            <w:hideMark/>
          </w:tcPr>
          <w:p w14:paraId="15A63BD7"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IT Security Manager</w:t>
            </w:r>
          </w:p>
        </w:tc>
        <w:tc>
          <w:tcPr>
            <w:tcW w:w="1309" w:type="dxa"/>
            <w:hideMark/>
          </w:tcPr>
          <w:p w14:paraId="255251E4"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Ongoing</w:t>
            </w:r>
          </w:p>
        </w:tc>
      </w:tr>
      <w:tr w:rsidR="006E4C27" w:rsidRPr="006E4C27" w14:paraId="780B3B9F" w14:textId="77777777" w:rsidTr="0015206D">
        <w:tc>
          <w:tcPr>
            <w:cnfStyle w:val="001000000000" w:firstRow="0" w:lastRow="0" w:firstColumn="1" w:lastColumn="0" w:oddVBand="0" w:evenVBand="0" w:oddHBand="0" w:evenHBand="0" w:firstRowFirstColumn="0" w:firstRowLastColumn="0" w:lastRowFirstColumn="0" w:lastRowLastColumn="0"/>
            <w:tcW w:w="817" w:type="dxa"/>
            <w:hideMark/>
          </w:tcPr>
          <w:p w14:paraId="76A0B18B" w14:textId="77777777" w:rsidR="006E4C27" w:rsidRPr="006E4C27" w:rsidRDefault="006E4C27" w:rsidP="0015206D">
            <w:pPr>
              <w:spacing w:beforeLines="60" w:before="144" w:afterLines="60" w:after="144" w:line="276" w:lineRule="auto"/>
              <w:rPr>
                <w:rFonts w:asciiTheme="majorHAnsi" w:hAnsiTheme="majorHAnsi" w:cstheme="majorHAnsi"/>
              </w:rPr>
            </w:pPr>
            <w:r w:rsidRPr="006E4C27">
              <w:rPr>
                <w:rFonts w:asciiTheme="majorHAnsi" w:hAnsiTheme="majorHAnsi" w:cstheme="majorHAnsi"/>
              </w:rPr>
              <w:t>R2</w:t>
            </w:r>
          </w:p>
        </w:tc>
        <w:tc>
          <w:tcPr>
            <w:tcW w:w="1985" w:type="dxa"/>
            <w:hideMark/>
          </w:tcPr>
          <w:p w14:paraId="0DC810FE"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Malware Infection</w:t>
            </w:r>
          </w:p>
        </w:tc>
        <w:tc>
          <w:tcPr>
            <w:tcW w:w="2693" w:type="dxa"/>
            <w:hideMark/>
          </w:tcPr>
          <w:p w14:paraId="4F409E8A"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Use updated antivirus software and regular scans</w:t>
            </w:r>
          </w:p>
        </w:tc>
        <w:tc>
          <w:tcPr>
            <w:tcW w:w="1941" w:type="dxa"/>
            <w:hideMark/>
          </w:tcPr>
          <w:p w14:paraId="7D0EEBCC"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IT Admin</w:t>
            </w:r>
          </w:p>
        </w:tc>
        <w:tc>
          <w:tcPr>
            <w:tcW w:w="1309" w:type="dxa"/>
            <w:hideMark/>
          </w:tcPr>
          <w:p w14:paraId="4078DEE1"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Completed</w:t>
            </w:r>
          </w:p>
        </w:tc>
      </w:tr>
      <w:tr w:rsidR="006E4C27" w:rsidRPr="006E4C27" w14:paraId="24E511D3" w14:textId="77777777" w:rsidTr="0015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61FB3374" w14:textId="77777777" w:rsidR="006E4C27" w:rsidRPr="006E4C27" w:rsidRDefault="006E4C27" w:rsidP="0015206D">
            <w:pPr>
              <w:spacing w:beforeLines="60" w:before="144" w:afterLines="60" w:after="144" w:line="276" w:lineRule="auto"/>
              <w:rPr>
                <w:rFonts w:asciiTheme="majorHAnsi" w:hAnsiTheme="majorHAnsi" w:cstheme="majorHAnsi"/>
              </w:rPr>
            </w:pPr>
            <w:r w:rsidRPr="006E4C27">
              <w:rPr>
                <w:rFonts w:asciiTheme="majorHAnsi" w:hAnsiTheme="majorHAnsi" w:cstheme="majorHAnsi"/>
              </w:rPr>
              <w:t>R3</w:t>
            </w:r>
          </w:p>
        </w:tc>
        <w:tc>
          <w:tcPr>
            <w:tcW w:w="1985" w:type="dxa"/>
            <w:hideMark/>
          </w:tcPr>
          <w:p w14:paraId="7CF1CA2B"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Insider Threat</w:t>
            </w:r>
          </w:p>
        </w:tc>
        <w:tc>
          <w:tcPr>
            <w:tcW w:w="2693" w:type="dxa"/>
            <w:hideMark/>
          </w:tcPr>
          <w:p w14:paraId="62E5DC70"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Conduct regular employee awareness training</w:t>
            </w:r>
          </w:p>
        </w:tc>
        <w:tc>
          <w:tcPr>
            <w:tcW w:w="1941" w:type="dxa"/>
            <w:hideMark/>
          </w:tcPr>
          <w:p w14:paraId="2746A89A"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HR Manager</w:t>
            </w:r>
          </w:p>
        </w:tc>
        <w:tc>
          <w:tcPr>
            <w:tcW w:w="1309" w:type="dxa"/>
            <w:hideMark/>
          </w:tcPr>
          <w:p w14:paraId="5CBEF5B5" w14:textId="77777777" w:rsidR="006E4C27" w:rsidRPr="006E4C27" w:rsidRDefault="006E4C27" w:rsidP="0015206D">
            <w:pPr>
              <w:spacing w:beforeLines="60" w:before="144" w:afterLines="60" w:after="144"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Ongoing</w:t>
            </w:r>
          </w:p>
        </w:tc>
      </w:tr>
      <w:tr w:rsidR="006E4C27" w:rsidRPr="006E4C27" w14:paraId="6C54AD67" w14:textId="77777777" w:rsidTr="0015206D">
        <w:tc>
          <w:tcPr>
            <w:cnfStyle w:val="001000000000" w:firstRow="0" w:lastRow="0" w:firstColumn="1" w:lastColumn="0" w:oddVBand="0" w:evenVBand="0" w:oddHBand="0" w:evenHBand="0" w:firstRowFirstColumn="0" w:firstRowLastColumn="0" w:lastRowFirstColumn="0" w:lastRowLastColumn="0"/>
            <w:tcW w:w="817" w:type="dxa"/>
            <w:hideMark/>
          </w:tcPr>
          <w:p w14:paraId="02E982CE" w14:textId="77777777" w:rsidR="006E4C27" w:rsidRPr="006E4C27" w:rsidRDefault="006E4C27" w:rsidP="0015206D">
            <w:pPr>
              <w:spacing w:beforeLines="60" w:before="144" w:afterLines="60" w:after="144" w:line="276" w:lineRule="auto"/>
              <w:rPr>
                <w:rFonts w:asciiTheme="majorHAnsi" w:hAnsiTheme="majorHAnsi" w:cstheme="majorHAnsi"/>
              </w:rPr>
            </w:pPr>
            <w:r w:rsidRPr="006E4C27">
              <w:rPr>
                <w:rFonts w:asciiTheme="majorHAnsi" w:hAnsiTheme="majorHAnsi" w:cstheme="majorHAnsi"/>
              </w:rPr>
              <w:t>R4</w:t>
            </w:r>
          </w:p>
        </w:tc>
        <w:tc>
          <w:tcPr>
            <w:tcW w:w="1985" w:type="dxa"/>
            <w:hideMark/>
          </w:tcPr>
          <w:p w14:paraId="534BC053"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Power Outage</w:t>
            </w:r>
          </w:p>
        </w:tc>
        <w:tc>
          <w:tcPr>
            <w:tcW w:w="2693" w:type="dxa"/>
            <w:hideMark/>
          </w:tcPr>
          <w:p w14:paraId="1C1DFF6E"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Install uninterruptible power supplies (UPS)</w:t>
            </w:r>
          </w:p>
        </w:tc>
        <w:tc>
          <w:tcPr>
            <w:tcW w:w="1941" w:type="dxa"/>
            <w:hideMark/>
          </w:tcPr>
          <w:p w14:paraId="45DCF02F"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Facility Manager</w:t>
            </w:r>
          </w:p>
        </w:tc>
        <w:tc>
          <w:tcPr>
            <w:tcW w:w="1309" w:type="dxa"/>
            <w:hideMark/>
          </w:tcPr>
          <w:p w14:paraId="47F71104" w14:textId="77777777" w:rsidR="006E4C27" w:rsidRPr="006E4C27" w:rsidRDefault="006E4C27" w:rsidP="0015206D">
            <w:pPr>
              <w:spacing w:beforeLines="60" w:before="144" w:afterLines="60" w:after="144"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6E4C27">
              <w:rPr>
                <w:rFonts w:asciiTheme="majorHAnsi" w:hAnsiTheme="majorHAnsi" w:cstheme="majorHAnsi"/>
              </w:rPr>
              <w:t>Planned</w:t>
            </w:r>
          </w:p>
        </w:tc>
      </w:tr>
    </w:tbl>
    <w:p w14:paraId="737B6CF6" w14:textId="3B2A9483" w:rsidR="009D3F01" w:rsidRPr="00EB3634" w:rsidRDefault="00000000" w:rsidP="00EB3634">
      <w:pPr>
        <w:rPr>
          <w:rFonts w:asciiTheme="majorHAnsi" w:hAnsiTheme="majorHAnsi" w:cstheme="majorHAnsi"/>
          <w:b/>
          <w:bCs/>
          <w:color w:val="C0504D" w:themeColor="accent2"/>
        </w:rPr>
      </w:pP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Monitoring and Review</w:t>
      </w:r>
      <w:r w:rsidRPr="00EB3634">
        <w:rPr>
          <w:rFonts w:asciiTheme="majorHAnsi" w:hAnsiTheme="majorHAnsi" w:cstheme="majorHAnsi"/>
        </w:rPr>
        <w:br/>
        <w:t>The risk management plan will be reviewed semi-annually to update risks and mitigation measures as needed. Any new threats will be assessed and added to the plan.</w:t>
      </w:r>
      <w:r w:rsidRPr="00EB3634">
        <w:rPr>
          <w:rFonts w:asciiTheme="majorHAnsi" w:hAnsiTheme="majorHAnsi" w:cstheme="majorHAnsi"/>
        </w:rPr>
        <w:br/>
      </w:r>
      <w:r w:rsidRPr="00EB3634">
        <w:rPr>
          <w:rFonts w:asciiTheme="majorHAnsi" w:hAnsiTheme="majorHAnsi" w:cstheme="majorHAnsi"/>
        </w:rPr>
        <w:br/>
      </w:r>
      <w:r w:rsidRPr="00720F46">
        <w:rPr>
          <w:rFonts w:asciiTheme="majorHAnsi" w:eastAsiaTheme="majorEastAsia" w:hAnsiTheme="majorHAnsi" w:cstheme="majorHAnsi"/>
          <w:b/>
          <w:bCs/>
          <w:color w:val="365F91" w:themeColor="accent1" w:themeShade="BF"/>
          <w:sz w:val="28"/>
          <w:szCs w:val="28"/>
        </w:rPr>
        <w:t>Conclusion</w:t>
      </w:r>
      <w:r w:rsidRPr="00EB3634">
        <w:rPr>
          <w:rFonts w:asciiTheme="majorHAnsi" w:hAnsiTheme="majorHAnsi" w:cstheme="majorHAnsi"/>
        </w:rPr>
        <w:br/>
        <w:t>This risk management plan provides a structured approach to identifying, analyzing, and mitigating risks that could affect TechSecure Inc. By implementing the recommended controls and continuously monitoring for emerging threats, the organization can enhance its resilience and maintain operational continuity.</w:t>
      </w:r>
      <w:r w:rsidRPr="00EB3634">
        <w:rPr>
          <w:rFonts w:asciiTheme="majorHAnsi" w:hAnsiTheme="majorHAnsi" w:cstheme="majorHAnsi"/>
        </w:rPr>
        <w:br/>
      </w:r>
    </w:p>
    <w:sectPr w:rsidR="009D3F01" w:rsidRPr="00EB3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004359">
    <w:abstractNumId w:val="8"/>
  </w:num>
  <w:num w:numId="2" w16cid:durableId="2010717200">
    <w:abstractNumId w:val="6"/>
  </w:num>
  <w:num w:numId="3" w16cid:durableId="1666931998">
    <w:abstractNumId w:val="5"/>
  </w:num>
  <w:num w:numId="4" w16cid:durableId="167448303">
    <w:abstractNumId w:val="4"/>
  </w:num>
  <w:num w:numId="5" w16cid:durableId="1256668844">
    <w:abstractNumId w:val="7"/>
  </w:num>
  <w:num w:numId="6" w16cid:durableId="1850633299">
    <w:abstractNumId w:val="3"/>
  </w:num>
  <w:num w:numId="7" w16cid:durableId="252595831">
    <w:abstractNumId w:val="2"/>
  </w:num>
  <w:num w:numId="8" w16cid:durableId="812066940">
    <w:abstractNumId w:val="1"/>
  </w:num>
  <w:num w:numId="9" w16cid:durableId="208853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A17"/>
    <w:rsid w:val="0015074B"/>
    <w:rsid w:val="0015206D"/>
    <w:rsid w:val="001844A5"/>
    <w:rsid w:val="0029639D"/>
    <w:rsid w:val="00326F90"/>
    <w:rsid w:val="003D740D"/>
    <w:rsid w:val="0050731E"/>
    <w:rsid w:val="006E4C27"/>
    <w:rsid w:val="00720F46"/>
    <w:rsid w:val="007A2CDD"/>
    <w:rsid w:val="007A62C4"/>
    <w:rsid w:val="009923A9"/>
    <w:rsid w:val="009D3F01"/>
    <w:rsid w:val="00AA1D8D"/>
    <w:rsid w:val="00AB199B"/>
    <w:rsid w:val="00B47730"/>
    <w:rsid w:val="00CB0664"/>
    <w:rsid w:val="00D05FA2"/>
    <w:rsid w:val="00EB36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05215"/>
  <w14:defaultImageDpi w14:val="300"/>
  <w15:docId w15:val="{1B238D80-F733-4435-923E-BA1CF588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3-Accent5">
    <w:name w:val="Grid Table 3 Accent 5"/>
    <w:basedOn w:val="TableNormal"/>
    <w:uiPriority w:val="48"/>
    <w:rsid w:val="009923A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PlainTable3">
    <w:name w:val="Plain Table 3"/>
    <w:basedOn w:val="TableNormal"/>
    <w:uiPriority w:val="99"/>
    <w:rsid w:val="009923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0328">
      <w:bodyDiv w:val="1"/>
      <w:marLeft w:val="0"/>
      <w:marRight w:val="0"/>
      <w:marTop w:val="0"/>
      <w:marBottom w:val="0"/>
      <w:divBdr>
        <w:top w:val="none" w:sz="0" w:space="0" w:color="auto"/>
        <w:left w:val="none" w:sz="0" w:space="0" w:color="auto"/>
        <w:bottom w:val="none" w:sz="0" w:space="0" w:color="auto"/>
        <w:right w:val="none" w:sz="0" w:space="0" w:color="auto"/>
      </w:divBdr>
    </w:div>
    <w:div w:id="339620005">
      <w:bodyDiv w:val="1"/>
      <w:marLeft w:val="0"/>
      <w:marRight w:val="0"/>
      <w:marTop w:val="0"/>
      <w:marBottom w:val="0"/>
      <w:divBdr>
        <w:top w:val="none" w:sz="0" w:space="0" w:color="auto"/>
        <w:left w:val="none" w:sz="0" w:space="0" w:color="auto"/>
        <w:bottom w:val="none" w:sz="0" w:space="0" w:color="auto"/>
        <w:right w:val="none" w:sz="0" w:space="0" w:color="auto"/>
      </w:divBdr>
    </w:div>
    <w:div w:id="465397409">
      <w:bodyDiv w:val="1"/>
      <w:marLeft w:val="0"/>
      <w:marRight w:val="0"/>
      <w:marTop w:val="0"/>
      <w:marBottom w:val="0"/>
      <w:divBdr>
        <w:top w:val="none" w:sz="0" w:space="0" w:color="auto"/>
        <w:left w:val="none" w:sz="0" w:space="0" w:color="auto"/>
        <w:bottom w:val="none" w:sz="0" w:space="0" w:color="auto"/>
        <w:right w:val="none" w:sz="0" w:space="0" w:color="auto"/>
      </w:divBdr>
    </w:div>
    <w:div w:id="612781754">
      <w:bodyDiv w:val="1"/>
      <w:marLeft w:val="0"/>
      <w:marRight w:val="0"/>
      <w:marTop w:val="0"/>
      <w:marBottom w:val="0"/>
      <w:divBdr>
        <w:top w:val="none" w:sz="0" w:space="0" w:color="auto"/>
        <w:left w:val="none" w:sz="0" w:space="0" w:color="auto"/>
        <w:bottom w:val="none" w:sz="0" w:space="0" w:color="auto"/>
        <w:right w:val="none" w:sz="0" w:space="0" w:color="auto"/>
      </w:divBdr>
    </w:div>
    <w:div w:id="1426727117">
      <w:bodyDiv w:val="1"/>
      <w:marLeft w:val="0"/>
      <w:marRight w:val="0"/>
      <w:marTop w:val="0"/>
      <w:marBottom w:val="0"/>
      <w:divBdr>
        <w:top w:val="none" w:sz="0" w:space="0" w:color="auto"/>
        <w:left w:val="none" w:sz="0" w:space="0" w:color="auto"/>
        <w:bottom w:val="none" w:sz="0" w:space="0" w:color="auto"/>
        <w:right w:val="none" w:sz="0" w:space="0" w:color="auto"/>
      </w:divBdr>
    </w:div>
    <w:div w:id="1686635066">
      <w:bodyDiv w:val="1"/>
      <w:marLeft w:val="0"/>
      <w:marRight w:val="0"/>
      <w:marTop w:val="0"/>
      <w:marBottom w:val="0"/>
      <w:divBdr>
        <w:top w:val="none" w:sz="0" w:space="0" w:color="auto"/>
        <w:left w:val="none" w:sz="0" w:space="0" w:color="auto"/>
        <w:bottom w:val="none" w:sz="0" w:space="0" w:color="auto"/>
        <w:right w:val="none" w:sz="0" w:space="0" w:color="auto"/>
      </w:divBdr>
    </w:div>
    <w:div w:id="1750418313">
      <w:bodyDiv w:val="1"/>
      <w:marLeft w:val="0"/>
      <w:marRight w:val="0"/>
      <w:marTop w:val="0"/>
      <w:marBottom w:val="0"/>
      <w:divBdr>
        <w:top w:val="none" w:sz="0" w:space="0" w:color="auto"/>
        <w:left w:val="none" w:sz="0" w:space="0" w:color="auto"/>
        <w:bottom w:val="none" w:sz="0" w:space="0" w:color="auto"/>
        <w:right w:val="none" w:sz="0" w:space="0" w:color="auto"/>
      </w:divBdr>
    </w:div>
    <w:div w:id="1795371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LOUDHAIEF NOURHENE [IN2300021]</cp:lastModifiedBy>
  <cp:revision>5</cp:revision>
  <dcterms:created xsi:type="dcterms:W3CDTF">2013-12-23T23:15:00Z</dcterms:created>
  <dcterms:modified xsi:type="dcterms:W3CDTF">2025-04-08T18:44:00Z</dcterms:modified>
  <cp:category/>
</cp:coreProperties>
</file>