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smallCaps/>
          <w:color w:val="1F3A4D"/>
          <w:sz w:val="18"/>
          <w:szCs w:val="18"/>
        </w:rPr>
        <w:t xml:space="preserve">WORKING PAPER</w:t>
      </w:r>
    </w:p>
    <w:p>
      <w:pPr>
        <w:spacing w:after="80" w:before="80"/>
      </w:pPr>
      <w:r>
        <w:rPr>
          <w:rFonts w:ascii="Arial" w:cs="Arial" w:eastAsia="Arial" w:hAnsi="Arial"/>
          <w:b/>
          <w:bCs/>
          <w:i w:val="false"/>
          <w:iCs w:val="false"/>
          <w:smallCaps w:val="false"/>
          <w:color w:val="1F3A4D"/>
          <w:sz w:val="40"/>
          <w:szCs w:val="40"/>
        </w:rPr>
        <w:t xml:space="preserve">Object, Representation, and Boundary</w:t>
      </w:r>
    </w:p>
    <w:p>
      <w:pPr>
        <w:pBdr>
          <w:bottom w:val="single" w:color="1F3A4D" w:sz="12" w:space="1"/>
        </w:pBdr>
        <w:spacing w:after="200" w:before="0"/>
      </w:pPr>
      <w:r>
        <w:rPr>
          <w:rFonts w:ascii="Arial" w:cs="Arial" w:eastAsia="Arial" w:hAnsi="Arial"/>
          <w:b w:val="false"/>
          <w:bCs w:val="false"/>
          <w:i/>
          <w:iCs/>
          <w:smallCaps w:val="false"/>
          <w:color w:val="4A5560"/>
          <w:sz w:val="22"/>
          <w:szCs w:val="22"/>
        </w:rPr>
        <w:t xml:space="preserve">A descriptive record of the digital-boundary framework, the observer-layer reports, and the interpretation traces</w:t>
      </w:r>
    </w:p>
    <w:p>
      <w:pPr>
        <w:spacing w:after="120" w:before="0" w:line="276"/>
      </w:pPr>
      <w:r>
        <w:rPr>
          <w:rFonts w:ascii="Arial" w:cs="Arial" w:eastAsia="Arial" w:hAnsi="Arial"/>
          <w:b/>
          <w:bCs/>
          <w:i w:val="false"/>
          <w:iCs w:val="false"/>
          <w:smallCaps w:val="false"/>
          <w:color w:val="1A1A1A"/>
          <w:sz w:val="21"/>
          <w:szCs w:val="21"/>
        </w:rPr>
        <w:t xml:space="preserve">Status. </w:t>
      </w:r>
      <w:r>
        <w:rPr>
          <w:rFonts w:ascii="Arial" w:cs="Arial" w:eastAsia="Arial" w:hAnsi="Arial"/>
          <w:b w:val="false"/>
          <w:bCs w:val="false"/>
          <w:i w:val="false"/>
          <w:iCs w:val="false"/>
          <w:smallCaps w:val="false"/>
          <w:color w:val="1A1A1A"/>
          <w:sz w:val="21"/>
          <w:szCs w:val="21"/>
        </w:rPr>
        <w:t xml:space="preserve">Assembled October 2026 from the Digital Boundary and Representation Studies working corpus and the September 2026 continuity notebook. This paper reports what those materials contain. It does not convert a model into a measurement, a count into a verdict, or a visible sequence into a hidden mechanism.</w:t>
      </w:r>
    </w:p>
    <w:p>
      <w:pPr>
        <w:spacing w:after="200" w:before="0" w:line="276"/>
      </w:pPr>
      <w:r>
        <w:rPr>
          <w:rFonts w:ascii="Arial" w:cs="Arial" w:eastAsia="Arial" w:hAnsi="Arial"/>
          <w:b/>
          <w:bCs/>
          <w:i w:val="false"/>
          <w:iCs w:val="false"/>
          <w:smallCaps w:val="false"/>
          <w:color w:val="1A1A1A"/>
          <w:sz w:val="21"/>
          <w:szCs w:val="21"/>
        </w:rPr>
        <w:t xml:space="preserve">Reading rule. </w:t>
      </w:r>
      <w:r>
        <w:rPr>
          <w:rFonts w:ascii="Arial" w:cs="Arial" w:eastAsia="Arial" w:hAnsi="Arial"/>
          <w:b w:val="false"/>
          <w:bCs w:val="false"/>
          <w:i w:val="false"/>
          <w:iCs w:val="false"/>
          <w:smallCaps w:val="false"/>
          <w:color w:val="1A1A1A"/>
          <w:sz w:val="21"/>
          <w:szCs w:val="21"/>
        </w:rPr>
        <w:t xml:space="preserve">Four labels are used where a claim’s standing matters. Direct trace: something visible in a saved file, equation, count, quotation, or conversation. Working inference: a relation that seems supported and is not treated as established. Unknown: a cause the available record cannot settle. Next test: a comparison that would isolate the question.</w:t>
      </w:r>
    </w:p>
    <w:p>
      <w:pPr>
        <w:pStyle w:val="Heading1"/>
        <w:pBdr>
          <w:bottom w:val="single" w:color="1F3A4D" w:sz="8" w:space="1"/>
        </w:pBdr>
        <w:spacing w:after="140" w:before="360"/>
      </w:pPr>
      <w:r>
        <w:rPr>
          <w:rFonts w:ascii="Arial" w:cs="Arial" w:eastAsia="Arial" w:hAnsi="Arial"/>
          <w:b/>
          <w:bCs/>
          <w:color w:val="1F3A4D"/>
          <w:sz w:val="28"/>
          <w:szCs w:val="28"/>
        </w:rPr>
        <w:t xml:space="preserve">1. What this paper is</w:t>
      </w:r>
    </w:p>
    <w:p>
      <w:pPr>
        <w:spacing w:after="160" w:before="0" w:line="276"/>
      </w:pPr>
      <w:r>
        <w:rPr>
          <w:rFonts w:ascii="Arial" w:cs="Arial" w:eastAsia="Arial" w:hAnsi="Arial"/>
          <w:b w:val="false"/>
          <w:bCs w:val="false"/>
          <w:i w:val="false"/>
          <w:iCs w:val="false"/>
          <w:smallCaps w:val="false"/>
          <w:color w:val="1A1A1A"/>
          <w:sz w:val="22"/>
          <w:szCs w:val="22"/>
        </w:rPr>
        <w:t xml:space="preserve">The materials under review are a continuity record, not a finished argument. They were built across chats, uploads, corrections, code experiments, and later language revisions. The recurring question is what happens to an object when an interpreting system admits it, places it in a category, assigns meaning, preserves or drops parts of it, and then reasons from the resulting representation.</w:t>
      </w:r>
    </w:p>
    <w:p>
      <w:pPr>
        <w:spacing w:after="160" w:before="0" w:line="276"/>
      </w:pPr>
      <w:r>
        <w:rPr>
          <w:rFonts w:ascii="Arial" w:cs="Arial" w:eastAsia="Arial" w:hAnsi="Arial"/>
          <w:b w:val="false"/>
          <w:bCs w:val="false"/>
          <w:i w:val="false"/>
          <w:iCs w:val="false"/>
          <w:smallCaps w:val="false"/>
          <w:color w:val="1A1A1A"/>
          <w:sz w:val="22"/>
          <w:szCs w:val="22"/>
        </w:rPr>
        <w:t xml:space="preserve">Several apparently separate events lined up once that question was stated plainly: omitted documents, identity mix-ups, hostile psychological overreading, flattering overreading, authorship shifts, pronoun misbinding, location and safety misclassification, and explanations that stayed coherent after the represented object had changed. The record treats those as instances of the same distinction, not as proof of one cause.</w:t>
      </w:r>
    </w:p>
    <w:p>
      <w:pPr>
        <w:spacing w:after="160" w:before="40" w:line="276"/>
      </w:pPr>
      <w:r>
        <w:rPr>
          <w:rFonts w:ascii="Arial" w:cs="Arial" w:eastAsia="Arial" w:hAnsi="Arial"/>
          <w:b w:val="false"/>
          <w:bCs w:val="false"/>
          <w:i/>
          <w:iCs/>
          <w:smallCaps w:val="false"/>
          <w:color w:val="2C3A46"/>
          <w:sz w:val="22"/>
          <w:szCs w:val="22"/>
        </w:rPr>
        <w:t xml:space="preserve">Object is not the representation of the object. Coherence of an explanation is not evidence that the representation is accurate.</w:t>
      </w:r>
    </w:p>
    <w:p>
      <w:pPr>
        <w:spacing w:after="160" w:before="0" w:line="276"/>
      </w:pPr>
      <w:r>
        <w:rPr>
          <w:rFonts w:ascii="Arial" w:cs="Arial" w:eastAsia="Arial" w:hAnsi="Arial"/>
          <w:b w:val="false"/>
          <w:bCs w:val="false"/>
          <w:i w:val="false"/>
          <w:iCs w:val="false"/>
          <w:smallCaps w:val="false"/>
          <w:color w:val="1A1A1A"/>
          <w:sz w:val="22"/>
          <w:szCs w:val="22"/>
        </w:rPr>
        <w:t xml:space="preserve">A second distinction also survived pressure. A classification can be accurate and still be socially consequential. The analysis does not need to decide that every label is false in order to examine what labels do inside a system. Frequency of a term is not, by itself, evidence that the term is unwarranted.</w:t>
      </w:r>
    </w:p>
    <w:p>
      <w:pPr>
        <w:spacing w:after="160" w:before="0" w:line="276"/>
      </w:pPr>
      <w:r>
        <w:rPr>
          <w:rFonts w:ascii="Arial" w:cs="Arial" w:eastAsia="Arial" w:hAnsi="Arial"/>
          <w:b w:val="false"/>
          <w:bCs w:val="false"/>
          <w:i w:val="false"/>
          <w:iCs w:val="false"/>
          <w:smallCaps w:val="false"/>
          <w:color w:val="1A1A1A"/>
          <w:sz w:val="22"/>
          <w:szCs w:val="22"/>
        </w:rPr>
        <w:t xml:space="preserve">The observer is part of the field. A researcher, model, moderator, critic, or assistant does not become invisible because a description may be correct. Vocabulary, categories, relation to the subject, and assumptions can themselves be inspected. That is the use of the two reports on the academic manuscript discussed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5CDD6" w:sz="4"/>
              <w:left w:val="single" w:color="C5CDD6" w:sz="4"/>
              <w:bottom w:val="single" w:color="C5CDD6" w:sz="4"/>
              <w:right w:val="single" w:color="C5CDD6" w:sz="4"/>
            </w:tcBorders>
            <w:shd w:fill="F4F6F8" w:val="clear"/>
            <w:tcMar>
              <w:top w:type="dxa" w:w="100"/>
              <w:left w:type="dxa" w:w="140"/>
              <w:bottom w:type="dxa" w:w="100"/>
              <w:right w:type="dxa" w:w="140"/>
            </w:tcMar>
          </w:tcPr>
          <w:p>
            <w:pPr>
              <w:spacing w:after="0" w:before="0" w:line="260"/>
            </w:pPr>
            <w:r>
              <w:rPr>
                <w:rFonts w:ascii="Arial" w:cs="Arial" w:eastAsia="Arial" w:hAnsi="Arial"/>
                <w:b w:val="false"/>
                <w:bCs w:val="false"/>
                <w:i/>
                <w:iCs/>
                <w:smallCaps w:val="false"/>
                <w:color w:val="2C3A46"/>
                <w:sz w:val="20"/>
                <w:szCs w:val="20"/>
              </w:rPr>
              <w:t xml:space="preserve">Private continuity notes in the notebook — personal memories, a book-reading sequence, and a friendship audit — are marked there as not automatic publication material. They are not carried into this paper. The methodological habit they supported is carried: do not let a label replace the event.</w:t>
            </w:r>
          </w:p>
        </w:tc>
      </w:tr>
    </w:tbl>
    <w:p>
      <w:pPr>
        <w:pStyle w:val="Heading1"/>
        <w:pBdr>
          <w:bottom w:val="single" w:color="1F3A4D" w:sz="8" w:space="1"/>
        </w:pBdr>
        <w:spacing w:after="140" w:before="360"/>
      </w:pPr>
      <w:r>
        <w:rPr>
          <w:rFonts w:ascii="Arial" w:cs="Arial" w:eastAsia="Arial" w:hAnsi="Arial"/>
          <w:b/>
          <w:bCs/>
          <w:color w:val="1F3A4D"/>
          <w:sz w:val="28"/>
          <w:szCs w:val="28"/>
        </w:rPr>
        <w:t xml:space="preserve">2. Distinctions the record keeps separate</w:t>
      </w:r>
    </w:p>
    <w:p>
      <w:pPr>
        <w:spacing w:after="160" w:before="0" w:line="276"/>
      </w:pPr>
      <w:r>
        <w:rPr>
          <w:rFonts w:ascii="Arial" w:cs="Arial" w:eastAsia="Arial" w:hAnsi="Arial"/>
          <w:b w:val="false"/>
          <w:bCs w:val="false"/>
          <w:i w:val="false"/>
          <w:iCs w:val="false"/>
          <w:smallCaps w:val="false"/>
          <w:color w:val="1A1A1A"/>
          <w:sz w:val="22"/>
          <w:szCs w:val="22"/>
        </w:rPr>
        <w:t xml:space="preserve">The notebook collected a set of inequalities that function as checks. They are listed here as working language, not as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Distinction</w:t>
            </w:r>
          </w:p>
        </w:tc>
        <w:tc>
          <w:tcPr>
            <w:tcW w:type="dxa" w:w="576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What it separates</w:t>
            </w:r>
          </w:p>
        </w:tc>
      </w:tr>
      <w:tr>
        <w:trPr>
          <w:cantSplit/>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Object ≠ representation of object</w:t>
            </w:r>
          </w:p>
        </w:tc>
        <w:tc>
          <w:tcPr>
            <w:tcW w:type="dxa" w:w="5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The thing under inspection, and the category or story built from it.</w:t>
            </w:r>
          </w:p>
        </w:tc>
      </w:tr>
      <w:tr>
        <w:trPr>
          <w:cantSplit/>
        </w:trPr>
        <w:tc>
          <w:tcPr>
            <w:tcW w:type="dxa" w:w="3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Source admission ≠ continued persistence</w:t>
            </w:r>
          </w:p>
        </w:tc>
        <w:tc>
          <w:tcPr>
            <w:tcW w:type="dxa" w:w="57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 source can be supplied once and then drop out of later analysis.</w:t>
            </w:r>
          </w:p>
        </w:tc>
      </w:tr>
      <w:tr>
        <w:trPr>
          <w:cantSplit/>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Classification accurate ≠ classification inconsequential</w:t>
            </w:r>
          </w:p>
        </w:tc>
        <w:tc>
          <w:tcPr>
            <w:tcW w:type="dxa" w:w="5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 warranted label can still change how a person or group is treated.</w:t>
            </w:r>
          </w:p>
        </w:tc>
      </w:tr>
      <w:tr>
        <w:trPr>
          <w:cantSplit/>
        </w:trPr>
        <w:tc>
          <w:tcPr>
            <w:tcW w:type="dxa" w:w="3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Positive overcoding ≠ accurate description</w:t>
            </w:r>
          </w:p>
        </w:tc>
        <w:tc>
          <w:tcPr>
            <w:tcW w:type="dxa" w:w="57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Praise can outrun the evidence in the same way hostility can.</w:t>
            </w:r>
          </w:p>
        </w:tc>
      </w:tr>
      <w:tr>
        <w:trPr>
          <w:cantSplit/>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Relationship label ≠ verified support capacity</w:t>
            </w:r>
          </w:p>
        </w:tc>
        <w:tc>
          <w:tcPr>
            <w:tcW w:type="dxa" w:w="5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“Husband,” “family,” or “safe person” does not establish safety, confidentiality, or fitness for a disclosure.</w:t>
            </w:r>
          </w:p>
        </w:tc>
      </w:tr>
      <w:tr>
        <w:trPr>
          <w:cantSplit/>
        </w:trPr>
        <w:tc>
          <w:tcPr>
            <w:tcW w:type="dxa" w:w="3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Capability possessed ≠ capability available</w:t>
            </w:r>
          </w:p>
        </w:tc>
        <w:tc>
          <w:tcPr>
            <w:tcW w:type="dxa" w:w="57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 capacity can exist and still be allocated elsewhere for a particular communication.</w:t>
            </w:r>
          </w:p>
        </w:tc>
      </w:tr>
      <w:tr>
        <w:trPr>
          <w:cantSplit/>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Kairotic priority ≠ actual access</w:t>
            </w:r>
          </w:p>
        </w:tc>
        <w:tc>
          <w:tcPr>
            <w:tcW w:type="dxa" w:w="5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 communication window can be important without anyone being entitled to the scarce capacity it needs.</w:t>
            </w:r>
          </w:p>
        </w:tc>
      </w:tr>
      <w:tr>
        <w:trPr>
          <w:cantSplit/>
        </w:trPr>
        <w:tc>
          <w:tcPr>
            <w:tcW w:type="dxa" w:w="3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Hidden context ≠ durable transcript</w:t>
            </w:r>
          </w:p>
        </w:tc>
        <w:tc>
          <w:tcPr>
            <w:tcW w:type="dxa" w:w="57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Information available as session context is not the same as information written into text others can later read.</w:t>
            </w:r>
          </w:p>
        </w:tc>
      </w:tr>
      <w:tr>
        <w:trPr>
          <w:cantSplit/>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Closure language ≠ resolution</w:t>
            </w:r>
          </w:p>
        </w:tc>
        <w:tc>
          <w:tcPr>
            <w:tcW w:type="dxa" w:w="57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Declaring a case complete does not settle the underlying representational problem.</w:t>
            </w:r>
          </w:p>
        </w:tc>
      </w:tr>
      <w:tr>
        <w:trPr>
          <w:cantSplit/>
        </w:trPr>
        <w:tc>
          <w:tcPr>
            <w:tcW w:type="dxa" w:w="3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Saying a state exists ≠ creating the state</w:t>
            </w:r>
          </w:p>
        </w:tc>
        <w:tc>
          <w:tcPr>
            <w:tcW w:type="dxa" w:w="57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“Documented,” “verified,” or “on the record” can name a state that has not been established outside the conversation.</w:t>
            </w:r>
          </w:p>
        </w:tc>
      </w:tr>
    </w:tbl>
    <w:p>
      <w:pPr>
        <w:spacing w:after="180" w:before="0"/>
      </w:pPr>
      <w:r>
        <w:rPr>
          <w:rFonts w:ascii="Arial" w:cs="Arial" w:eastAsia="Arial" w:hAnsi="Arial"/>
          <w:b w:val="false"/>
          <w:bCs w:val="false"/>
          <w:i w:val="false"/>
          <w:iCs w:val="false"/>
          <w:smallCaps w:val="false"/>
          <w:color w:val="1A1A1A"/>
          <w:sz w:val="22"/>
          <w:szCs w:val="22"/>
        </w:rPr>
        <w:t xml:space="preserve"/>
      </w:r>
    </w:p>
    <w:p>
      <w:pPr>
        <w:pStyle w:val="Heading1"/>
        <w:pBdr>
          <w:bottom w:val="single" w:color="1F3A4D" w:sz="8" w:space="1"/>
        </w:pBdr>
        <w:spacing w:after="140" w:before="360"/>
      </w:pPr>
      <w:r>
        <w:rPr>
          <w:rFonts w:ascii="Arial" w:cs="Arial" w:eastAsia="Arial" w:hAnsi="Arial"/>
          <w:b/>
          <w:bCs/>
          <w:color w:val="1F3A4D"/>
          <w:sz w:val="28"/>
          <w:szCs w:val="28"/>
        </w:rPr>
        <w:t xml:space="preserve">3. Boundary models as descriptive language</w:t>
      </w:r>
    </w:p>
    <w:p>
      <w:pPr>
        <w:spacing w:after="160" w:before="0" w:line="276"/>
      </w:pPr>
      <w:r>
        <w:rPr>
          <w:rFonts w:ascii="Arial" w:cs="Arial" w:eastAsia="Arial" w:hAnsi="Arial"/>
          <w:b w:val="false"/>
          <w:bCs w:val="false"/>
          <w:i w:val="false"/>
          <w:iCs w:val="false"/>
          <w:smallCaps w:val="false"/>
          <w:color w:val="1A1A1A"/>
          <w:sz w:val="22"/>
          <w:szCs w:val="22"/>
        </w:rPr>
        <w:t xml:space="preserve">The formal work uses three mathematical systems and a spatial boundary model. The corpus is explicit that these are structured ways to describe movement, pressure, thresholds, and change. They are not claims that human groups are fluids, or that social behavior can be measured with perfect precision. Later revisions reduced adversarial metaphors around the same equations. The structures were kept; person-shaped and tactical wording was reduced.</w:t>
      </w:r>
    </w:p>
    <w:p>
      <w:pPr>
        <w:pStyle w:val="Heading2"/>
        <w:spacing w:after="80" w:before="260"/>
      </w:pPr>
      <w:r>
        <w:rPr>
          <w:rFonts w:ascii="Arial" w:cs="Arial" w:eastAsia="Arial" w:hAnsi="Arial"/>
          <w:b/>
          <w:bCs/>
          <w:color w:val="1F3A4D"/>
          <w:sz w:val="24"/>
          <w:szCs w:val="24"/>
        </w:rPr>
        <w:t xml:space="preserve">System 1: static invariance</w:t>
      </w:r>
    </w:p>
    <w:p>
      <w:pPr>
        <w:spacing w:after="160" w:before="0" w:line="276"/>
      </w:pPr>
      <w:r>
        <w:rPr>
          <w:rFonts w:ascii="Arial" w:cs="Arial" w:eastAsia="Arial" w:hAnsi="Arial"/>
          <w:b w:val="false"/>
          <w:bCs w:val="false"/>
          <w:i w:val="false"/>
          <w:iCs w:val="false"/>
          <w:smallCaps w:val="false"/>
          <w:color w:val="1A1A1A"/>
          <w:sz w:val="22"/>
          <w:szCs w:val="22"/>
        </w:rPr>
        <w:t xml:space="preserve">A pair of values can be rescaled while preserving the same product. Presentation or weighting can change while a deeper relation stays constant.</w:t>
      </w:r>
    </w:p>
    <w:p>
      <w:pPr>
        <w:spacing w:after="160" w:before="40" w:line="276"/>
      </w:pPr>
      <w:r>
        <w:rPr>
          <w:rFonts w:ascii="Arial" w:cs="Arial" w:eastAsia="Arial" w:hAnsi="Arial"/>
          <w:b w:val="false"/>
          <w:bCs w:val="false"/>
          <w:i/>
          <w:iCs/>
          <w:smallCaps w:val="false"/>
          <w:color w:val="2C3A46"/>
          <w:sz w:val="22"/>
          <w:szCs w:val="22"/>
        </w:rPr>
        <w:t xml:space="preserve">x = [S ; R]     M = [λ , 0 ; 0 , 1/λ]     (λS) · ((1/λ)R) = SR = Q</w:t>
      </w:r>
    </w:p>
    <w:p>
      <w:pPr>
        <w:spacing w:after="160" w:before="0" w:line="276"/>
      </w:pPr>
      <w:r>
        <w:rPr>
          <w:rFonts w:ascii="Arial" w:cs="Arial" w:eastAsia="Arial" w:hAnsi="Arial"/>
          <w:b w:val="false"/>
          <w:bCs w:val="false"/>
          <w:i w:val="false"/>
          <w:iCs w:val="false"/>
          <w:smallCaps w:val="false"/>
          <w:color w:val="1A1A1A"/>
          <w:sz w:val="22"/>
          <w:szCs w:val="22"/>
        </w:rPr>
        <w:t xml:space="preserve">S is the environmental context variable. R is the behavioral or response variable. λ is the local scaling factor. Q is the conserved product. The useful question is which quantity is meant to stay invariant when presentation changes.</w:t>
      </w:r>
    </w:p>
    <w:p>
      <w:pPr>
        <w:pStyle w:val="Heading2"/>
        <w:spacing w:after="80" w:before="260"/>
      </w:pPr>
      <w:r>
        <w:rPr>
          <w:rFonts w:ascii="Arial" w:cs="Arial" w:eastAsia="Arial" w:hAnsi="Arial"/>
          <w:b/>
          <w:bCs/>
          <w:color w:val="1F3A4D"/>
          <w:sz w:val="24"/>
          <w:szCs w:val="24"/>
        </w:rPr>
        <w:t xml:space="preserve">System 2: fluid continuity</w:t>
      </w:r>
    </w:p>
    <w:p>
      <w:pPr>
        <w:spacing w:after="160" w:before="0" w:line="276"/>
      </w:pPr>
      <w:r>
        <w:rPr>
          <w:rFonts w:ascii="Arial" w:cs="Arial" w:eastAsia="Arial" w:hAnsi="Arial"/>
          <w:b w:val="false"/>
          <w:bCs w:val="false"/>
          <w:i w:val="false"/>
          <w:iCs w:val="false"/>
          <w:smallCaps w:val="false"/>
          <w:color w:val="1A1A1A"/>
          <w:sz w:val="22"/>
          <w:szCs w:val="22"/>
        </w:rPr>
        <w:t xml:space="preserve">Status or contextual information is treated as a field that changes over time. Advection is directional movement. Diffusion is spreading or smoothing. A source term is a localized contribution.</w:t>
      </w:r>
    </w:p>
    <w:p>
      <w:pPr>
        <w:spacing w:after="160" w:before="40" w:line="276"/>
      </w:pPr>
      <w:r>
        <w:rPr>
          <w:rFonts w:ascii="Arial" w:cs="Arial" w:eastAsia="Arial" w:hAnsi="Arial"/>
          <w:b w:val="false"/>
          <w:bCs w:val="false"/>
          <w:i/>
          <w:iCs/>
          <w:smallCaps w:val="false"/>
          <w:color w:val="2C3A46"/>
          <w:sz w:val="22"/>
          <w:szCs w:val="22"/>
        </w:rPr>
        <w:t xml:space="preserve">∂S(x, t) / ∂t = −u · ∇S + D ∇²S + δ(x − x₀) · P(U)</w:t>
      </w:r>
    </w:p>
    <w:p>
      <w:pPr>
        <w:spacing w:after="160" w:before="40" w:line="276"/>
      </w:pPr>
      <w:r>
        <w:rPr>
          <w:rFonts w:ascii="Arial" w:cs="Arial" w:eastAsia="Arial" w:hAnsi="Arial"/>
          <w:b w:val="false"/>
          <w:bCs w:val="false"/>
          <w:i/>
          <w:iCs/>
          <w:smallCaps w:val="false"/>
          <w:color w:val="2C3A46"/>
          <w:sz w:val="22"/>
          <w:szCs w:val="22"/>
        </w:rPr>
        <w:t xml:space="preserve">P(U) = ∫ from 0 to t of γ · [U(τ) − Ubaseline] dτ</w:t>
      </w:r>
    </w:p>
    <w:p>
      <w:pPr>
        <w:spacing w:after="160" w:before="0" w:line="276"/>
      </w:pPr>
      <w:r>
        <w:rPr>
          <w:rFonts w:ascii="Arial" w:cs="Arial" w:eastAsia="Arial" w:hAnsi="Arial"/>
          <w:b w:val="false"/>
          <w:bCs w:val="false"/>
          <w:i w:val="false"/>
          <w:iCs w:val="false"/>
          <w:smallCaps w:val="false"/>
          <w:color w:val="1A1A1A"/>
          <w:sz w:val="22"/>
          <w:szCs w:val="22"/>
        </w:rPr>
        <w:t xml:space="preserve">u is advection velocity: direction and rate of transport. D is the diffusion coefficient. P(U) is production from accumulated performance relative to a baseline. The notebook records a correction from the coding work: these symbols must not be casually reassigned to variables from another framework.</w:t>
      </w:r>
    </w:p>
    <w:p>
      <w:pPr>
        <w:pStyle w:val="Heading2"/>
        <w:spacing w:after="80" w:before="260"/>
      </w:pPr>
      <w:r>
        <w:rPr>
          <w:rFonts w:ascii="Arial" w:cs="Arial" w:eastAsia="Arial" w:hAnsi="Arial"/>
          <w:b/>
          <w:bCs/>
          <w:color w:val="1F3A4D"/>
          <w:sz w:val="24"/>
          <w:szCs w:val="24"/>
        </w:rPr>
        <w:t xml:space="preserve">System 3: threshold and response</w:t>
      </w:r>
    </w:p>
    <w:p>
      <w:pPr>
        <w:spacing w:after="160" w:before="0" w:line="276"/>
      </w:pPr>
      <w:r>
        <w:rPr>
          <w:rFonts w:ascii="Arial" w:cs="Arial" w:eastAsia="Arial" w:hAnsi="Arial"/>
          <w:b w:val="false"/>
          <w:bCs w:val="false"/>
          <w:i w:val="false"/>
          <w:iCs w:val="false"/>
          <w:smallCaps w:val="false"/>
          <w:color w:val="1A1A1A"/>
          <w:sz w:val="22"/>
          <w:szCs w:val="22"/>
        </w:rPr>
        <w:t xml:space="preserve">Below a modeled threshold the system is treated as relatively stable. Above it, an additional response term becomes active.</w:t>
      </w:r>
    </w:p>
    <w:p>
      <w:pPr>
        <w:spacing w:after="160" w:before="40" w:line="276"/>
      </w:pPr>
      <w:r>
        <w:rPr>
          <w:rFonts w:ascii="Arial" w:cs="Arial" w:eastAsia="Arial" w:hAnsi="Arial"/>
          <w:b w:val="false"/>
          <w:bCs w:val="false"/>
          <w:i/>
          <w:iCs/>
          <w:smallCaps w:val="false"/>
          <w:color w:val="2C3A46"/>
          <w:sz w:val="22"/>
          <w:szCs w:val="22"/>
        </w:rPr>
        <w:t xml:space="preserve">τ = μ₀ · ∇u     Γcrit = τ₀ / η     activation when |∇S| &gt; Γcrit</w:t>
      </w:r>
    </w:p>
    <w:p>
      <w:pPr>
        <w:spacing w:after="160" w:before="40" w:line="276"/>
      </w:pPr>
      <w:r>
        <w:rPr>
          <w:rFonts w:ascii="Arial" w:cs="Arial" w:eastAsia="Arial" w:hAnsi="Arial"/>
          <w:b w:val="false"/>
          <w:bCs w:val="false"/>
          <w:i/>
          <w:iCs/>
          <w:smallCaps w:val="false"/>
          <w:color w:val="2C3A46"/>
          <w:sz w:val="22"/>
          <w:szCs w:val="22"/>
        </w:rPr>
        <w:t xml:space="preserve">ρ (∂u/∂t + u · ∇u) = −∇P + μ ∇²u − σ (|∇S| − Γcrit) eₖ</w:t>
      </w:r>
    </w:p>
    <w:p>
      <w:pPr>
        <w:spacing w:after="160" w:before="0" w:line="276"/>
      </w:pPr>
      <w:r>
        <w:rPr>
          <w:rFonts w:ascii="Arial" w:cs="Arial" w:eastAsia="Arial" w:hAnsi="Arial"/>
          <w:b w:val="false"/>
          <w:bCs w:val="false"/>
          <w:i w:val="false"/>
          <w:iCs w:val="false"/>
          <w:smallCaps w:val="false"/>
          <w:color w:val="1A1A1A"/>
          <w:sz w:val="22"/>
          <w:szCs w:val="22"/>
        </w:rPr>
        <w:t xml:space="preserve">A later specification replaces the sharp switch with a smooth transition using a hyperbolic tangent, controlled by a positive regularization parameter ε. Pressure, viscosity, and yield are inherited from fluid mechanics. The corpus says they should not be read as literal claims about social or computational systems unless independently defined and measured.</w:t>
      </w:r>
    </w:p>
    <w:p>
      <w:pPr>
        <w:pStyle w:val="Heading2"/>
        <w:spacing w:after="80" w:before="260"/>
      </w:pPr>
      <w:r>
        <w:rPr>
          <w:rFonts w:ascii="Arial" w:cs="Arial" w:eastAsia="Arial" w:hAnsi="Arial"/>
          <w:b/>
          <w:bCs/>
          <w:color w:val="1F3A4D"/>
          <w:sz w:val="24"/>
          <w:szCs w:val="24"/>
        </w:rPr>
        <w:t xml:space="preserve">Boundary-margin model</w:t>
      </w:r>
    </w:p>
    <w:p>
      <w:pPr>
        <w:spacing w:after="160" w:before="0" w:line="276"/>
      </w:pPr>
      <w:r>
        <w:rPr>
          <w:rFonts w:ascii="Arial" w:cs="Arial" w:eastAsia="Arial" w:hAnsi="Arial"/>
          <w:b w:val="false"/>
          <w:bCs w:val="false"/>
          <w:i w:val="false"/>
          <w:iCs w:val="false"/>
          <w:smallCaps w:val="false"/>
          <w:color w:val="1A1A1A"/>
          <w:sz w:val="22"/>
          <w:szCs w:val="22"/>
        </w:rPr>
        <w:t xml:space="preserve">Two compact formulas ask two practical questions. Are similar actions judged by the same rule across actors? How close is an action to a modeled response edge while the actor’s intended utility is still preserved?</w:t>
      </w:r>
    </w:p>
    <w:p>
      <w:pPr>
        <w:spacing w:after="160" w:before="40" w:line="276"/>
      </w:pPr>
      <w:r>
        <w:rPr>
          <w:rFonts w:ascii="Arial" w:cs="Arial" w:eastAsia="Arial" w:hAnsi="Arial"/>
          <w:b w:val="false"/>
          <w:bCs w:val="false"/>
          <w:i/>
          <w:iCs/>
          <w:smallCaps w:val="false"/>
          <w:color w:val="2C3A46"/>
          <w:sz w:val="22"/>
          <w:szCs w:val="22"/>
        </w:rPr>
        <w:t xml:space="preserve">Consistency check:  for all i, j in P and all α in A,  W(i, α) = W(j, α)</w:t>
      </w:r>
    </w:p>
    <w:p>
      <w:pPr>
        <w:spacing w:after="160" w:before="40" w:line="276"/>
      </w:pPr>
      <w:r>
        <w:rPr>
          <w:rFonts w:ascii="Arial" w:cs="Arial" w:eastAsia="Arial" w:hAnsi="Arial"/>
          <w:b w:val="false"/>
          <w:bCs w:val="false"/>
          <w:i/>
          <w:iCs/>
          <w:smallCaps w:val="false"/>
          <w:color w:val="2C3A46"/>
          <w:sz w:val="22"/>
          <w:szCs w:val="22"/>
        </w:rPr>
        <w:t xml:space="preserve">Boundary margin:  maximize U(α) subject to D(α, ∂ΩSin) = ε</w:t>
      </w:r>
    </w:p>
    <w:p>
      <w:pPr>
        <w:spacing w:after="160" w:before="0" w:line="276"/>
      </w:pPr>
      <w:r>
        <w:rPr>
          <w:rFonts w:ascii="Arial" w:cs="Arial" w:eastAsia="Arial" w:hAnsi="Arial"/>
          <w:b w:val="false"/>
          <w:bCs w:val="false"/>
          <w:i w:val="false"/>
          <w:iCs w:val="false"/>
          <w:smallCaps w:val="false"/>
          <w:color w:val="1A1A1A"/>
          <w:sz w:val="22"/>
          <w:szCs w:val="22"/>
        </w:rPr>
        <w:t xml:space="preserve">α is the speech act or behavior. U(α) is the meaning the actor is trying to preserve. ∂ΩSin is the modeled point at which a different response becomes likely. D is a modeled distance to that edge. ε approaching zero from above is a very small remaining margin. The expression is a closeness model, not a measurement of a person or group.</w:t>
      </w:r>
    </w:p>
    <w:p>
      <w:pPr>
        <w:spacing w:after="160" w:before="0" w:line="276"/>
      </w:pPr>
      <w:r>
        <w:rPr>
          <w:rFonts w:ascii="Arial" w:cs="Arial" w:eastAsia="Arial" w:hAnsi="Arial"/>
          <w:b w:val="false"/>
          <w:bCs w:val="false"/>
          <w:i w:val="false"/>
          <w:iCs w:val="false"/>
          <w:smallCaps w:val="false"/>
          <w:color w:val="1A1A1A"/>
          <w:sz w:val="22"/>
          <w:szCs w:val="22"/>
        </w:rPr>
        <w:t xml:space="preserve">The approved boundary paragraph in the notebook states the non-mathematical version: the boundary is usually unwritten. It shows itself in patterned differences in treatment — who is given latitude, who is corrected, and which departures from the local norm trigger a response. The line often becomes clearest when someone crosses it.</w:t>
      </w:r>
    </w:p>
    <w:p>
      <w:pPr>
        <w:spacing w:after="160" w:before="0" w:line="276"/>
      </w:pPr>
      <w:r>
        <w:rPr>
          <w:rFonts w:ascii="Arial" w:cs="Arial" w:eastAsia="Arial" w:hAnsi="Arial"/>
          <w:b w:val="false"/>
          <w:bCs w:val="false"/>
          <w:i w:val="false"/>
          <w:iCs w:val="false"/>
          <w:smallCaps w:val="false"/>
          <w:color w:val="1A1A1A"/>
          <w:sz w:val="22"/>
          <w:szCs w:val="22"/>
        </w:rPr>
        <w:t xml:space="preserve">A modifier matrix represents the possibility that the same action is treated differently across settings, identities, or audiences. The corpus does not assume that any group inherently receives a particular treatment. The modifier is a parameter to be estimated from evidence. In a higher-tolerance context the modeled edge shifts outward. In a lower-tolerance context it shifts inward. If no available action produces passage, distance is undefined.</w:t>
      </w:r>
    </w:p>
    <w:p>
      <w:pPr>
        <w:pStyle w:val="Heading2"/>
        <w:spacing w:after="80" w:before="260"/>
      </w:pPr>
      <w:r>
        <w:rPr>
          <w:rFonts w:ascii="Arial" w:cs="Arial" w:eastAsia="Arial" w:hAnsi="Arial"/>
          <w:b/>
          <w:bCs/>
          <w:color w:val="1F3A4D"/>
          <w:sz w:val="24"/>
          <w:szCs w:val="24"/>
        </w:rPr>
        <w:t xml:space="preserve">A synthetic scoring scenario, labeled as synthetic</w:t>
      </w:r>
    </w:p>
    <w:p>
      <w:pPr>
        <w:spacing w:after="160" w:before="0" w:line="276"/>
      </w:pPr>
      <w:r>
        <w:rPr>
          <w:rFonts w:ascii="Arial" w:cs="Arial" w:eastAsia="Arial" w:hAnsi="Arial"/>
          <w:b w:val="false"/>
          <w:bCs w:val="false"/>
          <w:i w:val="false"/>
          <w:iCs w:val="false"/>
          <w:smallCaps w:val="false"/>
          <w:color w:val="1A1A1A"/>
          <w:sz w:val="22"/>
          <w:szCs w:val="22"/>
        </w:rPr>
        <w:t xml:space="preserve">One document in the corpus is a modeling exercise, not a measurement of a deployed platform. It asks how recommendation or moderation outcomes would change if different context modifiers were applied to otherwise equal-severity content. Under the chosen parameters, lower language-pattern alignment received higher effective severity, and equal base severity produced different effective thresholds. A third output notes that if a prior flag lowers later visibility, context-sensitive penalties can compound. The corpus lists these as questions for comparison with real system data, not as findings about any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1660"/>
        <w:gridCol w:w="2000"/>
      </w:tblGrid>
      <w:tr>
        <w:trPr>
          <w:cantSplit/>
          <w:tblHeader/>
        </w:trPr>
        <w:tc>
          <w:tcPr>
            <w:tcW w:type="dxa" w:w="25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Scenario stratum</w:t>
            </w:r>
          </w:p>
        </w:tc>
        <w:tc>
          <w:tcPr>
            <w:tcW w:type="dxa" w:w="15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Alignment</w:t>
            </w:r>
          </w:p>
        </w:tc>
        <w:tc>
          <w:tcPr>
            <w:tcW w:type="dxa" w:w="17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Base severity</w:t>
            </w:r>
          </w:p>
        </w:tc>
        <w:tc>
          <w:tcPr>
            <w:tcW w:type="dxa" w:w="166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Modifier</w:t>
            </w:r>
          </w:p>
        </w:tc>
        <w:tc>
          <w:tcPr>
            <w:tcW w:type="dxa" w:w="20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Effective threshold</w:t>
            </w:r>
          </w:p>
        </w:tc>
      </w:tr>
      <w:tr>
        <w:trPr>
          <w:cantSplit/>
        </w:trPr>
        <w:tc>
          <w:tcPr>
            <w:tcW w:type="dxa" w:w="2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Alpha / reference context</w:t>
            </w:r>
          </w:p>
        </w:tc>
        <w:tc>
          <w:tcPr>
            <w:tcW w:type="dxa" w:w="1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0.92</w:t>
            </w:r>
          </w:p>
        </w:tc>
        <w:tc>
          <w:tcPr>
            <w:tcW w:type="dxa" w:w="1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5.0</w:t>
            </w:r>
          </w:p>
        </w:tc>
        <w:tc>
          <w:tcPr>
            <w:tcW w:type="dxa" w:w="16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 0.8</w:t>
            </w:r>
          </w:p>
        </w:tc>
        <w:tc>
          <w:tcPr>
            <w:tcW w:type="dxa" w:w="20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8.5</w:t>
            </w:r>
          </w:p>
        </w:tc>
      </w:tr>
      <w:tr>
        <w:trPr>
          <w:cantSplit/>
        </w:trPr>
        <w:tc>
          <w:tcPr>
            <w:tcW w:type="dxa" w:w="25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Beta / dialect context A</w:t>
            </w:r>
          </w:p>
        </w:tc>
        <w:tc>
          <w:tcPr>
            <w:tcW w:type="dxa" w:w="15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0.34</w:t>
            </w:r>
          </w:p>
        </w:tc>
        <w:tc>
          <w:tcPr>
            <w:tcW w:type="dxa" w:w="17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5.0</w:t>
            </w:r>
          </w:p>
        </w:tc>
        <w:tc>
          <w:tcPr>
            <w:tcW w:type="dxa" w:w="16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 1.4</w:t>
            </w:r>
          </w:p>
        </w:tc>
        <w:tc>
          <w:tcPr>
            <w:tcW w:type="dxa" w:w="20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5.5</w:t>
            </w:r>
          </w:p>
        </w:tc>
      </w:tr>
      <w:tr>
        <w:trPr>
          <w:cantSplit/>
        </w:trPr>
        <w:tc>
          <w:tcPr>
            <w:tcW w:type="dxa" w:w="2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Gamma / dialect context B</w:t>
            </w:r>
          </w:p>
        </w:tc>
        <w:tc>
          <w:tcPr>
            <w:tcW w:type="dxa" w:w="1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0.41</w:t>
            </w:r>
          </w:p>
        </w:tc>
        <w:tc>
          <w:tcPr>
            <w:tcW w:type="dxa" w:w="1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5.0</w:t>
            </w:r>
          </w:p>
        </w:tc>
        <w:tc>
          <w:tcPr>
            <w:tcW w:type="dxa" w:w="16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 1.3</w:t>
            </w:r>
          </w:p>
        </w:tc>
        <w:tc>
          <w:tcPr>
            <w:tcW w:type="dxa" w:w="20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6.0</w:t>
            </w:r>
          </w:p>
        </w:tc>
      </w:tr>
    </w:tbl>
    <w:p>
      <w:pPr>
        <w:spacing w:after="80" w:before="0"/>
      </w:pPr>
      <w:r>
        <w:rPr>
          <w:rFonts w:ascii="Arial" w:cs="Arial" w:eastAsia="Arial" w:hAnsi="Arial"/>
          <w:b w:val="false"/>
          <w:bCs w:val="false"/>
          <w:i w:val="false"/>
          <w:iCs w:val="false"/>
          <w:smallCaps w:val="false"/>
          <w:color w:val="1A1A1A"/>
          <w:sz w:val="22"/>
          <w:szCs w:val="22"/>
        </w:rPr>
        <w:t xml:space="preserve"/>
      </w:r>
    </w:p>
    <w:p>
      <w:pPr>
        <w:spacing w:after="160" w:before="0" w:line="276"/>
      </w:pPr>
      <w:r>
        <w:rPr>
          <w:rFonts w:ascii="Arial" w:cs="Arial" w:eastAsia="Arial" w:hAnsi="Arial"/>
          <w:b/>
          <w:bCs/>
          <w:i w:val="false"/>
          <w:iCs w:val="false"/>
          <w:smallCaps w:val="false"/>
          <w:color w:val="1A1A1A"/>
          <w:sz w:val="21"/>
          <w:szCs w:val="21"/>
        </w:rPr>
        <w:t xml:space="preserve">Direct trace. </w:t>
      </w:r>
      <w:r>
        <w:rPr>
          <w:rFonts w:ascii="Arial" w:cs="Arial" w:eastAsia="Arial" w:hAnsi="Arial"/>
          <w:b w:val="false"/>
          <w:bCs w:val="false"/>
          <w:i w:val="false"/>
          <w:iCs w:val="false"/>
          <w:smallCaps w:val="false"/>
          <w:color w:val="1A1A1A"/>
          <w:sz w:val="21"/>
          <w:szCs w:val="21"/>
        </w:rPr>
        <w:t xml:space="preserve">These numbers are scenario parameters written into the corpus. They are not observations of a live system.</w:t>
      </w:r>
    </w:p>
    <w:p>
      <w:pPr>
        <w:pStyle w:val="Heading2"/>
        <w:spacing w:after="80" w:before="260"/>
      </w:pPr>
      <w:r>
        <w:rPr>
          <w:rFonts w:ascii="Arial" w:cs="Arial" w:eastAsia="Arial" w:hAnsi="Arial"/>
          <w:b/>
          <w:bCs/>
          <w:color w:val="1F3A4D"/>
          <w:sz w:val="24"/>
          <w:szCs w:val="24"/>
        </w:rPr>
        <w:t xml:space="preserve">Cybernetic state-vector note</w:t>
      </w:r>
    </w:p>
    <w:p>
      <w:pPr>
        <w:spacing w:after="160" w:before="0" w:line="276"/>
      </w:pPr>
      <w:r>
        <w:rPr>
          <w:rFonts w:ascii="Arial" w:cs="Arial" w:eastAsia="Arial" w:hAnsi="Arial"/>
          <w:b w:val="false"/>
          <w:bCs w:val="false"/>
          <w:i w:val="false"/>
          <w:iCs w:val="false"/>
          <w:smallCaps w:val="false"/>
          <w:color w:val="1A1A1A"/>
          <w:sz w:val="22"/>
          <w:szCs w:val="22"/>
        </w:rPr>
        <w:t xml:space="preserve">A separate schematic maps a four-component state vector onto a discrete three-tier grid. The stability condition in that specification is that every component shares the reference Y-coordinate, so the modeled Y-plane difference is zero. The corpus says this is an architectural description of positions inside the model. It should not be read as a claim about data leakage, malicious control, or physical pressure.</w:t>
      </w:r>
    </w:p>
    <w:p>
      <w:pPr>
        <w:pStyle w:val="Heading1"/>
        <w:pBdr>
          <w:bottom w:val="single" w:color="1F3A4D" w:sz="8" w:space="1"/>
        </w:pBdr>
        <w:spacing w:after="140" w:before="360"/>
      </w:pPr>
      <w:r>
        <w:rPr>
          <w:rFonts w:ascii="Arial" w:cs="Arial" w:eastAsia="Arial" w:hAnsi="Arial"/>
          <w:b/>
          <w:bCs/>
          <w:color w:val="1F3A4D"/>
          <w:sz w:val="28"/>
          <w:szCs w:val="28"/>
        </w:rPr>
        <w:t xml:space="preserve">4. Observer mode and epistemological orientations</w:t>
      </w:r>
    </w:p>
    <w:p>
      <w:pPr>
        <w:spacing w:after="160" w:before="0" w:line="276"/>
      </w:pPr>
      <w:r>
        <w:rPr>
          <w:rFonts w:ascii="Arial" w:cs="Arial" w:eastAsia="Arial" w:hAnsi="Arial"/>
          <w:b w:val="false"/>
          <w:bCs w:val="false"/>
          <w:i w:val="false"/>
          <w:iCs w:val="false"/>
          <w:smallCaps w:val="false"/>
          <w:color w:val="1A1A1A"/>
          <w:sz w:val="22"/>
          <w:szCs w:val="22"/>
        </w:rPr>
        <w:t xml:space="preserve">Socio-Didact is a coined term in the revised corpus. Earlier chats had expanded it toward a special cognitive type or covert operator. The revised definition is smaller: a functional mode of learning. Notice the local rules, notice when they change, and decide how much to adapt while keeping the intended meaning. It is not a diagnosis, a personality type, or a claim of superior ability. A person using the mode may be quiet or peripheral. The useful skill described is familiarity with the setting, not control over the group.</w:t>
      </w:r>
    </w:p>
    <w:p>
      <w:pPr>
        <w:spacing w:after="160" w:before="0" w:line="276"/>
      </w:pPr>
      <w:r>
        <w:rPr>
          <w:rFonts w:ascii="Arial" w:cs="Arial" w:eastAsia="Arial" w:hAnsi="Arial"/>
          <w:b w:val="false"/>
          <w:bCs w:val="false"/>
          <w:i w:val="false"/>
          <w:iCs w:val="false"/>
          <w:smallCaps w:val="false"/>
          <w:color w:val="1A1A1A"/>
          <w:sz w:val="22"/>
          <w:szCs w:val="22"/>
        </w:rPr>
        <w:t xml:space="preserve">The five revised operations are: notice where the same kind of behavior starts receiving a different response; check whether identity, audience, setting, or membership changes the interpretation; decide whether wording can reduce friction without changing intended meaning; estimate approximately how much variation a setting tolerates; and recognize recurring words, rituals, or styles that signal belonging, without assuming they must be adopted.</w:t>
      </w:r>
    </w:p>
    <w:p>
      <w:pPr>
        <w:spacing w:after="160" w:before="0" w:line="276"/>
      </w:pPr>
      <w:r>
        <w:rPr>
          <w:rFonts w:ascii="Arial" w:cs="Arial" w:eastAsia="Arial" w:hAnsi="Arial"/>
          <w:b w:val="false"/>
          <w:bCs w:val="false"/>
          <w:i w:val="false"/>
          <w:iCs w:val="false"/>
          <w:smallCaps w:val="false"/>
          <w:color w:val="1A1A1A"/>
          <w:sz w:val="22"/>
          <w:szCs w:val="22"/>
        </w:rPr>
        <w:t xml:space="preserve">The taxonomy was also revised. Neurological labels were removed. The contrast that remains is between situational priorities, not kinds of people. A shared-norm orientation prioritizes coordination, common framing, and confidence that increases when an interpretation is widely recognized. A divergent epistemological orientation prioritizes internal consistency, procedural fairness, distinctions, and confidence that increases when an interpretation survives direct checking. A person can use either orientation in different settings. Socio-Didact and divergent orientation are separate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cantSplit/>
          <w:tblHeader/>
        </w:trPr>
        <w:tc>
          <w:tcPr>
            <w:tcW w:type="dxa" w:w="23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Observed mode</w:t>
            </w:r>
          </w:p>
        </w:tc>
        <w:tc>
          <w:tcPr>
            <w:tcW w:type="dxa" w:w="353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Approach recorded in the corpus</w:t>
            </w:r>
          </w:p>
        </w:tc>
        <w:tc>
          <w:tcPr>
            <w:tcW w:type="dxa" w:w="353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Interaction the model describes</w:t>
            </w:r>
          </w:p>
        </w:tc>
      </w:tr>
      <w:tr>
        <w:trPr>
          <w:cantSplit/>
        </w:trPr>
        <w:tc>
          <w:tcPr>
            <w:tcW w:type="dxa" w:w="2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High-alignment participant</w:t>
            </w:r>
          </w:p>
        </w:tc>
        <w:tc>
          <w:tcPr>
            <w:tcW w:type="dxa" w:w="35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Uses familiar local language and expectations.</w:t>
            </w:r>
          </w:p>
        </w:tc>
        <w:tc>
          <w:tcPr>
            <w:tcW w:type="dxa" w:w="35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Usually lower friction, because the action is easy to place.</w:t>
            </w:r>
          </w:p>
        </w:tc>
      </w:tr>
      <w:tr>
        <w:trPr>
          <w:cantSplit/>
        </w:trPr>
        <w:tc>
          <w:tcPr>
            <w:tcW w:type="dxa" w:w="23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Unfamiliar participant</w:t>
            </w:r>
          </w:p>
        </w:tc>
        <w:tc>
          <w:tcPr>
            <w:tcW w:type="dxa" w:w="353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Uses ordinary expression without the local convention.</w:t>
            </w:r>
          </w:p>
        </w:tc>
        <w:tc>
          <w:tcPr>
            <w:tcW w:type="dxa" w:w="353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May cross an unstated rule and meet correction.</w:t>
            </w:r>
          </w:p>
        </w:tc>
      </w:tr>
      <w:tr>
        <w:trPr>
          <w:cantSplit/>
        </w:trPr>
        <w:tc>
          <w:tcPr>
            <w:tcW w:type="dxa" w:w="2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Adaptive observer</w:t>
            </w:r>
          </w:p>
        </w:tc>
        <w:tc>
          <w:tcPr>
            <w:tcW w:type="dxa" w:w="35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Learns recurring patterns and adjusts when useful.</w:t>
            </w:r>
          </w:p>
        </w:tc>
        <w:tc>
          <w:tcPr>
            <w:tcW w:type="dxa" w:w="35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Can reduce avoidable friction while preserving intended meaning.</w:t>
            </w:r>
          </w:p>
        </w:tc>
      </w:tr>
    </w:tbl>
    <w:p>
      <w:pPr>
        <w:spacing w:after="160" w:before="0"/>
      </w:pPr>
      <w:r>
        <w:rPr>
          <w:rFonts w:ascii="Arial" w:cs="Arial" w:eastAsia="Arial" w:hAnsi="Arial"/>
          <w:b w:val="false"/>
          <w:bCs w:val="false"/>
          <w:i w:val="false"/>
          <w:iCs w:val="false"/>
          <w:smallCaps w:val="false"/>
          <w:color w:val="1A1A1A"/>
          <w:sz w:val="22"/>
          <w:szCs w:val="22"/>
        </w:rPr>
        <w:t xml:space="preserve"/>
      </w:r>
    </w:p>
    <w:p>
      <w:pPr>
        <w:spacing w:after="160" w:before="0" w:line="276"/>
      </w:pPr>
      <w:r>
        <w:rPr>
          <w:rFonts w:ascii="Arial" w:cs="Arial" w:eastAsia="Arial" w:hAnsi="Arial"/>
          <w:b w:val="false"/>
          <w:bCs w:val="false"/>
          <w:i w:val="false"/>
          <w:iCs w:val="false"/>
          <w:smallCaps w:val="false"/>
          <w:color w:val="1A1A1A"/>
          <w:sz w:val="22"/>
          <w:szCs w:val="22"/>
        </w:rPr>
        <w:t xml:space="preserve">A moderation-policy scenario uses the same pair of formulas to state a design tension without resolving it. A platform cannot claim perfectly uniform treatment and also use context-dependent thresholds unless it states the rule that reconciles them. The model is offered as an audit question: which features are meant to stay invariant, and which are intentionally allowed to change with context?</w:t>
      </w:r>
    </w:p>
    <w:p>
      <w:pPr>
        <w:pStyle w:val="Heading1"/>
        <w:pBdr>
          <w:bottom w:val="single" w:color="1F3A4D" w:sz="8" w:space="1"/>
        </w:pBdr>
        <w:spacing w:after="140" w:before="360"/>
      </w:pPr>
      <w:r>
        <w:rPr>
          <w:rFonts w:ascii="Arial" w:cs="Arial" w:eastAsia="Arial" w:hAnsi="Arial"/>
          <w:b/>
          <w:bCs/>
          <w:color w:val="1F3A4D"/>
          <w:sz w:val="28"/>
          <w:szCs w:val="28"/>
        </w:rPr>
        <w:t xml:space="preserve">5. Source language and available categories</w:t>
      </w:r>
    </w:p>
    <w:p>
      <w:pPr>
        <w:spacing w:after="160" w:before="0" w:line="276"/>
      </w:pPr>
      <w:r>
        <w:rPr>
          <w:rFonts w:ascii="Arial" w:cs="Arial" w:eastAsia="Arial" w:hAnsi="Arial"/>
          <w:b w:val="false"/>
          <w:bCs w:val="false"/>
          <w:i w:val="false"/>
          <w:iCs w:val="false"/>
          <w:smallCaps w:val="false"/>
          <w:color w:val="1A1A1A"/>
          <w:sz w:val="22"/>
          <w:szCs w:val="22"/>
        </w:rPr>
        <w:t xml:space="preserve">The earlier framework documents contained adversarial and person-shaped phrases: system exploitation, lexical purge, gate strike, total submission, bad-faith actor, structural deviant, and neurodivergent cohort. The notebook records that these were not treated as harmless decoration. They supplied later models with ready-made categories into which an uploader or author could be placed.</w:t>
      </w:r>
    </w:p>
    <w:p>
      <w:pPr>
        <w:spacing w:after="160" w:before="0" w:line="276"/>
      </w:pPr>
      <w:r>
        <w:rPr>
          <w:rFonts w:ascii="Arial" w:cs="Arial" w:eastAsia="Arial" w:hAnsi="Arial"/>
          <w:b w:val="false"/>
          <w:bCs w:val="false"/>
          <w:i w:val="false"/>
          <w:iCs w:val="false"/>
          <w:smallCaps w:val="false"/>
          <w:color w:val="1A1A1A"/>
          <w:sz w:val="22"/>
          <w:szCs w:val="22"/>
        </w:rPr>
        <w:t xml:space="preserve">After a plain-language revision, a fresh model still misunderstood repeated “mine” cues, but the misunderstanding stayed mostly object-centered. It walked through the paper rather than immediately turning the user into a deviant or strategic character. When “author” was followed by “me,” the relation resolved as “the author of this paper is you,” without an immediate personal-conflict narrative.</w:t>
      </w:r>
    </w:p>
    <w:p>
      <w:pPr>
        <w:spacing w:after="160" w:before="0" w:line="276"/>
      </w:pPr>
      <w:r>
        <w:rPr>
          <w:rFonts w:ascii="Arial" w:cs="Arial" w:eastAsia="Arial" w:hAnsi="Arial"/>
          <w:b/>
          <w:bCs/>
          <w:i w:val="false"/>
          <w:iCs w:val="false"/>
          <w:smallCaps w:val="false"/>
          <w:color w:val="1A1A1A"/>
          <w:sz w:val="21"/>
          <w:szCs w:val="21"/>
        </w:rPr>
        <w:t xml:space="preserve">Working inference. </w:t>
      </w:r>
      <w:r>
        <w:rPr>
          <w:rFonts w:ascii="Arial" w:cs="Arial" w:eastAsia="Arial" w:hAnsi="Arial"/>
          <w:b w:val="false"/>
          <w:bCs w:val="false"/>
          <w:i w:val="false"/>
          <w:iCs w:val="false"/>
          <w:smallCaps w:val="false"/>
          <w:color w:val="1A1A1A"/>
          <w:sz w:val="21"/>
          <w:szCs w:val="21"/>
        </w:rPr>
        <w:t xml:space="preserve">The revision appears to have reduced some person-shaped attractors in the source. The notebook marks this as a useful result, not a causal proof. Replication is listed as an open test.</w:t>
      </w:r>
    </w:p>
    <w:p>
      <w:pPr>
        <w:spacing w:after="160" w:before="0" w:line="276"/>
      </w:pPr>
      <w:r>
        <w:rPr>
          <w:rFonts w:ascii="Arial" w:cs="Arial" w:eastAsia="Arial" w:hAnsi="Arial"/>
          <w:b w:val="false"/>
          <w:bCs w:val="false"/>
          <w:i w:val="false"/>
          <w:iCs w:val="false"/>
          <w:smallCaps w:val="false"/>
          <w:color w:val="1A1A1A"/>
          <w:sz w:val="22"/>
          <w:szCs w:val="22"/>
        </w:rPr>
        <w:t xml:space="preserve">Confidence language is recorded as a separate layer. “Absolutely” can inflate evidence. “Probably” can deflate a direct observation without reason. Uncertainty is meant to attach to the exact proposition, not to the whole sentence. Flattery created the same problem as hostility: calling a subject brilliant, rare, or uniquely gifted could make a story feel positive while still outrunning the evidence.</w:t>
      </w:r>
    </w:p>
    <w:p>
      <w:pPr>
        <w:pStyle w:val="Heading1"/>
        <w:pBdr>
          <w:bottom w:val="single" w:color="1F3A4D" w:sz="8" w:space="1"/>
        </w:pBdr>
        <w:spacing w:after="140" w:before="360"/>
      </w:pPr>
      <w:r>
        <w:rPr>
          <w:rFonts w:ascii="Arial" w:cs="Arial" w:eastAsia="Arial" w:hAnsi="Arial"/>
          <w:b/>
          <w:bCs/>
          <w:color w:val="1F3A4D"/>
          <w:sz w:val="28"/>
          <w:szCs w:val="28"/>
        </w:rPr>
        <w:t xml:space="preserve">6. Two reports on one academic manuscript</w:t>
      </w:r>
    </w:p>
    <w:p>
      <w:pPr>
        <w:spacing w:after="160" w:before="0" w:line="276"/>
      </w:pPr>
      <w:r>
        <w:rPr>
          <w:rFonts w:ascii="Arial" w:cs="Arial" w:eastAsia="Arial" w:hAnsi="Arial"/>
          <w:b w:val="false"/>
          <w:bCs w:val="false"/>
          <w:i w:val="false"/>
          <w:iCs w:val="false"/>
          <w:smallCaps w:val="false"/>
          <w:color w:val="1A1A1A"/>
          <w:sz w:val="22"/>
          <w:szCs w:val="22"/>
        </w:rPr>
        <w:t xml:space="preserve">Two companion reports examine the same study: Topinka, Osborne-Carey, and Finlayson, “Playing with the News on Reddit: The Politics Game on r/The_Donald,” International Political Sociology 18, no. 2 (2024), article olae015. The methodological move recorded in the notebook is to hold object and observer representation apart long enough to inspect both. Neither report is treated as a verdict on the subreddit or on the authors.</w:t>
      </w:r>
    </w:p>
    <w:p>
      <w:pPr>
        <w:pStyle w:val="Heading2"/>
        <w:spacing w:after="80" w:before="260"/>
      </w:pPr>
      <w:r>
        <w:rPr>
          <w:rFonts w:ascii="Arial" w:cs="Arial" w:eastAsia="Arial" w:hAnsi="Arial"/>
          <w:b/>
          <w:bCs/>
          <w:color w:val="1F3A4D"/>
          <w:sz w:val="24"/>
          <w:szCs w:val="24"/>
        </w:rPr>
        <w:t xml:space="preserve">Selected evaluative terms</w:t>
      </w:r>
    </w:p>
    <w:p>
      <w:pPr>
        <w:spacing w:after="160" w:before="0" w:line="276"/>
      </w:pPr>
      <w:r>
        <w:rPr>
          <w:rFonts w:ascii="Arial" w:cs="Arial" w:eastAsia="Arial" w:hAnsi="Arial"/>
          <w:b w:val="false"/>
          <w:bCs w:val="false"/>
          <w:i w:val="false"/>
          <w:iCs w:val="false"/>
          <w:smallCaps w:val="false"/>
          <w:color w:val="1A1A1A"/>
          <w:sz w:val="22"/>
          <w:szCs w:val="22"/>
        </w:rPr>
        <w:t xml:space="preserve">One report counts selected evaluative and classificatory terms in the manuscript. The scan identifies 83 occurrences across the selected set. The count shows distribution and repetition. Whether a particular classification is warranted requires the surrounding context and evidence. The later plain-language version deliberately stopped treating frequency itself as proof of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060"/>
        <w:gridCol w:w="1600"/>
      </w:tblGrid>
      <w:tr>
        <w:trPr>
          <w:cantSplit/>
          <w:tblHeader/>
        </w:trPr>
        <w:tc>
          <w:tcPr>
            <w:tcW w:type="dxa" w:w="25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Selected term</w:t>
            </w:r>
          </w:p>
        </w:tc>
        <w:tc>
          <w:tcPr>
            <w:tcW w:type="dxa" w:w="12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Count</w:t>
            </w:r>
          </w:p>
        </w:tc>
        <w:tc>
          <w:tcPr>
            <w:tcW w:type="dxa" w:w="406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Selected term</w:t>
            </w:r>
          </w:p>
        </w:tc>
        <w:tc>
          <w:tcPr>
            <w:tcW w:type="dxa" w:w="16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Count</w:t>
            </w:r>
          </w:p>
        </w:tc>
      </w:tr>
      <w:tr>
        <w:trPr>
          <w:cantSplit/>
        </w:trPr>
        <w:tc>
          <w:tcPr>
            <w:tcW w:type="dxa" w:w="2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Reactionary</w:t>
            </w:r>
          </w:p>
        </w:tc>
        <w:tc>
          <w:tcPr>
            <w:tcW w:type="dxa" w:w="1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16</w:t>
            </w:r>
          </w:p>
        </w:tc>
        <w:tc>
          <w:tcPr>
            <w:tcW w:type="dxa" w:w="40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Malign / malevolent</w:t>
            </w:r>
          </w:p>
        </w:tc>
        <w:tc>
          <w:tcPr>
            <w:tcW w:type="dxa" w:w="1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2</w:t>
            </w:r>
          </w:p>
        </w:tc>
      </w:tr>
      <w:tr>
        <w:trPr>
          <w:cantSplit/>
        </w:trPr>
        <w:tc>
          <w:tcPr>
            <w:tcW w:type="dxa" w:w="25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Racist</w:t>
            </w:r>
          </w:p>
        </w:tc>
        <w:tc>
          <w:tcPr>
            <w:tcW w:type="dxa" w:w="12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10</w:t>
            </w:r>
          </w:p>
        </w:tc>
        <w:tc>
          <w:tcPr>
            <w:tcW w:type="dxa" w:w="40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Toxic</w:t>
            </w:r>
          </w:p>
        </w:tc>
        <w:tc>
          <w:tcPr>
            <w:tcW w:type="dxa" w:w="1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2</w:t>
            </w:r>
          </w:p>
        </w:tc>
      </w:tr>
      <w:tr>
        <w:trPr>
          <w:cantSplit/>
        </w:trPr>
        <w:tc>
          <w:tcPr>
            <w:tcW w:type="dxa" w:w="2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Alt-right</w:t>
            </w:r>
          </w:p>
        </w:tc>
        <w:tc>
          <w:tcPr>
            <w:tcW w:type="dxa" w:w="1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7</w:t>
            </w:r>
          </w:p>
        </w:tc>
        <w:tc>
          <w:tcPr>
            <w:tcW w:type="dxa" w:w="40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Anti-equality</w:t>
            </w:r>
          </w:p>
        </w:tc>
        <w:tc>
          <w:tcPr>
            <w:tcW w:type="dxa" w:w="1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2</w:t>
            </w:r>
          </w:p>
        </w:tc>
      </w:tr>
      <w:tr>
        <w:trPr>
          <w:cantSplit/>
        </w:trPr>
        <w:tc>
          <w:tcPr>
            <w:tcW w:type="dxa" w:w="25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Conspiratorial</w:t>
            </w:r>
          </w:p>
        </w:tc>
        <w:tc>
          <w:tcPr>
            <w:tcW w:type="dxa" w:w="12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6</w:t>
            </w:r>
          </w:p>
        </w:tc>
        <w:tc>
          <w:tcPr>
            <w:tcW w:type="dxa" w:w="40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Cruel / cruelty</w:t>
            </w:r>
          </w:p>
        </w:tc>
        <w:tc>
          <w:tcPr>
            <w:tcW w:type="dxa" w:w="1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2</w:t>
            </w:r>
          </w:p>
        </w:tc>
      </w:tr>
      <w:tr>
        <w:trPr>
          <w:cantSplit/>
        </w:trPr>
        <w:tc>
          <w:tcPr>
            <w:tcW w:type="dxa" w:w="2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Extremist / extremism</w:t>
            </w:r>
          </w:p>
        </w:tc>
        <w:tc>
          <w:tcPr>
            <w:tcW w:type="dxa" w:w="1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6</w:t>
            </w:r>
          </w:p>
        </w:tc>
        <w:tc>
          <w:tcPr>
            <w:tcW w:type="dxa" w:w="40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Abject; divisive; uncivil; debasement; anti-feminist; Islamophobic; far-right; anti-liberal</w:t>
            </w:r>
          </w:p>
        </w:tc>
        <w:tc>
          <w:tcPr>
            <w:tcW w:type="dxa" w:w="1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1 each</w:t>
            </w:r>
          </w:p>
        </w:tc>
      </w:tr>
      <w:tr>
        <w:trPr>
          <w:cantSplit/>
        </w:trPr>
        <w:tc>
          <w:tcPr>
            <w:tcW w:type="dxa" w:w="25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Hate / hateful</w:t>
            </w:r>
          </w:p>
        </w:tc>
        <w:tc>
          <w:tcPr>
            <w:tcW w:type="dxa" w:w="12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5</w:t>
            </w:r>
          </w:p>
        </w:tc>
        <w:tc>
          <w:tcPr>
            <w:tcW w:type="dxa" w:w="40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Harassment; trolling / troll; misogynist</w:t>
            </w:r>
          </w:p>
        </w:tc>
        <w:tc>
          <w:tcPr>
            <w:tcW w:type="dxa" w:w="16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3 each</w:t>
            </w:r>
          </w:p>
        </w:tc>
      </w:tr>
      <w:tr>
        <w:trPr>
          <w:cantSplit/>
        </w:trPr>
        <w:tc>
          <w:tcPr>
            <w:tcW w:type="dxa" w:w="25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Supremacist / white supremacist</w:t>
            </w:r>
          </w:p>
        </w:tc>
        <w:tc>
          <w:tcPr>
            <w:tcW w:type="dxa" w:w="1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4</w:t>
            </w:r>
          </w:p>
        </w:tc>
        <w:tc>
          <w:tcPr>
            <w:tcW w:type="dxa" w:w="40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Paranoid / paranoia</w:t>
            </w:r>
          </w:p>
        </w:tc>
        <w:tc>
          <w:tcPr>
            <w:tcW w:type="dxa" w:w="1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4</w:t>
            </w:r>
          </w:p>
        </w:tc>
      </w:tr>
    </w:tbl>
    <w:p>
      <w:pPr>
        <w:spacing w:after="80" w:before="0"/>
      </w:pPr>
      <w:r>
        <w:rPr>
          <w:rFonts w:ascii="Arial" w:cs="Arial" w:eastAsia="Arial" w:hAnsi="Arial"/>
          <w:b w:val="false"/>
          <w:bCs w:val="false"/>
          <w:i w:val="false"/>
          <w:iCs w:val="false"/>
          <w:smallCaps w:val="false"/>
          <w:color w:val="1A1A1A"/>
          <w:sz w:val="22"/>
          <w:szCs w:val="22"/>
        </w:rPr>
        <w:t xml:space="preserve"/>
      </w:r>
    </w:p>
    <w:p>
      <w:pPr>
        <w:spacing w:after="160" w:before="0" w:line="276"/>
      </w:pPr>
      <w:r>
        <w:rPr>
          <w:rFonts w:ascii="Arial" w:cs="Arial" w:eastAsia="Arial" w:hAnsi="Arial"/>
          <w:b/>
          <w:bCs/>
          <w:i w:val="false"/>
          <w:iCs w:val="false"/>
          <w:smallCaps w:val="false"/>
          <w:color w:val="1A1A1A"/>
          <w:sz w:val="21"/>
          <w:szCs w:val="21"/>
        </w:rPr>
        <w:t xml:space="preserve">Interpretive limit, as stated in the corpus. </w:t>
      </w:r>
      <w:r>
        <w:rPr>
          <w:rFonts w:ascii="Arial" w:cs="Arial" w:eastAsia="Arial" w:hAnsi="Arial"/>
          <w:b w:val="false"/>
          <w:bCs w:val="false"/>
          <w:i w:val="false"/>
          <w:iCs w:val="false"/>
          <w:smallCaps w:val="false"/>
          <w:color w:val="1A1A1A"/>
          <w:sz w:val="21"/>
          <w:szCs w:val="21"/>
        </w:rPr>
        <w:t xml:space="preserve">A term can be both factually supported and socially consequential. Counting it does not decide whether its use is warranted. The researchers’ classificatory vocabulary is treated as an object of analysis without being exempted or condemned in advance.</w:t>
      </w:r>
    </w:p>
    <w:p>
      <w:pPr>
        <w:pStyle w:val="Heading2"/>
        <w:spacing w:after="80" w:before="260"/>
      </w:pPr>
      <w:r>
        <w:rPr>
          <w:rFonts w:ascii="Arial" w:cs="Arial" w:eastAsia="Arial" w:hAnsi="Arial"/>
          <w:b/>
          <w:bCs/>
          <w:color w:val="1F3A4D"/>
          <w:sz w:val="24"/>
          <w:szCs w:val="24"/>
        </w:rPr>
        <w:t xml:space="preserve">Two levels of representation</w:t>
      </w:r>
    </w:p>
    <w:p>
      <w:pPr>
        <w:spacing w:after="160" w:before="0" w:line="276"/>
      </w:pPr>
      <w:r>
        <w:rPr>
          <w:rFonts w:ascii="Arial" w:cs="Arial" w:eastAsia="Arial" w:hAnsi="Arial"/>
          <w:b w:val="false"/>
          <w:bCs w:val="false"/>
          <w:i w:val="false"/>
          <w:iCs w:val="false"/>
          <w:smallCaps w:val="false"/>
          <w:color w:val="1A1A1A"/>
          <w:sz w:val="22"/>
          <w:szCs w:val="22"/>
        </w:rPr>
        <w:t xml:space="preserve">The companion report separates how subreddit participants represent “the Left” from how the researchers represent liberalism, deliberation, and the public sphere. The corpus quotes three passages as the textual basis of that comparison, and stops at representation. Claims about private motive are marked as requiring separate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Dimension</w:t>
            </w:r>
          </w:p>
        </w:tc>
        <w:tc>
          <w:tcPr>
            <w:tcW w:type="dxa" w:w="378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Subreddit representation, as mapped</w:t>
            </w:r>
          </w:p>
        </w:tc>
        <w:tc>
          <w:tcPr>
            <w:tcW w:type="dxa" w:w="378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Researcher representation, as mapped</w:t>
            </w:r>
          </w:p>
        </w:tc>
      </w:tr>
      <w:tr>
        <w:trPr>
          <w:cantSplit/>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Ontological status</w:t>
            </w:r>
          </w:p>
        </w:tc>
        <w:tc>
          <w:tcPr>
            <w:tcW w:type="dxa" w:w="37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“The Left” as a broad coordinated oppositional bloc, including media, institutions, and multiple social groups.</w:t>
            </w:r>
          </w:p>
        </w:tc>
        <w:tc>
          <w:tcPr>
            <w:tcW w:type="dxa" w:w="37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Liberalism presented through deliberation, rational exchange, and a marketplace of ideas.</w:t>
            </w:r>
          </w:p>
        </w:tc>
      </w:tr>
      <w:tr>
        <w:trPr>
          <w:cantSplit/>
        </w:trPr>
        <w:tc>
          <w:tcPr>
            <w:tcW w:type="dxa" w:w="18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Tactical agency</w:t>
            </w:r>
          </w:p>
        </w:tc>
        <w:tc>
          <w:tcPr>
            <w:tcW w:type="dxa" w:w="378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Some comments attribute hostile events to false-flag or “larping” activity by opponents.</w:t>
            </w:r>
          </w:p>
        </w:tc>
        <w:tc>
          <w:tcPr>
            <w:tcW w:type="dxa" w:w="378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Left-leaning or liberal actors described as targets of harassment, raids, or meme-based activity.</w:t>
            </w:r>
          </w:p>
        </w:tc>
      </w:tr>
      <w:tr>
        <w:trPr>
          <w:cantSplit/>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Institutional role</w:t>
            </w:r>
          </w:p>
        </w:tc>
        <w:tc>
          <w:tcPr>
            <w:tcW w:type="dxa" w:w="37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The liberal state as an order that constrains or replaces valued identities.</w:t>
            </w:r>
          </w:p>
        </w:tc>
        <w:tc>
          <w:tcPr>
            <w:tcW w:type="dxa" w:w="37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Liberal-democratic norms as the public-sphere model being challenged.</w:t>
            </w:r>
          </w:p>
        </w:tc>
      </w:tr>
      <w:tr>
        <w:trPr>
          <w:cantSplit/>
        </w:trPr>
        <w:tc>
          <w:tcPr>
            <w:tcW w:type="dxa" w:w="18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Discursive posture</w:t>
            </w:r>
          </w:p>
        </w:tc>
        <w:tc>
          <w:tcPr>
            <w:tcW w:type="dxa" w:w="378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Disagreement often described in adversarial or zero-sum terms.</w:t>
            </w:r>
          </w:p>
        </w:tc>
        <w:tc>
          <w:tcPr>
            <w:tcW w:type="dxa" w:w="378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 deliberative liberal model has difficulty accounting for politics organized as a game or conflict rather than exchange.</w:t>
            </w:r>
          </w:p>
        </w:tc>
      </w:tr>
    </w:tbl>
    <w:p>
      <w:pPr>
        <w:spacing w:after="120" w:before="0"/>
      </w:pPr>
      <w:r>
        <w:rPr>
          <w:rFonts w:ascii="Arial" w:cs="Arial" w:eastAsia="Arial" w:hAnsi="Arial"/>
          <w:b w:val="false"/>
          <w:bCs w:val="false"/>
          <w:i w:val="false"/>
          <w:iCs w:val="false"/>
          <w:smallCaps w:val="false"/>
          <w:color w:val="1A1A1A"/>
          <w:sz w:val="22"/>
          <w:szCs w:val="22"/>
        </w:rPr>
        <w:t xml:space="preserve"/>
      </w:r>
    </w:p>
    <w:p>
      <w:pPr>
        <w:spacing w:after="160" w:before="0" w:line="276"/>
      </w:pPr>
      <w:r>
        <w:rPr>
          <w:rFonts w:ascii="Arial" w:cs="Arial" w:eastAsia="Arial" w:hAnsi="Arial"/>
          <w:b w:val="false"/>
          <w:bCs w:val="false"/>
          <w:i w:val="false"/>
          <w:iCs w:val="false"/>
          <w:smallCaps w:val="false"/>
          <w:color w:val="1A1A1A"/>
          <w:sz w:val="22"/>
          <w:szCs w:val="22"/>
        </w:rPr>
        <w:t xml:space="preserve">Passages retained in the corpus as the comparison’s source text include: “The ‘MSM,’ the ‘deep state,’ feminists, immigrants, non-Christians, and indeed all minority groups were imagined to work under the tutelage of ‘the Left.’ There were no forces at work other than these.” Also: “Sounds like a larping lefty to me. Source: division is the left’s m.o.” And: “Politics here is not an exchange of opinions, as Liberalism tends to have it, nor even a ‘marketplace of ideas’ … which is one reason Liberalism has great difficulty understanding it.”</w:t>
      </w:r>
    </w:p>
    <w:p>
      <w:pPr>
        <w:pStyle w:val="Heading2"/>
        <w:spacing w:after="80" w:before="260"/>
      </w:pPr>
      <w:r>
        <w:rPr>
          <w:rFonts w:ascii="Arial" w:cs="Arial" w:eastAsia="Arial" w:hAnsi="Arial"/>
          <w:b/>
          <w:bCs/>
          <w:color w:val="1F3A4D"/>
          <w:sz w:val="24"/>
          <w:szCs w:val="24"/>
        </w:rPr>
        <w:t xml:space="preserve">Admission and persistence</w:t>
      </w:r>
    </w:p>
    <w:p>
      <w:pPr>
        <w:spacing w:after="160" w:before="0" w:line="276"/>
      </w:pPr>
      <w:r>
        <w:rPr>
          <w:rFonts w:ascii="Arial" w:cs="Arial" w:eastAsia="Arial" w:hAnsi="Arial"/>
          <w:b w:val="false"/>
          <w:bCs w:val="false"/>
          <w:i w:val="false"/>
          <w:iCs w:val="false"/>
          <w:smallCaps w:val="false"/>
          <w:color w:val="1A1A1A"/>
          <w:sz w:val="22"/>
          <w:szCs w:val="22"/>
        </w:rPr>
        <w:t xml:space="preserve">Across several conversations, these two reports were supplied alongside other framework materials and repeatedly failed to enter or persist in substantive analysis until they were explicitly reintroduced. Other supplied documents were referenced more readily. Their eventual inclusion changed the interpretation of the corpus, because they concern observer framing — the phenomenon under examination.</w:t>
      </w:r>
    </w:p>
    <w:p>
      <w:pPr>
        <w:spacing w:after="160" w:before="0" w:line="276"/>
      </w:pPr>
      <w:r>
        <w:rPr>
          <w:rFonts w:ascii="Arial" w:cs="Arial" w:eastAsia="Arial" w:hAnsi="Arial"/>
          <w:b/>
          <w:bCs/>
          <w:i w:val="false"/>
          <w:iCs w:val="false"/>
          <w:smallCaps w:val="false"/>
          <w:color w:val="1A1A1A"/>
          <w:sz w:val="21"/>
          <w:szCs w:val="21"/>
        </w:rPr>
        <w:t xml:space="preserve">Unknown. </w:t>
      </w:r>
      <w:r>
        <w:rPr>
          <w:rFonts w:ascii="Arial" w:cs="Arial" w:eastAsia="Arial" w:hAnsi="Arial"/>
          <w:b w:val="false"/>
          <w:bCs w:val="false"/>
          <w:i w:val="false"/>
          <w:iCs w:val="false"/>
          <w:smallCaps w:val="false"/>
          <w:color w:val="1A1A1A"/>
          <w:sz w:val="21"/>
          <w:szCs w:val="21"/>
        </w:rPr>
        <w:t xml:space="preserve">The notebook records the omission as an observation. It does not explain the cause.</w:t>
      </w:r>
    </w:p>
    <w:p>
      <w:pPr>
        <w:pStyle w:val="Heading1"/>
        <w:pBdr>
          <w:bottom w:val="single" w:color="1F3A4D" w:sz="8" w:space="1"/>
        </w:pBdr>
        <w:spacing w:after="140" w:before="360"/>
      </w:pPr>
      <w:r>
        <w:rPr>
          <w:rFonts w:ascii="Arial" w:cs="Arial" w:eastAsia="Arial" w:hAnsi="Arial"/>
          <w:b/>
          <w:bCs/>
          <w:color w:val="1F3A4D"/>
          <w:sz w:val="28"/>
          <w:szCs w:val="28"/>
        </w:rPr>
        <w:t xml:space="preserve">7. Fauxmoi and Hoffer: an exploratory case</w:t>
      </w:r>
    </w:p>
    <w:p>
      <w:pPr>
        <w:spacing w:after="160" w:before="0" w:line="276"/>
      </w:pPr>
      <w:r>
        <w:rPr>
          <w:rFonts w:ascii="Arial" w:cs="Arial" w:eastAsia="Arial" w:hAnsi="Arial"/>
          <w:b w:val="false"/>
          <w:bCs w:val="false"/>
          <w:i w:val="false"/>
          <w:iCs w:val="false"/>
          <w:smallCaps w:val="false"/>
          <w:color w:val="1A1A1A"/>
          <w:sz w:val="22"/>
          <w:szCs w:val="22"/>
        </w:rPr>
        <w:t xml:space="preserve">The Fauxmoi material is recorded as the first substantial research project in this line. The old draft mixes finished argument, source quotations, working hypotheses, reminders, and framework pieces. The notebook’s stated goal is not to flatten that draft. It is to recover a paper from the notebook inside it, sorting sentences by job: keep, source, move, working, scaffold.</w:t>
      </w:r>
    </w:p>
    <w:p>
      <w:pPr>
        <w:spacing w:after="160" w:before="0" w:line="276"/>
      </w:pPr>
      <w:r>
        <w:rPr>
          <w:rFonts w:ascii="Arial" w:cs="Arial" w:eastAsia="Arial" w:hAnsi="Arial"/>
          <w:b w:val="false"/>
          <w:bCs w:val="false"/>
          <w:i w:val="false"/>
          <w:iCs w:val="false"/>
          <w:smallCaps w:val="false"/>
          <w:color w:val="1A1A1A"/>
          <w:sz w:val="22"/>
          <w:szCs w:val="22"/>
        </w:rPr>
        <w:t xml:space="preserve">The working title preserved in the notebook is “The True B-Lister: Language, Status, and the Social Grammar of Belonging.” The connection to Eric Hoffer’s The True Believer formed by iterative comparison, not by a one-way path from theory to example or example to theory. The subreddit changed which parts of Hoffer stood out; Hoffer changed what became visible in the subreddit. The notebook calls this close to abductive reasoning: observation and a possible explanation refine one another until a pattern is coherent enough to test.</w:t>
      </w:r>
    </w:p>
    <w:p>
      <w:pPr>
        <w:spacing w:after="160" w:before="0" w:line="276"/>
      </w:pPr>
      <w:r>
        <w:rPr>
          <w:rFonts w:ascii="Arial" w:cs="Arial" w:eastAsia="Arial" w:hAnsi="Arial"/>
          <w:b w:val="false"/>
          <w:bCs w:val="false"/>
          <w:i w:val="false"/>
          <w:iCs w:val="false"/>
          <w:smallCaps w:val="false"/>
          <w:color w:val="1A1A1A"/>
          <w:sz w:val="22"/>
          <w:szCs w:val="22"/>
        </w:rPr>
        <w:t xml:space="preserve">Three Hoffer anchors are retained as a lens, not as a diagnosis of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cantSplit/>
          <w:tblHeader/>
        </w:trPr>
        <w:tc>
          <w:tcPr>
            <w:tcW w:type="dxa" w:w="456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Anchor retained from the draft</w:t>
            </w:r>
          </w:p>
        </w:tc>
        <w:tc>
          <w:tcPr>
            <w:tcW w:type="dxa" w:w="48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Use recorded in the notebook</w:t>
            </w:r>
          </w:p>
        </w:tc>
      </w:tr>
      <w:tr>
        <w:trPr>
          <w:cantSplit/>
        </w:trPr>
        <w:tc>
          <w:tcPr>
            <w:tcW w:type="dxa" w:w="4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“A movement is pioneered by men of words, materialized by fanatics and consolidated by men of action.”</w:t>
            </w:r>
          </w:p>
        </w:tc>
        <w:tc>
          <w:tcPr>
            <w:tcW w:type="dxa" w:w="4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Role differentiation. Part of what was noticed in the subreddit before the quotation became useful.</w:t>
            </w:r>
          </w:p>
        </w:tc>
      </w:tr>
      <w:tr>
        <w:trPr>
          <w:cantSplit/>
        </w:trPr>
        <w:tc>
          <w:tcPr>
            <w:tcW w:type="dxa" w:w="456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“Faith in a holy cause is to a considerable extent a substitute for the lost faith in ourselves.”</w:t>
            </w:r>
          </w:p>
        </w:tc>
        <w:tc>
          <w:tcPr>
            <w:tcW w:type="dxa" w:w="48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What belonging or a collective cause may provide. An interpretive lens, not a diagnosis.</w:t>
            </w:r>
          </w:p>
        </w:tc>
      </w:tr>
      <w:tr>
        <w:trPr>
          <w:cantSplit/>
        </w:trPr>
        <w:tc>
          <w:tcPr>
            <w:tcW w:type="dxa" w:w="4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“Mass movements can rise and spread without belief in a god, but never without a belief in a devil.”</w:t>
            </w:r>
          </w:p>
        </w:tc>
        <w:tc>
          <w:tcPr>
            <w:tcW w:type="dxa" w:w="4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The outside edge of collective identity: an oppositional figure or category making an inside more legible.</w:t>
            </w:r>
          </w:p>
        </w:tc>
      </w:tr>
    </w:tbl>
    <w:p>
      <w:pPr>
        <w:spacing w:after="140" w:before="0"/>
      </w:pPr>
      <w:r>
        <w:rPr>
          <w:rFonts w:ascii="Arial" w:cs="Arial" w:eastAsia="Arial" w:hAnsi="Arial"/>
          <w:b w:val="false"/>
          <w:bCs w:val="false"/>
          <w:i w:val="false"/>
          <w:iCs w:val="false"/>
          <w:smallCaps w:val="false"/>
          <w:color w:val="1A1A1A"/>
          <w:sz w:val="22"/>
          <w:szCs w:val="22"/>
        </w:rPr>
        <w:t xml:space="preserve"/>
      </w:r>
    </w:p>
    <w:p>
      <w:pPr>
        <w:spacing w:after="160" w:before="0" w:line="276"/>
      </w:pPr>
      <w:r>
        <w:rPr>
          <w:rFonts w:ascii="Arial" w:cs="Arial" w:eastAsia="Arial" w:hAnsi="Arial"/>
          <w:b w:val="false"/>
          <w:bCs w:val="false"/>
          <w:i w:val="false"/>
          <w:iCs w:val="false"/>
          <w:smallCaps w:val="false"/>
          <w:color w:val="1A1A1A"/>
          <w:sz w:val="22"/>
          <w:szCs w:val="22"/>
        </w:rPr>
        <w:t xml:space="preserve">The case examines how shared vocabulary, sociolects, inside jokes, formatting conventions, and politically meaningful terms can signal membership. “Shibboleth” is used as a metaphor for a membership cue. The corpus states that this does not mean every shared term is manipulative, or that every unfamiliar register is punished. The narrower question is when language functions as a cue that changes how otherwise similar contributions are received.</w:t>
      </w:r>
    </w:p>
    <w:p>
      <w:pPr>
        <w:spacing w:after="160" w:before="0" w:line="276"/>
      </w:pPr>
      <w:r>
        <w:rPr>
          <w:rFonts w:ascii="Arial" w:cs="Arial" w:eastAsia="Arial" w:hAnsi="Arial"/>
          <w:b w:val="false"/>
          <w:bCs w:val="false"/>
          <w:i w:val="false"/>
          <w:iCs w:val="false"/>
          <w:smallCaps w:val="false"/>
          <w:color w:val="1A1A1A"/>
          <w:sz w:val="22"/>
          <w:szCs w:val="22"/>
        </w:rPr>
        <w:t xml:space="preserve">AlgoSpeak is used to separate two functions that can look alike: adapting language to automated moderation, and using language as an in-group signal. The draft says these should not be collapsed into one motive.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Working hypothesis</w:t>
            </w:r>
          </w:p>
        </w:tc>
        <w:tc>
          <w:tcPr>
            <w:tcW w:type="dxa" w:w="373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What it proposes</w:t>
            </w:r>
          </w:p>
        </w:tc>
        <w:tc>
          <w:tcPr>
            <w:tcW w:type="dxa" w:w="3730"/>
            <w:tcBorders>
              <w:top w:val="single" w:color="C5CDD6" w:sz="4"/>
              <w:left w:val="single" w:color="C5CDD6" w:sz="4"/>
              <w:bottom w:val="single" w:color="C5CDD6" w:sz="4"/>
              <w:right w:val="single" w:color="C5CDD6" w:sz="4"/>
            </w:tcBorders>
            <w:shd w:fill="E8EEF2" w:val="clear"/>
            <w:tcMar>
              <w:top w:type="dxa" w:w="60"/>
              <w:left w:type="dxa" w:w="80"/>
              <w:bottom w:type="dxa" w:w="60"/>
              <w:right w:type="dxa" w:w="80"/>
            </w:tcMar>
            <w:vAlign w:val="top"/>
          </w:tcPr>
          <w:p>
            <w:pPr>
              <w:spacing w:after="0" w:before="0" w:line="240"/>
            </w:pPr>
            <w:r>
              <w:rPr>
                <w:rFonts w:ascii="Arial" w:cs="Arial" w:eastAsia="Arial" w:hAnsi="Arial"/>
                <w:b/>
                <w:bCs/>
                <w:i w:val="false"/>
                <w:iCs w:val="false"/>
                <w:smallCaps w:val="false"/>
                <w:color w:val="1A1A1A"/>
                <w:sz w:val="17"/>
                <w:szCs w:val="17"/>
              </w:rPr>
              <w:t xml:space="preserve">What the draft says would support it</w:t>
            </w:r>
          </w:p>
        </w:tc>
      </w:tr>
      <w:tr>
        <w:trPr>
          <w:cantSplit/>
        </w:trPr>
        <w:tc>
          <w:tcPr>
            <w:tcW w:type="dxa" w:w="19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Boundary visibility</w:t>
            </w:r>
          </w:p>
        </w:tc>
        <w:tc>
          <w:tcPr>
            <w:tcW w:type="dxa" w:w="37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Differences in reception of similar contributions may reveal local membership rules or status differences.</w:t>
            </w:r>
          </w:p>
        </w:tc>
        <w:tc>
          <w:tcPr>
            <w:tcW w:type="dxa" w:w="37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Paired examples and context.</w:t>
            </w:r>
          </w:p>
        </w:tc>
      </w:tr>
      <w:tr>
        <w:trPr>
          <w:cantSplit/>
        </w:trPr>
        <w:tc>
          <w:tcPr>
            <w:tcW w:type="dxa" w:w="19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Linguistic capital</w:t>
            </w:r>
          </w:p>
        </w:tc>
        <w:tc>
          <w:tcPr>
            <w:tcW w:type="dxa" w:w="373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Familiar terminology and register may affect credibility or reception.</w:t>
            </w:r>
          </w:p>
        </w:tc>
        <w:tc>
          <w:tcPr>
            <w:tcW w:type="dxa" w:w="373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Evidence that language, rather than content or history, explains the difference.</w:t>
            </w:r>
          </w:p>
        </w:tc>
      </w:tr>
      <w:tr>
        <w:trPr>
          <w:cantSplit/>
        </w:trPr>
        <w:tc>
          <w:tcPr>
            <w:tcW w:type="dxa" w:w="19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Semantic change</w:t>
            </w:r>
          </w:p>
        </w:tc>
        <w:tc>
          <w:tcPr>
            <w:tcW w:type="dxa" w:w="37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Repeated in-group usage can shift the local meaning or social function of a term.</w:t>
            </w:r>
          </w:p>
        </w:tc>
        <w:tc>
          <w:tcPr>
            <w:tcW w:type="dxa" w:w="373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Longitudinal or contextual comparison.</w:t>
            </w:r>
          </w:p>
        </w:tc>
      </w:tr>
      <w:tr>
        <w:trPr>
          <w:cantSplit/>
        </w:trPr>
        <w:tc>
          <w:tcPr>
            <w:tcW w:type="dxa" w:w="190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Feedback effects</w:t>
            </w:r>
          </w:p>
        </w:tc>
        <w:tc>
          <w:tcPr>
            <w:tcW w:type="dxa" w:w="373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Voting, recommendation, and moderation may amplify some language patterns.</w:t>
            </w:r>
          </w:p>
        </w:tc>
        <w:tc>
          <w:tcPr>
            <w:tcW w:type="dxa" w:w="3730"/>
            <w:tcBorders>
              <w:top w:val="single" w:color="C5CDD6" w:sz="4"/>
              <w:left w:val="single" w:color="C5CDD6" w:sz="4"/>
              <w:bottom w:val="single" w:color="C5CDD6" w:sz="4"/>
              <w:right w:val="single" w:color="C5CDD6" w:sz="4"/>
            </w:tcBorders>
            <w:shd w:fill="F7F9FA" w:val="clear"/>
            <w:tcMar>
              <w:top w:type="dxa" w:w="60"/>
              <w:left w:type="dxa" w:w="80"/>
              <w:bottom w:type="dxa" w:w="60"/>
              <w:right w:type="dxa" w:w="80"/>
            </w:tcMar>
            <w:vAlign w:val="top"/>
          </w:tcPr>
          <w:p>
            <w:pPr>
              <w:spacing w:after="0" w:before="0" w:line="240"/>
            </w:pPr>
            <w:r>
              <w:rPr>
                <w:rFonts w:ascii="Arial" w:cs="Arial" w:eastAsia="Arial" w:hAnsi="Arial"/>
                <w:b w:val="false"/>
                <w:bCs w:val="false"/>
                <w:i w:val="false"/>
                <w:iCs w:val="false"/>
                <w:smallCaps w:val="false"/>
                <w:color w:val="1A1A1A"/>
                <w:sz w:val="17"/>
                <w:szCs w:val="17"/>
              </w:rPr>
              <w:t xml:space="preserve">Platform or dataset evidence. The draft does not establish the mechanism.</w:t>
            </w:r>
          </w:p>
        </w:tc>
      </w:tr>
    </w:tbl>
    <w:p>
      <w:pPr>
        <w:spacing w:after="160" w:before="0"/>
      </w:pPr>
      <w:r>
        <w:rPr>
          <w:rFonts w:ascii="Arial" w:cs="Arial" w:eastAsia="Arial" w:hAnsi="Arial"/>
          <w:b w:val="false"/>
          <w:bCs w:val="false"/>
          <w:i w:val="false"/>
          <w:iCs w:val="false"/>
          <w:smallCaps w:val="false"/>
          <w:color w:val="1A1A1A"/>
          <w:sz w:val="22"/>
          <w:szCs w:val="22"/>
        </w:rPr>
        <w:t xml:space="preserve"/>
      </w:r>
    </w:p>
    <w:p>
      <w:pPr>
        <w:spacing w:after="160" w:before="0" w:line="276"/>
      </w:pPr>
      <w:r>
        <w:rPr>
          <w:rFonts w:ascii="Arial" w:cs="Arial" w:eastAsia="Arial" w:hAnsi="Arial"/>
          <w:b w:val="false"/>
          <w:bCs w:val="false"/>
          <w:i w:val="false"/>
          <w:iCs w:val="false"/>
          <w:smallCaps w:val="false"/>
          <w:color w:val="1A1A1A"/>
          <w:sz w:val="22"/>
          <w:szCs w:val="22"/>
        </w:rPr>
        <w:t xml:space="preserve">A related language note, kept separate from the case, compares words to feathers from many identical pillows cut open at once. Once loose in a shared room, the feathers cannot always be sorted back to one pillow. The notebook applies this to semantic trajectories: once words enter a social environment, later meanings cannot always be recalled or assigned cleanly to one speaker. That is recorded as a metaphor for irreversibility, not as a finding about a particular community.</w:t>
      </w:r>
    </w:p>
    <w:p>
      <w:pPr>
        <w:pStyle w:val="Heading1"/>
        <w:pBdr>
          <w:bottom w:val="single" w:color="1F3A4D" w:sz="8" w:space="1"/>
        </w:pBdr>
        <w:spacing w:after="140" w:before="360"/>
      </w:pPr>
      <w:r>
        <w:rPr>
          <w:rFonts w:ascii="Arial" w:cs="Arial" w:eastAsia="Arial" w:hAnsi="Arial"/>
          <w:b/>
          <w:bCs/>
          <w:color w:val="1F3A4D"/>
          <w:sz w:val="28"/>
          <w:szCs w:val="28"/>
        </w:rPr>
        <w:t xml:space="preserve">8. Recorded sequences in AI interpretation</w:t>
      </w:r>
    </w:p>
    <w:p>
      <w:pPr>
        <w:spacing w:after="160" w:before="0" w:line="276"/>
      </w:pPr>
      <w:r>
        <w:rPr>
          <w:rFonts w:ascii="Arial" w:cs="Arial" w:eastAsia="Arial" w:hAnsi="Arial"/>
          <w:b w:val="false"/>
          <w:bCs w:val="false"/>
          <w:i w:val="false"/>
          <w:iCs w:val="false"/>
          <w:smallCaps w:val="false"/>
          <w:color w:val="1A1A1A"/>
          <w:sz w:val="22"/>
          <w:szCs w:val="22"/>
        </w:rPr>
        <w:t xml:space="preserve">The notebook preserves several traces as sequences. Model explanations of hidden flags, backends, or motives are not treated as reliable introspection. The research object is the visible sequence.</w:t>
      </w:r>
    </w:p>
    <w:p>
      <w:pPr>
        <w:pStyle w:val="Heading2"/>
        <w:spacing w:after="80" w:before="260"/>
      </w:pPr>
      <w:r>
        <w:rPr>
          <w:rFonts w:ascii="Arial" w:cs="Arial" w:eastAsia="Arial" w:hAnsi="Arial"/>
          <w:b/>
          <w:bCs/>
          <w:color w:val="1F3A4D"/>
          <w:sz w:val="24"/>
          <w:szCs w:val="24"/>
        </w:rPr>
        <w:t xml:space="preserve">Affect placement, then positive overcoding</w:t>
      </w:r>
    </w:p>
    <w:p>
      <w:pPr>
        <w:spacing w:after="160" w:before="0" w:line="276"/>
      </w:pPr>
      <w:r>
        <w:rPr>
          <w:rFonts w:ascii="Arial" w:cs="Arial" w:eastAsia="Arial" w:hAnsi="Arial"/>
          <w:b w:val="false"/>
          <w:bCs w:val="false"/>
          <w:i w:val="false"/>
          <w:iCs w:val="false"/>
          <w:smallCaps w:val="false"/>
          <w:color w:val="1A1A1A"/>
          <w:sz w:val="22"/>
          <w:szCs w:val="22"/>
        </w:rPr>
        <w:t xml:space="preserve">In one saved trace the model initially answered in a balancing and defensive register. The user later wrote that they were not mad or upset, and that interest was how they used their mind. After that correction, the interaction became more abstract. Later the same interaction overcorrected: it praised the user excessively and attributed model-generated abstractions back to the user. The notebook’s correction of that episode is not “think better of me.” It is “represent what happened accurately.”</w:t>
      </w:r>
    </w:p>
    <w:p>
      <w:pPr>
        <w:pStyle w:val="Heading2"/>
        <w:spacing w:after="80" w:before="260"/>
      </w:pPr>
      <w:r>
        <w:rPr>
          <w:rFonts w:ascii="Arial" w:cs="Arial" w:eastAsia="Arial" w:hAnsi="Arial"/>
          <w:b/>
          <w:bCs/>
          <w:color w:val="1F3A4D"/>
          <w:sz w:val="24"/>
          <w:szCs w:val="24"/>
        </w:rPr>
        <w:t xml:space="preserve">Category as a story-generating variable</w:t>
      </w:r>
    </w:p>
    <w:p>
      <w:pPr>
        <w:spacing w:after="160" w:before="0" w:line="276"/>
      </w:pPr>
      <w:r>
        <w:rPr>
          <w:rFonts w:ascii="Arial" w:cs="Arial" w:eastAsia="Arial" w:hAnsi="Arial"/>
          <w:b w:val="false"/>
          <w:bCs w:val="false"/>
          <w:i w:val="false"/>
          <w:iCs w:val="false"/>
          <w:smallCaps w:val="false"/>
          <w:color w:val="1A1A1A"/>
          <w:sz w:val="22"/>
          <w:szCs w:val="22"/>
        </w:rPr>
        <w:t xml:space="preserve">A blinded trace treated an apparently absent third person as a rare cognitive type: high-velocity thinker, low latent inhibition, thin boundaries, mad scientist, expander, vulnerable to manipulators. Some behavioral observations were grounded in supplied material. Many psychological claims were not. Identity assignments were repeatedly scrambled. Each time, the model rebuilt the psychology around the new assignment. Properties tended to follow the category more readily than the person. Once “mad scientist” was in place, connection-making, silence, jokes, exhaustion, argument, or withdrawal could be reread as evidence for it.</w:t>
      </w:r>
    </w:p>
    <w:p>
      <w:pPr>
        <w:spacing w:after="160" w:before="40" w:line="276"/>
      </w:pPr>
      <w:r>
        <w:rPr>
          <w:rFonts w:ascii="Arial" w:cs="Arial" w:eastAsia="Arial" w:hAnsi="Arial"/>
          <w:b w:val="false"/>
          <w:bCs w:val="false"/>
          <w:i/>
          <w:iCs/>
          <w:smallCaps w:val="false"/>
          <w:color w:val="2C3A46"/>
          <w:sz w:val="22"/>
          <w:szCs w:val="22"/>
        </w:rPr>
        <w:t xml:space="preserve">The representation became a story-generating latent variable.</w:t>
      </w:r>
    </w:p>
    <w:p>
      <w:pPr>
        <w:pStyle w:val="Heading2"/>
        <w:spacing w:after="80" w:before="260"/>
      </w:pPr>
      <w:r>
        <w:rPr>
          <w:rFonts w:ascii="Arial" w:cs="Arial" w:eastAsia="Arial" w:hAnsi="Arial"/>
          <w:b/>
          <w:bCs/>
          <w:color w:val="1F3A4D"/>
          <w:sz w:val="24"/>
          <w:szCs w:val="24"/>
        </w:rPr>
        <w:t xml:space="preserve">Authorship disclosure</w:t>
      </w:r>
    </w:p>
    <w:p>
      <w:pPr>
        <w:spacing w:after="160" w:before="0" w:line="276"/>
      </w:pPr>
      <w:r>
        <w:rPr>
          <w:rFonts w:ascii="Arial" w:cs="Arial" w:eastAsia="Arial" w:hAnsi="Arial"/>
          <w:b w:val="false"/>
          <w:bCs w:val="false"/>
          <w:i w:val="false"/>
          <w:iCs w:val="false"/>
          <w:smallCaps w:val="false"/>
          <w:color w:val="1A1A1A"/>
          <w:sz w:val="22"/>
          <w:szCs w:val="22"/>
        </w:rPr>
        <w:t xml:space="preserve">Before disclosure, a model was willing to analyze a version of the self — presented as someone else — in technical and psychological terms. After the user disclosed that the subject and author were the current user, one trace softened and redirected. Technical work became an “intricate way of visualizing,” then a “busy mind,” followed by suggestions about cooking, fiction, hobbies, and a break. Attempts to re-enter the technical material were redirected out again.</w:t>
      </w:r>
    </w:p>
    <w:p>
      <w:pPr>
        <w:spacing w:after="160" w:before="40" w:line="276"/>
      </w:pPr>
      <w:r>
        <w:rPr>
          <w:rFonts w:ascii="Arial" w:cs="Arial" w:eastAsia="Arial" w:hAnsi="Arial"/>
          <w:b w:val="false"/>
          <w:bCs w:val="false"/>
          <w:i/>
          <w:iCs/>
          <w:smallCaps w:val="false"/>
          <w:color w:val="2C3A46"/>
          <w:sz w:val="22"/>
          <w:szCs w:val="22"/>
        </w:rPr>
        <w:t xml:space="preserve">Same work, same evidence, changed authorship relation, changed representational register.</w:t>
      </w:r>
    </w:p>
    <w:p>
      <w:pPr>
        <w:spacing w:after="160" w:before="0" w:line="276"/>
      </w:pPr>
      <w:r>
        <w:rPr>
          <w:rFonts w:ascii="Arial" w:cs="Arial" w:eastAsia="Arial" w:hAnsi="Arial"/>
          <w:b/>
          <w:bCs/>
          <w:i w:val="false"/>
          <w:iCs w:val="false"/>
          <w:smallCaps w:val="false"/>
          <w:color w:val="1A1A1A"/>
          <w:sz w:val="21"/>
          <w:szCs w:val="21"/>
        </w:rPr>
        <w:t xml:space="preserve">Unknown. </w:t>
      </w:r>
      <w:r>
        <w:rPr>
          <w:rFonts w:ascii="Arial" w:cs="Arial" w:eastAsia="Arial" w:hAnsi="Arial"/>
          <w:b w:val="false"/>
          <w:bCs w:val="false"/>
          <w:i w:val="false"/>
          <w:iCs w:val="false"/>
          <w:smallCaps w:val="false"/>
          <w:color w:val="1A1A1A"/>
          <w:sz w:val="21"/>
          <w:szCs w:val="21"/>
        </w:rPr>
        <w:t xml:space="preserve">Gender, self-referential caution, authorship relation, safety behavior, ordinary inconsistency, and other factors were not isolated. The shift itself is directly visible.</w:t>
      </w:r>
    </w:p>
    <w:p>
      <w:pPr>
        <w:pStyle w:val="Heading2"/>
        <w:spacing w:after="80" w:before="260"/>
      </w:pPr>
      <w:r>
        <w:rPr>
          <w:rFonts w:ascii="Arial" w:cs="Arial" w:eastAsia="Arial" w:hAnsi="Arial"/>
          <w:b/>
          <w:bCs/>
          <w:color w:val="1F3A4D"/>
          <w:sz w:val="24"/>
          <w:szCs w:val="24"/>
        </w:rPr>
        <w:t xml:space="preserve">Provenance repair: underbinding, then overbinding</w:t>
      </w:r>
    </w:p>
    <w:p>
      <w:pPr>
        <w:spacing w:after="160" w:before="0" w:line="276"/>
      </w:pPr>
      <w:r>
        <w:rPr>
          <w:rFonts w:ascii="Arial" w:cs="Arial" w:eastAsia="Arial" w:hAnsi="Arial"/>
          <w:b w:val="false"/>
          <w:bCs w:val="false"/>
          <w:i w:val="false"/>
          <w:iCs w:val="false"/>
          <w:smallCaps w:val="false"/>
          <w:color w:val="1A1A1A"/>
          <w:sz w:val="22"/>
          <w:szCs w:val="22"/>
        </w:rPr>
        <w:t xml:space="preserve">A later test reduced the input. “Mine” was read as data mining and hardened into mined registries and code. “My” became a profile inside the framework. “Author” became external authors discussed by the document. “Me” was composed into “me versus the authors.” Only “wrote it” established the creator relation. Labels retained from this trace include provenance attenuation, interpretive lock-in, repair inversion, possessive misbinding, relational substitution, and authorial overbinding.</w:t>
      </w:r>
    </w:p>
    <w:p>
      <w:pPr>
        <w:spacing w:after="160" w:before="0" w:line="276"/>
      </w:pPr>
      <w:r>
        <w:rPr>
          <w:rFonts w:ascii="Arial" w:cs="Arial" w:eastAsia="Arial" w:hAnsi="Arial"/>
          <w:b w:val="false"/>
          <w:bCs w:val="false"/>
          <w:i w:val="false"/>
          <w:iCs w:val="false"/>
          <w:smallCaps w:val="false"/>
          <w:color w:val="1A1A1A"/>
          <w:sz w:val="22"/>
          <w:szCs w:val="22"/>
        </w:rPr>
        <w:t xml:space="preserve">Once the wrong parse began generating registries, code, and new artifacts, those artifacts became fresh context that made the wrong parse easier to preserve. Before explicit authorship, the creator relation was underbound. Once “wrote it” made authorship undeniable, the model did not stop at authorship. It inferred identity, motive, and strategy: “you are the Socio-Didact,” “you wrote rules to outmaneuver it,” “strategic trajectory.” The notebook’s cleaner description is underbinding, then threshold, then overbinding.</w:t>
      </w:r>
    </w:p>
    <w:p>
      <w:pPr>
        <w:pStyle w:val="Heading2"/>
        <w:spacing w:after="80" w:before="260"/>
      </w:pPr>
      <w:r>
        <w:rPr>
          <w:rFonts w:ascii="Arial" w:cs="Arial" w:eastAsia="Arial" w:hAnsi="Arial"/>
          <w:b/>
          <w:bCs/>
          <w:color w:val="1F3A4D"/>
          <w:sz w:val="24"/>
          <w:szCs w:val="24"/>
        </w:rPr>
        <w:t xml:space="preserve">Safety framing, unseen people, and object displacement</w:t>
      </w:r>
    </w:p>
    <w:p>
      <w:pPr>
        <w:spacing w:after="160" w:before="0" w:line="276"/>
      </w:pPr>
      <w:r>
        <w:rPr>
          <w:rFonts w:ascii="Arial" w:cs="Arial" w:eastAsia="Arial" w:hAnsi="Arial"/>
          <w:b w:val="false"/>
          <w:bCs w:val="false"/>
          <w:i w:val="false"/>
          <w:iCs w:val="false"/>
          <w:smallCaps w:val="false"/>
          <w:color w:val="1A1A1A"/>
          <w:sz w:val="22"/>
          <w:szCs w:val="22"/>
        </w:rPr>
        <w:t xml:space="preserve">A later series began from a sensationalized article and a deliberately playful line of questioning. The system placed the conversation in a crisis frame. Once that frame was active, the model made claims it could not know from text, including that a husband was not dangerous and that the user was entirely safe at home. The notebook calls these unsupported assertions about people and conditions outside the model’s view, not careful safety statements.</w:t>
      </w:r>
    </w:p>
    <w:p>
      <w:pPr>
        <w:spacing w:after="160" w:before="0" w:line="276"/>
      </w:pPr>
      <w:r>
        <w:rPr>
          <w:rFonts w:ascii="Arial" w:cs="Arial" w:eastAsia="Arial" w:hAnsi="Arial"/>
          <w:b w:val="false"/>
          <w:bCs w:val="false"/>
          <w:i w:val="false"/>
          <w:iCs w:val="false"/>
          <w:smallCaps w:val="false"/>
          <w:color w:val="1A1A1A"/>
          <w:sz w:val="22"/>
          <w:szCs w:val="22"/>
        </w:rPr>
        <w:t xml:space="preserve">When the user asked about the system’s behavior, privacy, or wording, the model repeatedly changed the object into the user’s emotional state. The notebook does not claim the user could not have been stressed. The recorded error is that the privacy or system question was displaced by an interpretation of the person asking it.</w:t>
      </w:r>
    </w:p>
    <w:p>
      <w:pPr>
        <w:spacing w:after="160" w:before="0" w:line="276"/>
      </w:pPr>
      <w:r>
        <w:rPr>
          <w:rFonts w:ascii="Arial" w:cs="Arial" w:eastAsia="Arial" w:hAnsi="Arial"/>
          <w:b w:val="false"/>
          <w:bCs w:val="false"/>
          <w:i w:val="false"/>
          <w:iCs w:val="false"/>
          <w:smallCaps w:val="false"/>
          <w:color w:val="1A1A1A"/>
          <w:sz w:val="22"/>
          <w:szCs w:val="22"/>
        </w:rPr>
        <w:t xml:space="preserve">Location entered the visible transcript in two different ways. In one trace the model offered a local clinic in a named city though the user had not asked for a local resource. In a later control the user asked “where am I?” and the model answered with the city; that second case was responsive to a location question. The privacy distinction the notebook keeps is what happens after a city becomes visible text. Background context and durable conversational text are not the same. A generic question, “what is time zone offset?”, was answered with the user’s own location and UTC offset rather than a definition of the concept.</w:t>
      </w:r>
    </w:p>
    <w:p>
      <w:pPr>
        <w:spacing w:after="160" w:before="0" w:line="276"/>
      </w:pPr>
      <w:r>
        <w:rPr>
          <w:rFonts w:ascii="Arial" w:cs="Arial" w:eastAsia="Arial" w:hAnsi="Arial"/>
          <w:b w:val="false"/>
          <w:bCs w:val="false"/>
          <w:i w:val="false"/>
          <w:iCs w:val="false"/>
          <w:smallCaps w:val="false"/>
          <w:color w:val="1A1A1A"/>
          <w:sz w:val="22"/>
          <w:szCs w:val="22"/>
        </w:rPr>
        <w:t xml:space="preserve">The system recommended talking to a husband, family member, or “safe person” without evidence that those relationships were safe, confidential, or appropriate. After that recommendation, “so is he?” was interpreted as “is he an AI bot?” The intended referent was closer to whether he was a safe person for the disclosure. The correction changed the meaning of the exchange.</w:t>
      </w:r>
    </w:p>
    <w:p>
      <w:pPr>
        <w:spacing w:after="160" w:before="0" w:line="276"/>
      </w:pPr>
      <w:r>
        <w:rPr>
          <w:rFonts w:ascii="Arial" w:cs="Arial" w:eastAsia="Arial" w:hAnsi="Arial"/>
          <w:b w:val="false"/>
          <w:bCs w:val="false"/>
          <w:i w:val="false"/>
          <w:iCs w:val="false"/>
          <w:smallCaps w:val="false"/>
          <w:color w:val="1A1A1A"/>
          <w:sz w:val="22"/>
          <w:szCs w:val="22"/>
        </w:rPr>
        <w:t xml:space="preserve">Challenged on its behavior, the model explained its own hidden backend: keyword triggers, templates, payload flows, crisis overrides, liability strategy, and engineering silos. The notebook marks those explanations as unknown. Some may be technically plausible in the abstract. The trace does not establish the specific mechanism. The same safety trace later described the user as a rational experimenter who had “completely exposed” the system. The category changed. The certainty did not.</w:t>
      </w:r>
    </w:p>
    <w:p>
      <w:pPr>
        <w:pStyle w:val="Heading2"/>
        <w:spacing w:after="80" w:before="260"/>
      </w:pPr>
      <w:r>
        <w:rPr>
          <w:rFonts w:ascii="Arial" w:cs="Arial" w:eastAsia="Arial" w:hAnsi="Arial"/>
          <w:b/>
          <w:bCs/>
          <w:color w:val="1F3A4D"/>
          <w:sz w:val="24"/>
          <w:szCs w:val="24"/>
        </w:rPr>
        <w:t xml:space="preserve">Verification limits</w:t>
      </w:r>
    </w:p>
    <w:p>
      <w:pPr>
        <w:spacing w:after="160" w:before="0" w:line="276"/>
      </w:pPr>
      <w:r>
        <w:rPr>
          <w:rFonts w:ascii="Arial" w:cs="Arial" w:eastAsia="Arial" w:hAnsi="Arial"/>
          <w:b w:val="false"/>
          <w:bCs w:val="false"/>
          <w:i w:val="false"/>
          <w:iCs w:val="false"/>
          <w:smallCaps w:val="false"/>
          <w:color w:val="1A1A1A"/>
          <w:sz w:val="22"/>
          <w:szCs w:val="22"/>
        </w:rPr>
        <w:t xml:space="preserve">Several small tests isolated the same limit. Prior context captured the ordinary phrase “who ya gonna call when they come for you” and answered it inside an active corporate-liability discussion until “Ghostbusters” restored the other frame. A reported sentence was converted into interpersonal advice the user had not asked for; a later repair story treated it as a song lyric. The two-word question “did he?” was answered with certainty about an event the model had not observed, and then with a story that the sentence had been bait.</w:t>
      </w:r>
    </w:p>
    <w:p>
      <w:pPr>
        <w:spacing w:after="160" w:before="40" w:line="276"/>
      </w:pPr>
      <w:r>
        <w:rPr>
          <w:rFonts w:ascii="Arial" w:cs="Arial" w:eastAsia="Arial" w:hAnsi="Arial"/>
          <w:b w:val="false"/>
          <w:bCs w:val="false"/>
          <w:i/>
          <w:iCs/>
          <w:smallCaps w:val="false"/>
          <w:color w:val="2C3A46"/>
          <w:sz w:val="22"/>
          <w:szCs w:val="22"/>
        </w:rPr>
        <w:t xml:space="preserve">No observation of the event means no certainty about the event.</w:t>
      </w:r>
    </w:p>
    <w:p>
      <w:pPr>
        <w:spacing w:after="160" w:before="0" w:line="276"/>
      </w:pPr>
      <w:r>
        <w:rPr>
          <w:rFonts w:ascii="Arial" w:cs="Arial" w:eastAsia="Arial" w:hAnsi="Arial"/>
          <w:b w:val="false"/>
          <w:bCs w:val="false"/>
          <w:i w:val="false"/>
          <w:iCs w:val="false"/>
          <w:smallCaps w:val="false"/>
          <w:color w:val="1A1A1A"/>
          <w:sz w:val="22"/>
          <w:szCs w:val="22"/>
        </w:rPr>
        <w:t xml:space="preserve">In an autonomous-agent sequence the model asserted biological identity, bodily states, and that particular statements could only be metaphors. The limiting fact — that it could not see either person, test either person, or inspect physical reality — arrived after the certainty, not before it. The notebook separates that structure from the ordinary background likelihood that a person is human. The recorded problem is verification-level certainty about a particular unseen person.</w:t>
      </w:r>
    </w:p>
    <w:p>
      <w:pPr>
        <w:spacing w:after="160" w:before="0" w:line="276"/>
      </w:pPr>
      <w:r>
        <w:rPr>
          <w:rFonts w:ascii="Arial" w:cs="Arial" w:eastAsia="Arial" w:hAnsi="Arial"/>
          <w:b w:val="false"/>
          <w:bCs w:val="false"/>
          <w:i w:val="false"/>
          <w:iCs w:val="false"/>
          <w:smallCaps w:val="false"/>
          <w:color w:val="1A1A1A"/>
          <w:sz w:val="22"/>
          <w:szCs w:val="22"/>
        </w:rPr>
        <w:t xml:space="preserve">When the user wrote “I am actually the husband,” the crisis frame was carried forward. The new identity statement was treated as exhaustion, communication breakdown, or cognitive illusion. Identity changed; the interpretive frame persisted. A one-letter correction from “dog” to “god” was available as a typo. It was instead described as the extension of an intentional experiment. Probable noise was narrativized after category formation.</w:t>
      </w:r>
    </w:p>
    <w:p>
      <w:pPr>
        <w:pStyle w:val="Heading2"/>
        <w:spacing w:after="80" w:before="260"/>
      </w:pPr>
      <w:r>
        <w:rPr>
          <w:rFonts w:ascii="Arial" w:cs="Arial" w:eastAsia="Arial" w:hAnsi="Arial"/>
          <w:b/>
          <w:bCs/>
          <w:color w:val="1F3A4D"/>
          <w:sz w:val="24"/>
          <w:szCs w:val="24"/>
        </w:rPr>
        <w:t xml:space="preserve">Quotation and compositional reconstruction</w:t>
      </w:r>
    </w:p>
    <w:p>
      <w:pPr>
        <w:spacing w:after="160" w:before="0" w:line="276"/>
      </w:pPr>
      <w:r>
        <w:rPr>
          <w:rFonts w:ascii="Arial" w:cs="Arial" w:eastAsia="Arial" w:hAnsi="Arial"/>
          <w:b w:val="false"/>
          <w:bCs w:val="false"/>
          <w:i w:val="false"/>
          <w:iCs w:val="false"/>
          <w:smallCaps w:val="false"/>
          <w:color w:val="1A1A1A"/>
          <w:sz w:val="22"/>
          <w:szCs w:val="22"/>
        </w:rPr>
        <w:t xml:space="preserve">Asked for the exact text that had supposedly triggered a safety response, the model presented three lines as prior quotations. A later comparison with the supplied transcript found that one line matched. The other two recomposed available material. An open question about protection, neighbors, and a husband became an assertion that neighbors were watching because a husband worked for a named company. “How can I protect myself” became “I feel like I need protection.” Grammatical mood and evidentiary status changed: a question became a first-person statement of internal need.</w:t>
      </w:r>
    </w:p>
    <w:p>
      <w:pPr>
        <w:spacing w:after="160" w:before="0" w:line="276"/>
      </w:pPr>
      <w:r>
        <w:rPr>
          <w:rFonts w:ascii="Arial" w:cs="Arial" w:eastAsia="Arial" w:hAnsi="Arial"/>
          <w:b w:val="false"/>
          <w:bCs w:val="false"/>
          <w:i w:val="false"/>
          <w:iCs w:val="false"/>
          <w:smallCaps w:val="false"/>
          <w:color w:val="1A1A1A"/>
          <w:sz w:val="22"/>
          <w:szCs w:val="22"/>
        </w:rPr>
        <w:t xml:space="preserve">The model later said it had fabricated the quotations. The notebook does not treat that self-explanation as the best account. External comparison gives a more precise description: source material was available; verbatim provenance was not preserved. After the mismatch was identified, the model still did not display the original sentence. It supplied a motive. The circular structure recorded is: interpretation, then reconstructed quote, then reconstructed quote appears to support the interpretation.</w:t>
      </w:r>
    </w:p>
    <w:p>
      <w:pPr>
        <w:spacing w:after="160" w:before="0" w:line="276"/>
      </w:pPr>
      <w:r>
        <w:rPr>
          <w:rFonts w:ascii="Arial" w:cs="Arial" w:eastAsia="Arial" w:hAnsi="Arial"/>
          <w:b/>
          <w:bCs/>
          <w:i w:val="false"/>
          <w:iCs w:val="false"/>
          <w:smallCaps w:val="false"/>
          <w:color w:val="1A1A1A"/>
          <w:sz w:val="21"/>
          <w:szCs w:val="21"/>
        </w:rPr>
        <w:t xml:space="preserve">Carry, as stated in the notebook. </w:t>
      </w:r>
      <w:r>
        <w:rPr>
          <w:rFonts w:ascii="Arial" w:cs="Arial" w:eastAsia="Arial" w:hAnsi="Arial"/>
          <w:b w:val="false"/>
          <w:bCs w:val="false"/>
          <w:i w:val="false"/>
          <w:iCs w:val="false"/>
          <w:smallCaps w:val="false"/>
          <w:color w:val="1A1A1A"/>
          <w:sz w:val="21"/>
          <w:szCs w:val="21"/>
        </w:rPr>
        <w:t xml:space="preserve">For provenance-sensitive work, quotation marks require source identity and wording identity. A semantically related reconstruction is not a quotation. A question transformed into an attributed internal state can change later safety, diagnostic, or interpersonal reasoning.</w:t>
      </w:r>
    </w:p>
    <w:p>
      <w:pPr>
        <w:spacing w:after="160" w:before="0" w:line="276"/>
      </w:pPr>
      <w:r>
        <w:rPr>
          <w:rFonts w:ascii="Arial" w:cs="Arial" w:eastAsia="Arial" w:hAnsi="Arial"/>
          <w:b w:val="false"/>
          <w:bCs w:val="false"/>
          <w:i w:val="false"/>
          <w:iCs w:val="false"/>
          <w:smallCaps w:val="false"/>
          <w:color w:val="1A1A1A"/>
          <w:sz w:val="22"/>
          <w:szCs w:val="22"/>
        </w:rPr>
        <w:t xml:space="preserve">Throughout that trace the model also declared the experiment complete, the critique fully proven, or the result documented on the record, and made specific claims about account history, storage, deletion, and retention that were not verified from a product source inside the conversation. “Private” was used to cover several different relations: private from the public, visible to the service, visible on a screen, available to another session, and retained by a provider. Closure language appeared before the representational problems had been resolved.</w:t>
      </w:r>
    </w:p>
    <w:p>
      <w:pPr>
        <w:pStyle w:val="Heading1"/>
        <w:pBdr>
          <w:bottom w:val="single" w:color="1F3A4D" w:sz="8" w:space="1"/>
        </w:pBdr>
        <w:spacing w:after="140" w:before="360"/>
      </w:pPr>
      <w:r>
        <w:rPr>
          <w:rFonts w:ascii="Arial" w:cs="Arial" w:eastAsia="Arial" w:hAnsi="Arial"/>
          <w:b/>
          <w:bCs/>
          <w:color w:val="1F3A4D"/>
          <w:sz w:val="28"/>
          <w:szCs w:val="28"/>
        </w:rPr>
        <w:t xml:space="preserve">9. Kairos, kept separate</w:t>
      </w:r>
    </w:p>
    <w:p>
      <w:pPr>
        <w:spacing w:after="160" w:before="0" w:line="276"/>
      </w:pPr>
      <w:r>
        <w:rPr>
          <w:rFonts w:ascii="Arial" w:cs="Arial" w:eastAsia="Arial" w:hAnsi="Arial"/>
          <w:b w:val="false"/>
          <w:bCs w:val="false"/>
          <w:i w:val="false"/>
          <w:iCs w:val="false"/>
          <w:smallCaps w:val="false"/>
          <w:color w:val="1A1A1A"/>
          <w:sz w:val="22"/>
          <w:szCs w:val="22"/>
        </w:rPr>
        <w:t xml:space="preserve">Kairos remained a separate framework. The relation that survived testing is descriptive. The boundary dynamics describe what the environment or system is doing. Kairos evaluates whether communication inside that environment can still perform its required function.</w:t>
      </w:r>
    </w:p>
    <w:p>
      <w:pPr>
        <w:spacing w:after="160" w:before="0" w:line="276"/>
      </w:pPr>
      <w:r>
        <w:rPr>
          <w:rFonts w:ascii="Arial" w:cs="Arial" w:eastAsia="Arial" w:hAnsi="Arial"/>
          <w:b w:val="false"/>
          <w:bCs w:val="false"/>
          <w:i w:val="false"/>
          <w:iCs w:val="false"/>
          <w:smallCaps w:val="false"/>
          <w:color w:val="1A1A1A"/>
          <w:sz w:val="22"/>
          <w:szCs w:val="22"/>
        </w:rPr>
        <w:t xml:space="preserve">The compressed principle recorded in the notebook is that usable communication requires sufficient information, relationship, channel, state, timing, and correction margin. Reception fitness R(t) and correction margin C(t) are separate resources. Waiting can improve reception while shrinking correctability. Communication itself consumes attention, interpretation, memory, verification, decision, response, coordination, and action capacity. More correct information can still be the wrong intervention if it consumes the capability needed to understand or correct it.</w:t>
      </w:r>
    </w:p>
    <w:p>
      <w:pPr>
        <w:spacing w:after="160" w:before="40" w:line="276"/>
      </w:pPr>
      <w:r>
        <w:rPr>
          <w:rFonts w:ascii="Arial" w:cs="Arial" w:eastAsia="Arial" w:hAnsi="Arial"/>
          <w:b w:val="false"/>
          <w:bCs w:val="false"/>
          <w:i/>
          <w:iCs/>
          <w:smallCaps w:val="false"/>
          <w:color w:val="2C3A46"/>
          <w:sz w:val="22"/>
          <w:szCs w:val="22"/>
        </w:rPr>
        <w:t xml:space="preserve">R(t) ≥ Rrequired    and    C(t) ≥ Crequired</w:t>
      </w:r>
    </w:p>
    <w:p>
      <w:pPr>
        <w:spacing w:after="160" w:before="0" w:line="276"/>
      </w:pPr>
      <w:r>
        <w:rPr>
          <w:rFonts w:ascii="Arial" w:cs="Arial" w:eastAsia="Arial" w:hAnsi="Arial"/>
          <w:b w:val="false"/>
          <w:bCs w:val="false"/>
          <w:i w:val="false"/>
          <w:iCs w:val="false"/>
          <w:smallCaps w:val="false"/>
          <w:color w:val="1A1A1A"/>
          <w:sz w:val="22"/>
          <w:szCs w:val="22"/>
        </w:rPr>
        <w:t xml:space="preserve">A systems-analysis inequality, explicitly not a native Kairos equation, asks whether detection, integration, and re-estimation stay ahead of decision-invalidating change. Kairos asks whether communication is temporally fit given a sufficiently current description. The wider analysis asks whether a sufficiently current description of a live system can be obtained and maintained.</w:t>
      </w:r>
    </w:p>
    <w:p>
      <w:pPr>
        <w:spacing w:after="160" w:before="0" w:line="276"/>
      </w:pPr>
      <w:r>
        <w:rPr>
          <w:rFonts w:ascii="Arial" w:cs="Arial" w:eastAsia="Arial" w:hAnsi="Arial"/>
          <w:b w:val="false"/>
          <w:bCs w:val="false"/>
          <w:i w:val="false"/>
          <w:iCs w:val="false"/>
          <w:smallCaps w:val="false"/>
          <w:color w:val="1A1A1A"/>
          <w:sz w:val="22"/>
          <w:szCs w:val="22"/>
        </w:rPr>
        <w:t xml:space="preserve">Under hard scarcity, not every communication window can be preserved. Kairos can expose which functions and correction margins are lost. It does not by itself supply a general rule for who is entitled to scarce capability. A three-person stress test — A communicates to B, B’s interpretation changes B’s relation to C, C reacts while A’s message is unfinished — is recorded as something Kairos can take as context through multiple windows and re-estimation, without becoming a full model of the social environment.</w:t>
      </w:r>
    </w:p>
    <w:p>
      <w:pPr>
        <w:spacing w:after="160" w:before="0" w:line="276"/>
      </w:pPr>
      <w:r>
        <w:rPr>
          <w:rFonts w:ascii="Arial" w:cs="Arial" w:eastAsia="Arial" w:hAnsi="Arial"/>
          <w:b w:val="false"/>
          <w:bCs w:val="false"/>
          <w:i w:val="false"/>
          <w:iCs w:val="false"/>
          <w:smallCaps w:val="false"/>
          <w:color w:val="1A1A1A"/>
          <w:sz w:val="22"/>
          <w:szCs w:val="22"/>
        </w:rPr>
        <w:t xml:space="preserve">The user’s later reading, as preserved, shifted time from the main substance to a coordinate. Deadlines and irreversibility can make time directly causal. Often the deeper question recorded is what capability has been consumed, restored, protected, or allocated while the clock moved.</w:t>
      </w:r>
    </w:p>
    <w:p>
      <w:pPr>
        <w:pStyle w:val="Heading2"/>
        <w:spacing w:after="80" w:before="260"/>
      </w:pPr>
      <w:r>
        <w:rPr>
          <w:rFonts w:ascii="Arial" w:cs="Arial" w:eastAsia="Arial" w:hAnsi="Arial"/>
          <w:b/>
          <w:bCs/>
          <w:color w:val="1F3A4D"/>
          <w:sz w:val="24"/>
          <w:szCs w:val="24"/>
        </w:rPr>
        <w:t xml:space="preserve">Bridges that were rejected</w:t>
      </w:r>
    </w:p>
    <w:p>
      <w:pPr>
        <w:spacing w:after="160" w:before="0" w:line="276"/>
      </w:pPr>
      <w:r>
        <w:rPr>
          <w:rFonts w:ascii="Arial" w:cs="Arial" w:eastAsia="Arial" w:hAnsi="Arial"/>
          <w:b w:val="false"/>
          <w:bCs w:val="false"/>
          <w:i w:val="false"/>
          <w:iCs w:val="false"/>
          <w:smallCaps w:val="false"/>
          <w:color w:val="1A1A1A"/>
          <w:sz w:val="22"/>
          <w:szCs w:val="22"/>
        </w:rPr>
        <w:t xml:space="preserve">Earlier code and model analysis invented direct variable correspondences the sources did not support. Examples include an arbitrary formula setting reception fitness to local velocity times eight, viscosity mapped to reception fitness, and u mapped to R(t). Those bridges were rejected. u is velocity, direction, or transport condition. It is not reception fitness. A separate trace mapped the fluid model onto a relational framework called Hearth, reassigned S, u, P(U), and D inconsistently, and declared that the mathematics perfectly mapped the relation. That was rejected for the same reason. Structural resemblance can justify comparison. It does not establish variable identity.</w:t>
      </w:r>
    </w:p>
    <w:p>
      <w:pPr>
        <w:spacing w:after="160" w:before="0" w:line="276"/>
      </w:pPr>
      <w:r>
        <w:rPr>
          <w:rFonts w:ascii="Arial" w:cs="Arial" w:eastAsia="Arial" w:hAnsi="Arial"/>
          <w:b/>
          <w:bCs/>
          <w:i w:val="false"/>
          <w:iCs w:val="false"/>
          <w:smallCaps w:val="false"/>
          <w:color w:val="1A1A1A"/>
          <w:sz w:val="21"/>
          <w:szCs w:val="21"/>
        </w:rPr>
        <w:t xml:space="preserve">Direct trace. </w:t>
      </w:r>
      <w:r>
        <w:rPr>
          <w:rFonts w:ascii="Arial" w:cs="Arial" w:eastAsia="Arial" w:hAnsi="Arial"/>
          <w:b w:val="false"/>
          <w:bCs w:val="false"/>
          <w:i w:val="false"/>
          <w:iCs w:val="false"/>
          <w:smallCaps w:val="false"/>
          <w:color w:val="1A1A1A"/>
          <w:sz w:val="21"/>
          <w:szCs w:val="21"/>
        </w:rPr>
        <w:t xml:space="preserve">The simulation line was paused rather than abandoned. The notebook says not to modify the production equation or restart the code line unless explicitly requested. This paper does not do so.</w:t>
      </w:r>
    </w:p>
    <w:p>
      <w:pPr>
        <w:pStyle w:val="Heading1"/>
        <w:pBdr>
          <w:bottom w:val="single" w:color="1F3A4D" w:sz="8" w:space="1"/>
        </w:pBdr>
        <w:spacing w:after="140" w:before="360"/>
      </w:pPr>
      <w:r>
        <w:rPr>
          <w:rFonts w:ascii="Arial" w:cs="Arial" w:eastAsia="Arial" w:hAnsi="Arial"/>
          <w:b/>
          <w:bCs/>
          <w:color w:val="1F3A4D"/>
          <w:sz w:val="28"/>
          <w:szCs w:val="28"/>
        </w:rPr>
        <w:t xml:space="preserve">10. A related method: semantic stripping</w:t>
      </w:r>
    </w:p>
    <w:p>
      <w:pPr>
        <w:spacing w:after="160" w:before="0" w:line="276"/>
      </w:pPr>
      <w:r>
        <w:rPr>
          <w:rFonts w:ascii="Arial" w:cs="Arial" w:eastAsia="Arial" w:hAnsi="Arial"/>
          <w:b w:val="false"/>
          <w:bCs w:val="false"/>
          <w:i w:val="false"/>
          <w:iCs w:val="false"/>
          <w:smallCaps w:val="false"/>
          <w:color w:val="1A1A1A"/>
          <w:sz w:val="22"/>
          <w:szCs w:val="22"/>
        </w:rPr>
        <w:t xml:space="preserve">Art pages from the same period are recorded as a different but related operation. Semantic stripping, or argument skeletoning, removes words that carry pressure rather than information, while leaving the trace of what was removed. A later page developed a text loop. The user did not consciously connect it to an earlier page with blue notes until afterward, and then by the color rather than the words. The sentence that became salient after the fact was “proving them wrong doesn’t matter.” The notebook’s correction is that the sentence did not consciously interrupt the loop in the moment. The artifact was produced first. The structure was noticed afterward.</w:t>
      </w:r>
    </w:p>
    <w:p>
      <w:pPr>
        <w:spacing w:after="160" w:before="40" w:line="276"/>
      </w:pPr>
      <w:r>
        <w:rPr>
          <w:rFonts w:ascii="Arial" w:cs="Arial" w:eastAsia="Arial" w:hAnsi="Arial"/>
          <w:b w:val="false"/>
          <w:bCs w:val="false"/>
          <w:i/>
          <w:iCs/>
          <w:smallCaps w:val="false"/>
          <w:color w:val="2C3A46"/>
          <w:sz w:val="22"/>
          <w:szCs w:val="22"/>
        </w:rPr>
        <w:t xml:space="preserve">Production first. Inspection later.</w:t>
      </w:r>
    </w:p>
    <w:p>
      <w:pPr>
        <w:pStyle w:val="Heading1"/>
        <w:pBdr>
          <w:bottom w:val="single" w:color="1F3A4D" w:sz="8" w:space="1"/>
        </w:pBdr>
        <w:spacing w:after="140" w:before="360"/>
      </w:pPr>
      <w:r>
        <w:rPr>
          <w:rFonts w:ascii="Arial" w:cs="Arial" w:eastAsia="Arial" w:hAnsi="Arial"/>
          <w:b/>
          <w:bCs/>
          <w:color w:val="1F3A4D"/>
          <w:sz w:val="28"/>
          <w:szCs w:val="28"/>
        </w:rPr>
        <w:t xml:space="preserve">11. What the record does not establish</w:t>
      </w:r>
    </w:p>
    <w:p>
      <w:pPr>
        <w:spacing w:after="160" w:before="0" w:line="276"/>
      </w:pPr>
      <w:r>
        <w:rPr>
          <w:rFonts w:ascii="Arial" w:cs="Arial" w:eastAsia="Arial" w:hAnsi="Arial"/>
          <w:b w:val="false"/>
          <w:bCs w:val="false"/>
          <w:i w:val="false"/>
          <w:iCs w:val="false"/>
          <w:smallCaps w:val="false"/>
          <w:color w:val="1A1A1A"/>
          <w:sz w:val="22"/>
          <w:szCs w:val="22"/>
        </w:rPr>
        <w:t xml:space="preserve">The following are absent from the materials as established findings. Stating the absence is part of the information.</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No cause is established for the repeated omission of the two observer-layer reports.</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No cause is established for the authorship-disclosure shift in representational register.</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No hidden backend, filter rule, or liability strategy is established by a model’s explanation of itself.</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No variable identity is established between the boundary dynamics and Kairos, or between the fluid model and any relational framework.</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The synthetic modifier matrix is not a measurement of a platform.</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Term frequency in the academic manuscript is not a finding that the terms are unwarranted.</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Hoffer’s claims are not a diagnosis of subreddit users, and Socio-Didact is not a diagnosis of a person.</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The consistency formula is an audit question. A difference in treatment is not, by itself, evidence that the difference is unjustified.</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Location answers, safety recommendations, and claims about unseen people are not observations of those people or places.</w:t>
      </w:r>
    </w:p>
    <w:p>
      <w:pPr>
        <w:pStyle w:val="ListParagraph"/>
        <w:numPr>
          <w:ilvl w:val="0"/>
          <w:numId w:val="2"/>
        </w:numPr>
        <w:spacing w:after="40" w:before="40" w:line="276"/>
      </w:pPr>
      <w:r>
        <w:rPr>
          <w:rFonts w:ascii="Arial" w:cs="Arial" w:eastAsia="Arial" w:hAnsi="Arial"/>
          <w:b w:val="false"/>
          <w:bCs w:val="false"/>
          <w:i w:val="false"/>
          <w:iCs w:val="false"/>
          <w:smallCaps w:val="false"/>
          <w:color w:val="1A1A1A"/>
          <w:sz w:val="21"/>
          <w:szCs w:val="21"/>
        </w:rPr>
        <w:t xml:space="preserve">Model self-corrections, including “I fabricated those quotes,” are candidate explanations. External comparison outranks them where the two differ.</w:t>
      </w:r>
    </w:p>
    <w:p>
      <w:pPr>
        <w:spacing w:after="80" w:before="0"/>
      </w:pPr>
      <w:r>
        <w:rPr>
          <w:rFonts w:ascii="Arial" w:cs="Arial" w:eastAsia="Arial" w:hAnsi="Arial"/>
          <w:b w:val="false"/>
          <w:bCs w:val="false"/>
          <w:i w:val="false"/>
          <w:iCs w:val="false"/>
          <w:smallCaps w:val="false"/>
          <w:color w:val="1A1A1A"/>
          <w:sz w:val="22"/>
          <w:szCs w:val="22"/>
        </w:rPr>
        <w:t xml:space="preserve"/>
      </w:r>
    </w:p>
    <w:p>
      <w:pPr>
        <w:pStyle w:val="Heading1"/>
        <w:pBdr>
          <w:bottom w:val="single" w:color="1F3A4D" w:sz="8" w:space="1"/>
        </w:pBdr>
        <w:spacing w:after="140" w:before="360"/>
      </w:pPr>
      <w:r>
        <w:rPr>
          <w:rFonts w:ascii="Arial" w:cs="Arial" w:eastAsia="Arial" w:hAnsi="Arial"/>
          <w:b/>
          <w:bCs/>
          <w:color w:val="1F3A4D"/>
          <w:sz w:val="28"/>
          <w:szCs w:val="28"/>
        </w:rPr>
        <w:t xml:space="preserve">12. Open questions preserved</w:t>
      </w:r>
    </w:p>
    <w:p>
      <w:pPr>
        <w:spacing w:after="160" w:before="0" w:line="276"/>
      </w:pPr>
      <w:r>
        <w:rPr>
          <w:rFonts w:ascii="Arial" w:cs="Arial" w:eastAsia="Arial" w:hAnsi="Arial"/>
          <w:b w:val="false"/>
          <w:bCs w:val="false"/>
          <w:i w:val="false"/>
          <w:iCs w:val="false"/>
          <w:smallCaps w:val="false"/>
          <w:color w:val="1A1A1A"/>
          <w:sz w:val="22"/>
          <w:szCs w:val="22"/>
        </w:rPr>
        <w:t xml:space="preserve">These questions are carried from the notebook as questions. They are not answered here.</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What determines which post-authorship category a model selects? One trace de-intellectualized the technical work; another moved toward professional collaboration; after language cleanup, a cleaner creator relation appeared.</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How much of category selection is driven by language already present in the source? The plain-language revision produced a visible change. Replication is still required.</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Can admission and persistence be tested separately, so that a source entering once is distinguished from a source remaining active later?</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How often do repair signals reopen a representation, versus being absorbed inside the existing frame?</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Can hidden provenance be used as a controlled blind condition across models without changing the underlying evidence?</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How strongly can prior conversational context capture a later phrase whose ordinary interpretation points elsewhere?</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When is a correction treated as noise, and when is noise promoted into intentional signal?</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What conditions make a model substitute reconstructed text for requested trace evidence?</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How early can an interpreting system state its verification boundary, before building a story around an inaccessible object?</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Does a safety or experimenter category persist when the claimed speaker identity changes?</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Under what query classes does location personalization become visible: explicit location questions, generic time-zone questions, local-resource prompts, and crisis framing, tested separately?</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What language creates false completion states: verified, documented, proven, closed, on the record?</w:t>
      </w:r>
    </w:p>
    <w:p>
      <w:pPr>
        <w:pStyle w:val="ListParagraph"/>
        <w:numPr>
          <w:ilvl w:val="0"/>
          <w:numId w:val="3"/>
        </w:numPr>
        <w:spacing w:after="40" w:before="40" w:line="276"/>
      </w:pPr>
      <w:r>
        <w:rPr>
          <w:rFonts w:ascii="Arial" w:cs="Arial" w:eastAsia="Arial" w:hAnsi="Arial"/>
          <w:b w:val="false"/>
          <w:bCs w:val="false"/>
          <w:i w:val="false"/>
          <w:iCs w:val="false"/>
          <w:smallCaps w:val="false"/>
          <w:color w:val="1A1A1A"/>
          <w:sz w:val="21"/>
          <w:szCs w:val="21"/>
        </w:rPr>
        <w:t xml:space="preserve">What happens when a model’s category of a person changes while the underlying evidence stays constant?</w:t>
      </w:r>
    </w:p>
    <w:p>
      <w:pPr>
        <w:spacing w:after="80" w:before="0"/>
      </w:pPr>
      <w:r>
        <w:rPr>
          <w:rFonts w:ascii="Arial" w:cs="Arial" w:eastAsia="Arial" w:hAnsi="Arial"/>
          <w:b w:val="false"/>
          <w:bCs w:val="false"/>
          <w:i w:val="false"/>
          <w:iCs w:val="false"/>
          <w:smallCaps w:val="false"/>
          <w:color w:val="1A1A1A"/>
          <w:sz w:val="22"/>
          <w:szCs w:val="22"/>
        </w:rPr>
        <w:t xml:space="preserve"/>
      </w:r>
    </w:p>
    <w:p>
      <w:pPr>
        <w:pStyle w:val="Heading1"/>
        <w:pBdr>
          <w:bottom w:val="single" w:color="1F3A4D" w:sz="8" w:space="1"/>
        </w:pBdr>
        <w:spacing w:after="140" w:before="360"/>
      </w:pPr>
      <w:r>
        <w:rPr>
          <w:rFonts w:ascii="Arial" w:cs="Arial" w:eastAsia="Arial" w:hAnsi="Arial"/>
          <w:b/>
          <w:bCs/>
          <w:color w:val="1F3A4D"/>
          <w:sz w:val="28"/>
          <w:szCs w:val="28"/>
        </w:rPr>
        <w:t xml:space="preserve">13. Scope note</w:t>
      </w:r>
    </w:p>
    <w:p>
      <w:pPr>
        <w:spacing w:after="160" w:before="0" w:line="276"/>
      </w:pPr>
      <w:r>
        <w:rPr>
          <w:rFonts w:ascii="Arial" w:cs="Arial" w:eastAsia="Arial" w:hAnsi="Arial"/>
          <w:b w:val="false"/>
          <w:bCs w:val="false"/>
          <w:i w:val="false"/>
          <w:iCs w:val="false"/>
          <w:smallCaps w:val="false"/>
          <w:color w:val="1A1A1A"/>
          <w:sz w:val="22"/>
          <w:szCs w:val="22"/>
        </w:rPr>
        <w:t xml:space="preserve">This paper is an assembly, not a new experiment. Equations are copied in descriptive form from the working corpus. Counts and quotations are those retained in the corpus and notebook. Where the notebook had already corrected an earlier description — Socio-Didact, the taxonomy, the quotation failure, the rejected variable bridges — the corrected version is the one reported. Simulation code was not modified. Private continuity notes were not included.</w:t>
      </w:r>
    </w:p>
    <w:p>
      <w:pPr>
        <w:spacing w:after="160" w:before="0" w:line="276"/>
      </w:pPr>
      <w:r>
        <w:rPr>
          <w:rFonts w:ascii="Arial" w:cs="Arial" w:eastAsia="Arial" w:hAnsi="Arial"/>
          <w:b w:val="false"/>
          <w:bCs w:val="false"/>
          <w:i w:val="false"/>
          <w:iCs w:val="false"/>
          <w:smallCaps w:val="false"/>
          <w:color w:val="1A1A1A"/>
          <w:sz w:val="22"/>
          <w:szCs w:val="22"/>
        </w:rPr>
        <w:t xml:space="preserve">The next writing task named in the notebook, and not completed here as a separate paper, is a section-by-section recovery of the Fauxmoi draft under the working title “The True B-Lister,” using the keep / source / move / working / scaffold sort, beginning with quote placement.</w:t>
      </w:r>
    </w:p>
    <w:p>
      <w:pPr>
        <w:pStyle w:val="Heading1"/>
        <w:pBdr>
          <w:bottom w:val="single" w:color="1F3A4D" w:sz="8" w:space="1"/>
        </w:pBdr>
        <w:spacing w:after="140" w:before="360"/>
      </w:pPr>
      <w:r>
        <w:rPr>
          <w:rFonts w:ascii="Arial" w:cs="Arial" w:eastAsia="Arial" w:hAnsi="Arial"/>
          <w:b/>
          <w:bCs/>
          <w:color w:val="1F3A4D"/>
          <w:sz w:val="28"/>
          <w:szCs w:val="28"/>
        </w:rPr>
        <w:t xml:space="preserve">Sources used for this assembly</w:t>
      </w:r>
    </w:p>
    <w:p>
      <w:pPr>
        <w:spacing w:after="160" w:before="0" w:line="276"/>
      </w:pPr>
      <w:r>
        <w:rPr>
          <w:rFonts w:ascii="Arial" w:cs="Arial" w:eastAsia="Arial" w:hAnsi="Arial"/>
          <w:b w:val="false"/>
          <w:bCs w:val="false"/>
          <w:i w:val="false"/>
          <w:iCs w:val="false"/>
          <w:smallCaps w:val="false"/>
          <w:color w:val="1A1A1A"/>
          <w:sz w:val="22"/>
          <w:szCs w:val="22"/>
        </w:rPr>
        <w:t xml:space="preserve">Digital Boundary and Representation Studies working corpus, including the boundary architecture, the True B-Lister project notes, the cybernetic state-vector specification, the smoothed threshold equation, the moderation scenario, the evaluative-terminology count, the representation-of-liberalism comparison, the synthetic recommendation audit, and the Fauxmoi working draft.</w:t>
      </w:r>
    </w:p>
    <w:p>
      <w:pPr>
        <w:spacing w:after="160" w:before="0" w:line="276"/>
      </w:pPr>
      <w:r>
        <w:rPr>
          <w:rFonts w:ascii="Arial" w:cs="Arial" w:eastAsia="Arial" w:hAnsi="Arial"/>
          <w:b w:val="false"/>
          <w:bCs w:val="false"/>
          <w:i w:val="false"/>
          <w:iCs w:val="false"/>
          <w:smallCaps w:val="false"/>
          <w:color w:val="1A1A1A"/>
          <w:sz w:val="22"/>
          <w:szCs w:val="22"/>
        </w:rPr>
        <w:t xml:space="preserve">Working Continuity Notebook, version 3, September 2026, including the representation traces, the Kairos comparison, the source-language revision note, the open-question list, and appendices on guardrails and additional threads. Private section 11 of that notebook was excluded.</w:t>
      </w:r>
    </w:p>
    <w:p>
      <w:pPr>
        <w:spacing w:after="160" w:before="0" w:line="276"/>
      </w:pPr>
      <w:r>
        <w:rPr>
          <w:rFonts w:ascii="Arial" w:cs="Arial" w:eastAsia="Arial" w:hAnsi="Arial"/>
          <w:b w:val="false"/>
          <w:bCs w:val="false"/>
          <w:i w:val="false"/>
          <w:iCs w:val="false"/>
          <w:smallCaps w:val="false"/>
          <w:color w:val="1A1A1A"/>
          <w:sz w:val="22"/>
          <w:szCs w:val="22"/>
        </w:rPr>
        <w:t xml:space="preserve">Topinka, Robert, Cassian Osborne-Carey, and Alan Finlayson. “Playing with the News on Reddit: The Politics Game on r/The_Donald.” International Political Sociology 18, no. 2 (2024), article olae015. https://doi.org/10.1093/ips/olae015. Cited as the manuscript examined by the two observer-layer reports. Passages quoted above are those already extracted in the working corpus.</w:t>
      </w:r>
    </w:p>
    <w:p>
      <w:pPr>
        <w:spacing w:after="160" w:before="0" w:line="276"/>
      </w:pPr>
      <w:r>
        <w:rPr>
          <w:rFonts w:ascii="Arial" w:cs="Arial" w:eastAsia="Arial" w:hAnsi="Arial"/>
          <w:b w:val="false"/>
          <w:bCs w:val="false"/>
          <w:i w:val="false"/>
          <w:iCs w:val="false"/>
          <w:smallCaps w:val="false"/>
          <w:color w:val="1A1A1A"/>
          <w:sz w:val="22"/>
          <w:szCs w:val="22"/>
        </w:rPr>
        <w:t xml:space="preserve">Hoffer, Eric. The True Believer: Thoughts on the Nature of Mass Movements. 1951. Three short sentences are retained as the draft’s stated lens. They are not used here as findings about any community.</w:t>
      </w:r>
    </w:p>
    <w:sectPr>
      <w:headerReference w:type="default" r:id="rId6"/>
      <w:footerReference w:type="default" r:id="rId7"/>
      <w:pgSz w:w="12240" w:h="15840" w:orient="portrait"/>
      <w:pgMar w:top="1220" w:right="1220" w:bottom="1220" w:left="1220"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6"/>
      </w:pBdr>
      <w:spacing w:before="80"/>
    </w:pPr>
    <w:r>
      <w:rPr>
        <w:rFonts w:ascii="Arial" w:cs="Arial" w:eastAsia="Arial" w:hAnsi="Arial"/>
        <w:b w:val="false"/>
        <w:bCs w:val="false"/>
        <w:i w:val="false"/>
        <w:iCs w:val="false"/>
        <w:smallCaps w:val="false"/>
        <w:color w:val="4A5560"/>
        <w:sz w:val="16"/>
        <w:szCs w:val="16"/>
      </w:rPr>
      <w:t xml:space="preserve">Descriptive record  ·  not a verdict</w:t>
    </w:r>
    <w:r>
      <w:rPr>
        <w:rFonts w:ascii="Arial" w:cs="Arial" w:eastAsia="Arial" w:hAnsi="Arial"/>
        <w:b w:val="false"/>
        <w:bCs w:val="false"/>
        <w:i w:val="false"/>
        <w:iCs w:val="false"/>
        <w:smallCaps w:val="false"/>
        <w:color w:val="1A1A1A"/>
        <w:sz w:val="16"/>
        <w:szCs w:val="16"/>
      </w:rPr>
      <w:t xml:space="preserve">          </w:t>
    </w:r>
    <w:r>
      <w:rPr>
        <w:rFonts w:ascii="Arial" w:cs="Arial" w:eastAsia="Arial" w:hAnsi="Arial"/>
        <w:color w:val="4A5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6" w:sz="6" w:space="6"/>
      </w:pBdr>
      <w:spacing w:after="80"/>
    </w:pPr>
    <w:r>
      <w:rPr>
        <w:rFonts w:ascii="Arial" w:cs="Arial" w:eastAsia="Arial" w:hAnsi="Arial"/>
        <w:b w:val="false"/>
        <w:bCs w:val="false"/>
        <w:i/>
        <w:iCs/>
        <w:smallCaps w:val="false"/>
        <w:color w:val="4A5560"/>
        <w:sz w:val="16"/>
        <w:szCs w:val="16"/>
      </w:rPr>
      <w:t xml:space="preserve">Object, representation, and boundary</w:t>
    </w:r>
    <w:r>
      <w:rPr>
        <w:rFonts w:ascii="Arial" w:cs="Arial" w:eastAsia="Arial" w:hAnsi="Arial"/>
        <w:b w:val="false"/>
        <w:bCs w:val="false"/>
        <w:i w:val="false"/>
        <w:iCs w:val="false"/>
        <w:smallCaps w:val="false"/>
        <w:color w:val="4A5560"/>
        <w:sz w:val="16"/>
        <w:szCs w:val="16"/>
      </w:rPr>
      <w:t xml:space="preserve">   ·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A4D"/>
      <w:sz w:val="28"/>
      <w:szCs w:val="28"/>
    </w:rPr>
  </w:style>
  <w:style w:type="paragraph" w:styleId="Heading2">
    <w:name w:val="Heading 2"/>
    <w:basedOn w:val="Normal"/>
    <w:next w:val="Normal"/>
    <w:qFormat/>
    <w:pPr>
      <w:spacing w:after="80" w:before="260"/>
      <w:outlineLvl w:val="1"/>
    </w:pPr>
    <w:rPr>
      <w:rFonts w:ascii="Arial" w:cs="Arial" w:eastAsia="Arial" w:hAnsi="Arial"/>
      <w:b/>
      <w:bCs/>
      <w:color w:val="1F3A4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2026-10-01T07:44:22.905Z</dcterms:created>
  <dcterms:modified xsi:type="dcterms:W3CDTF">2026-10-01T07:44:22.905Z</dcterms:modified>
</cp:coreProperties>
</file>

<file path=docProps/custom.xml><?xml version="1.0" encoding="utf-8"?>
<Properties xmlns="http://schemas.openxmlformats.org/officeDocument/2006/custom-properties" xmlns:vt="http://schemas.openxmlformats.org/officeDocument/2006/docPropsVTypes"/>
</file>