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Calibri" w:cs="Calibri" w:eastAsia="Calibri" w:hAnsi="Calibri"/>
          <w:b/>
          <w:bCs/>
          <w:color w:val="595959"/>
          <w:sz w:val="32"/>
          <w:szCs w:val="32"/>
        </w:rPr>
        <w:t xml:space="preserve">SOFTWARE REQUIREMENTS SPECIFICATION</w:t>
      </w:r>
    </w:p>
    <w:p>
      <w:pPr>
        <w:spacing w:before="400"/>
        <w:jc w:val="center"/>
      </w:pPr>
      <w:r>
        <w:rPr>
          <w:rFonts w:ascii="Calibri" w:cs="Calibri" w:eastAsia="Calibri" w:hAnsi="Calibri"/>
          <w:b/>
          <w:bCs/>
          <w:color w:val="1F3864"/>
          <w:sz w:val="60"/>
          <w:szCs w:val="60"/>
        </w:rPr>
        <w:t xml:space="preserve">MediSage</w:t>
      </w:r>
    </w:p>
    <w:p>
      <w:pPr>
        <w:spacing w:before="200"/>
        <w:jc w:val="center"/>
      </w:pPr>
      <w:r>
        <w:rPr>
          <w:rFonts w:ascii="Calibri" w:cs="Calibri" w:eastAsia="Calibri" w:hAnsi="Calibri"/>
          <w:i/>
          <w:iCs/>
          <w:color w:val="2E7D6B"/>
          <w:sz w:val="26"/>
          <w:szCs w:val="26"/>
        </w:rPr>
        <w:t xml:space="preserve">Clinical Document Intelligence &amp; Sovereign Health Vault</w:t>
      </w:r>
    </w:p>
    <w:p>
      <w:pPr>
        <w:spacing w:after="1200" w:before="300"/>
        <w:jc w:val="center"/>
      </w:pPr>
      <w:r>
        <w:rPr>
          <w:rFonts w:ascii="Calibri" w:cs="Calibri" w:eastAsia="Calibri" w:hAnsi="Calibri"/>
          <w:color w:val="595959"/>
          <w:sz w:val="20"/>
          <w:szCs w:val="20"/>
        </w:rPr>
        <w:t xml:space="preserve">Zero-Hallucination OCR Provenance  •  Pharmacodynamic Safety Guard  •  HL7® FHIR® R4 Interoperability</w:t>
      </w:r>
    </w:p>
    <w:p>
      <w:pPr>
        <w:spacing w:before="1600"/>
        <w:jc w:val="center"/>
      </w:pPr>
      <w:r>
        <w:rPr>
          <w:rFonts w:ascii="Calibri" w:cs="Calibri" w:eastAsia="Calibri" w:hAnsi="Calibri"/>
          <w:b/>
          <w:bCs/>
          <w:color w:val="1F3864"/>
          <w:sz w:val="22"/>
          <w:szCs w:val="22"/>
        </w:rPr>
        <w:t xml:space="preserve">IEEE 830 Format</w:t>
      </w:r>
    </w:p>
    <w:p>
      <w:pPr>
        <w:spacing w:before="100"/>
        <w:jc w:val="center"/>
      </w:pPr>
      <w:r>
        <w:rPr>
          <w:rFonts w:ascii="Calibri" w:cs="Calibri" w:eastAsia="Calibri" w:hAnsi="Calibri"/>
          <w:color w:val="595959"/>
          <w:sz w:val="20"/>
          <w:szCs w:val="20"/>
        </w:rPr>
        <w:t xml:space="preserve">Document Version 0.1  —  Draft</w:t>
      </w:r>
    </w:p>
    <w:p>
      <w:pPr>
        <w:spacing w:before="900"/>
        <w:jc w:val="center"/>
      </w:pPr>
      <w:r>
        <w:rPr>
          <w:rFonts w:ascii="Calibri" w:cs="Calibri" w:eastAsia="Calibri" w:hAnsi="Calibri"/>
          <w:color w:val="595959"/>
          <w:sz w:val="20"/>
          <w:szCs w:val="20"/>
        </w:rPr>
        <w:t xml:space="preserve">Prepared by: Yash Singhal</w:t>
      </w:r>
    </w:p>
    <w:p>
      <w:r>
        <w:br w:type="page"/>
      </w:r>
    </w:p>
    <w:p>
      <w:pPr>
        <w:pStyle w:val="Heading2"/>
        <w:spacing w:after="150" w:before="300"/>
      </w:pPr>
      <w:r>
        <w:rPr>
          <w:b/>
          <w:bCs/>
          <w:color w:val="2E7D6B"/>
          <w:sz w:val="25"/>
          <w:szCs w:val="25"/>
        </w:rPr>
        <w:t xml:space="preserve">Revision History</w:t>
      </w:r>
    </w:p>
    <w:tbl>
      <w:tblPr>
        <w:tblW w:type="dxa" w:w="9438"/>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600"/>
        <w:gridCol w:w="3838"/>
      </w:tblGrid>
      <w:tr>
        <w:trPr>
          <w:tblHeader/>
        </w:trPr>
        <w:tc>
          <w:tcPr>
            <w:tcW w:type="dxa" w:w="14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Version</w:t>
            </w:r>
          </w:p>
        </w:tc>
        <w:tc>
          <w:tcPr>
            <w:tcW w:type="dxa" w:w="16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Date</w:t>
            </w:r>
          </w:p>
        </w:tc>
        <w:tc>
          <w:tcPr>
            <w:tcW w:type="dxa" w:w="26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Author</w:t>
            </w:r>
          </w:p>
        </w:tc>
        <w:tc>
          <w:tcPr>
            <w:tcW w:type="dxa" w:w="3838"/>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Description</w:t>
            </w:r>
          </w:p>
        </w:tc>
      </w:tr>
      <w:tr>
        <w:tc>
          <w:tcPr>
            <w:tcW w:type="dxa" w:w="14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0.1</w:t>
            </w:r>
          </w:p>
        </w:tc>
        <w:tc>
          <w:tcPr>
            <w:tcW w:type="dxa" w:w="16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TBD</w:t>
            </w:r>
          </w:p>
        </w:tc>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Yash Singhal</w:t>
            </w:r>
          </w:p>
        </w:tc>
        <w:tc>
          <w:tcPr>
            <w:tcW w:type="dxa" w:w="383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Initial draft created from elicitation findings</w:t>
            </w:r>
          </w:p>
        </w:tc>
      </w:tr>
      <w:tr>
        <w:tc>
          <w:tcPr>
            <w:tcW w:type="dxa" w:w="14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1.0</w:t>
            </w:r>
          </w:p>
        </w:tc>
        <w:tc>
          <w:tcPr>
            <w:tcW w:type="dxa" w:w="16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TBD</w:t>
            </w:r>
          </w:p>
        </w:tc>
        <w:tc>
          <w:tcPr>
            <w:tcW w:type="dxa" w:w="26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Yash Singhal</w:t>
            </w:r>
          </w:p>
        </w:tc>
        <w:tc>
          <w:tcPr>
            <w:tcW w:type="dxa" w:w="3838"/>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First complete SRS submitted for review</w:t>
            </w:r>
          </w:p>
        </w:tc>
      </w:tr>
    </w:tbl>
    <w:p>
      <w:pPr>
        <w:spacing w:before="300"/>
      </w:pPr>
    </w:p>
    <w:p>
      <w:pPr>
        <w:pStyle w:val="Heading2"/>
        <w:spacing w:after="150" w:before="300"/>
      </w:pPr>
      <w:r>
        <w:rPr>
          <w:b/>
          <w:bCs/>
          <w:color w:val="2E7D6B"/>
          <w:sz w:val="25"/>
          <w:szCs w:val="25"/>
        </w:rPr>
        <w:t xml:space="preserve">Project Team</w:t>
      </w:r>
    </w:p>
    <w:tbl>
      <w:tblPr>
        <w:tblW w:type="dxa" w:w="9438"/>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438"/>
      </w:tblGrid>
      <w:tr>
        <w:trPr>
          <w:tblHeader/>
        </w:trPr>
        <w:tc>
          <w:tcPr>
            <w:tcW w:type="dxa" w:w="22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Name</w:t>
            </w:r>
          </w:p>
        </w:tc>
        <w:tc>
          <w:tcPr>
            <w:tcW w:type="dxa" w:w="28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Role</w:t>
            </w:r>
          </w:p>
        </w:tc>
        <w:tc>
          <w:tcPr>
            <w:tcW w:type="dxa" w:w="4438"/>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Responsibility</w:t>
            </w:r>
          </w:p>
        </w:tc>
      </w:tr>
      <w:tr>
        <w:tc>
          <w:tcPr>
            <w:tcW w:type="dxa" w:w="2200"/>
            <w:tcMar>
              <w:top w:type="dxa" w:w="80"/>
              <w:left w:type="dxa" w:w="120"/>
              <w:bottom w:type="dxa" w:w="80"/>
              <w:right w:type="dxa" w:w="120"/>
            </w:tcMar>
            <w:vAlign w:val="center"/>
          </w:tcPr>
          <w:p>
            <w:r>
              <w:t>Saurav Singh</w:t>
            </w:r>
          </w:p>
        </w:tc>
        <w:tc>
          <w:tcPr>
            <w:tcW w:type="dxa" w:w="2800"/>
            <w:tcMar>
              <w:top w:type="dxa" w:w="80"/>
              <w:left w:type="dxa" w:w="120"/>
              <w:bottom w:type="dxa" w:w="80"/>
              <w:right w:type="dxa" w:w="120"/>
            </w:tcMar>
            <w:vAlign w:val="center"/>
          </w:tcPr>
          <w:p>
            <w:r>
              <w:t>Project Lead</w:t>
            </w:r>
          </w:p>
        </w:tc>
        <w:tc>
          <w:tcPr>
            <w:tcW w:type="dxa" w:w="4438"/>
            <w:tcMar>
              <w:top w:type="dxa" w:w="80"/>
              <w:left w:type="dxa" w:w="120"/>
              <w:bottom w:type="dxa" w:w="80"/>
              <w:right w:type="dxa" w:w="120"/>
            </w:tcMar>
            <w:vAlign w:val="center"/>
          </w:tcPr>
          <w:p>
            <w:r>
              <w:t>Overall project leadership, coordination, architecture and delivery</w:t>
            </w:r>
          </w:p>
        </w:tc>
      </w:tr>
      <w:tr>
        <w:tc>
          <w:tcPr>
            <w:tcW w:type="dxa" w:w="2200"/>
            <w:shd w:fill="EAF1EF" w:val="clear"/>
            <w:tcMar>
              <w:top w:type="dxa" w:w="80"/>
              <w:left w:type="dxa" w:w="120"/>
              <w:bottom w:type="dxa" w:w="80"/>
              <w:right w:type="dxa" w:w="120"/>
            </w:tcMar>
            <w:vAlign w:val="center"/>
          </w:tcPr>
          <w:p>
            <w:r>
              <w:t>Yash Singhal</w:t>
            </w:r>
          </w:p>
        </w:tc>
        <w:tc>
          <w:tcPr>
            <w:tcW w:type="dxa" w:w="2800"/>
            <w:shd w:fill="EAF1EF" w:val="clear"/>
            <w:tcMar>
              <w:top w:type="dxa" w:w="80"/>
              <w:left w:type="dxa" w:w="120"/>
              <w:bottom w:type="dxa" w:w="80"/>
              <w:right w:type="dxa" w:w="120"/>
            </w:tcMar>
            <w:vAlign w:val="center"/>
          </w:tcPr>
          <w:p>
            <w:r>
              <w:t>Full-Stack Developer</w:t>
            </w:r>
          </w:p>
        </w:tc>
        <w:tc>
          <w:tcPr>
            <w:tcW w:type="dxa" w:w="4438"/>
            <w:shd w:fill="EAF1EF" w:val="clear"/>
            <w:tcMar>
              <w:top w:type="dxa" w:w="80"/>
              <w:left w:type="dxa" w:w="120"/>
              <w:bottom w:type="dxa" w:w="80"/>
              <w:right w:type="dxa" w:w="120"/>
            </w:tcMar>
            <w:vAlign w:val="center"/>
          </w:tcPr>
          <w:p>
            <w:r>
              <w:t>Frontend (React), backend (Node.js/Express), system integration and AI integration</w:t>
            </w:r>
          </w:p>
        </w:tc>
      </w:tr>
      <w:tr>
        <w:tc>
          <w:tcPr>
            <w:tcW w:type="dxa" w:w="2200"/>
            <w:tcMar>
              <w:top w:type="dxa" w:w="80"/>
              <w:left w:type="dxa" w:w="120"/>
              <w:bottom w:type="dxa" w:w="80"/>
              <w:right w:type="dxa" w:w="120"/>
            </w:tcMar>
            <w:vAlign w:val="center"/>
          </w:tcPr>
          <w:p>
            <w:r>
              <w:t>Sparsh Singhal</w:t>
            </w:r>
          </w:p>
        </w:tc>
        <w:tc>
          <w:tcPr>
            <w:tcW w:type="dxa" w:w="2800"/>
            <w:tcMar>
              <w:top w:type="dxa" w:w="80"/>
              <w:left w:type="dxa" w:w="120"/>
              <w:bottom w:type="dxa" w:w="80"/>
              <w:right w:type="dxa" w:w="120"/>
            </w:tcMar>
            <w:vAlign w:val="center"/>
          </w:tcPr>
          <w:p>
            <w:r>
              <w:t>ML Engineer</w:t>
            </w:r>
          </w:p>
        </w:tc>
        <w:tc>
          <w:tcPr>
            <w:tcW w:type="dxa" w:w="4438"/>
            <w:tcMar>
              <w:top w:type="dxa" w:w="80"/>
              <w:left w:type="dxa" w:w="120"/>
              <w:bottom w:type="dxa" w:w="80"/>
              <w:right w:type="dxa" w:w="120"/>
            </w:tcMar>
            <w:vAlign w:val="center"/>
          </w:tcPr>
          <w:p>
            <w:r>
              <w:t>Machine learning, OCR/entity extraction and clinical intelligence models</w:t>
            </w:r>
          </w:p>
        </w:tc>
      </w:tr>
      <w:tr>
        <w:tc>
          <w:tcPr>
            <w:tcW w:type="dxa" w:w="2200"/>
          </w:tcPr>
          <w:p>
            <w:r>
              <w:t>Soumya</w:t>
            </w:r>
          </w:p>
        </w:tc>
        <w:tc>
          <w:tcPr>
            <w:tcW w:type="dxa" w:w="2800"/>
          </w:tcPr>
          <w:p>
            <w:r>
              <w:t>Documentation Lead</w:t>
            </w:r>
          </w:p>
        </w:tc>
        <w:tc>
          <w:tcPr>
            <w:tcW w:type="dxa" w:w="4438"/>
          </w:tcPr>
          <w:p>
            <w:r>
              <w:t>SRS, technical documentation, requirements and project documentation</w:t>
            </w:r>
          </w:p>
        </w:tc>
      </w:tr>
    </w:tbl>
    <w:p>
      <w:r>
        <w:br w:type="page"/>
      </w:r>
    </w:p>
    <w:p>
      <w:pPr>
        <w:pStyle w:val="Heading1"/>
        <w:spacing w:after="200" w:before="400"/>
      </w:pPr>
      <w:r>
        <w:rPr>
          <w:b/>
          <w:bCs/>
          <w:color w:val="1F3864"/>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after="200" w:before="400"/>
      </w:pPr>
      <w:r>
        <w:rPr>
          <w:b/>
          <w:bCs/>
          <w:color w:val="1F3864"/>
          <w:sz w:val="30"/>
          <w:szCs w:val="30"/>
        </w:rPr>
        <w:t xml:space="preserve">1. Introduction</w:t>
      </w:r>
    </w:p>
    <w:p>
      <w:pPr>
        <w:pStyle w:val="Heading2"/>
        <w:spacing w:after="150" w:before="300"/>
      </w:pPr>
      <w:r>
        <w:rPr>
          <w:b/>
          <w:bCs/>
          <w:color w:val="2E7D6B"/>
          <w:sz w:val="25"/>
          <w:szCs w:val="25"/>
        </w:rPr>
        <w:t xml:space="preserve">1.1 Purpose</w:t>
      </w:r>
    </w:p>
    <w:p>
      <w:pPr>
        <w:spacing w:after="160" w:line="276"/>
      </w:pPr>
      <w:r>
        <w:rPr>
          <w:rFonts w:ascii="Calibri" w:cs="Calibri" w:eastAsia="Calibri" w:hAnsi="Calibri"/>
          <w:sz w:val="21"/>
          <w:szCs w:val="21"/>
        </w:rPr>
        <w:t xml:space="preserve">This Software Requirements Specification (SRS) defines the functional, non-functional, interface, and other requirements for MediSage — a Clinical Document Intelligence &amp; Sovereign Health Vault. It is intended to give the development team, evaluators, and reviewing stakeholders a single, unambiguous reference for what the system must do before implementation and testing begin. This document follows the IEEE 830 recommended structure for software requirements specifications.</w:t>
      </w:r>
    </w:p>
    <w:p>
      <w:pPr>
        <w:pStyle w:val="Heading2"/>
        <w:spacing w:after="150" w:before="300"/>
      </w:pPr>
      <w:r>
        <w:rPr>
          <w:b/>
          <w:bCs/>
          <w:color w:val="2E7D6B"/>
          <w:sz w:val="25"/>
          <w:szCs w:val="25"/>
        </w:rPr>
        <w:t xml:space="preserve">1.2 Document Conventions</w:t>
      </w:r>
    </w:p>
    <w:p>
      <w:pPr>
        <w:spacing w:after="160" w:line="276"/>
      </w:pPr>
      <w:r>
        <w:rPr>
          <w:rFonts w:ascii="Calibri" w:cs="Calibri" w:eastAsia="Calibri" w:hAnsi="Calibri"/>
          <w:sz w:val="21"/>
          <w:szCs w:val="21"/>
        </w:rPr>
        <w:t xml:space="preserve">Requirements are uniquely identified using the prefixes FR (Functional Requirement), NFR (Non-Functional Requirement), EIR (External Interface Requirement), and OR (Other Requirement), each followed by a section number and sequence number (e.g., FR-3.1). The keywords “shall” and “must” indicate mandatory requirements; “should” indicates a recommended but non-mandatory requirement. Each requirement is additionally tagged with a priority of High, Medium, or Low, reflecting the stakeholder-priority matrix established during elicitation.</w:t>
      </w:r>
    </w:p>
    <w:p>
      <w:pPr>
        <w:pStyle w:val="Heading2"/>
        <w:spacing w:after="150" w:before="300"/>
      </w:pPr>
      <w:r>
        <w:rPr>
          <w:b/>
          <w:bCs/>
          <w:color w:val="2E7D6B"/>
          <w:sz w:val="25"/>
          <w:szCs w:val="25"/>
        </w:rPr>
        <w:t xml:space="preserve">1.3 Intended Audience and Reading Suggestions</w:t>
      </w:r>
    </w:p>
    <w:p>
      <w:pPr>
        <w:pStyle w:val="ListParagraph"/>
        <w:numPr>
          <w:ilvl w:val="0"/>
          <w:numId w:val="2"/>
        </w:numPr>
        <w:spacing w:after="80"/>
      </w:pPr>
      <w:r>
        <w:rPr>
          <w:rFonts w:ascii="Calibri" w:cs="Calibri" w:eastAsia="Calibri" w:hAnsi="Calibri"/>
          <w:sz w:val="21"/>
          <w:szCs w:val="21"/>
        </w:rPr>
        <w:t xml:space="preserve">Development / Product Team — read the full document, with emphasis on Sections 3–5 for implementation.</w:t>
      </w:r>
    </w:p>
    <w:p>
      <w:pPr>
        <w:pStyle w:val="ListParagraph"/>
        <w:numPr>
          <w:ilvl w:val="0"/>
          <w:numId w:val="2"/>
        </w:numPr>
        <w:spacing w:after="80"/>
      </w:pPr>
      <w:r>
        <w:rPr>
          <w:rFonts w:ascii="Calibri" w:cs="Calibri" w:eastAsia="Calibri" w:hAnsi="Calibri"/>
          <w:sz w:val="21"/>
          <w:szCs w:val="21"/>
        </w:rPr>
        <w:t xml:space="preserve">Project Evaluators / Reviewers (academic or organizational) — read Sections 1, 2, and the Appendices for scope and traceability.</w:t>
      </w:r>
    </w:p>
    <w:p>
      <w:pPr>
        <w:pStyle w:val="ListParagraph"/>
        <w:numPr>
          <w:ilvl w:val="0"/>
          <w:numId w:val="2"/>
        </w:numPr>
        <w:spacing w:after="80"/>
      </w:pPr>
      <w:r>
        <w:rPr>
          <w:rFonts w:ascii="Calibri" w:cs="Calibri" w:eastAsia="Calibri" w:hAnsi="Calibri"/>
          <w:sz w:val="21"/>
          <w:szCs w:val="21"/>
        </w:rPr>
        <w:t xml:space="preserve">Clinical / Domain Advisors — read Section 2 (personas) and Section 3 (functional behavior) to validate clinical safety logic.</w:t>
      </w:r>
    </w:p>
    <w:p>
      <w:pPr>
        <w:pStyle w:val="ListParagraph"/>
        <w:numPr>
          <w:ilvl w:val="0"/>
          <w:numId w:val="2"/>
        </w:numPr>
        <w:spacing w:after="80"/>
      </w:pPr>
      <w:r>
        <w:rPr>
          <w:rFonts w:ascii="Calibri" w:cs="Calibri" w:eastAsia="Calibri" w:hAnsi="Calibri"/>
          <w:sz w:val="21"/>
          <w:szCs w:val="21"/>
        </w:rPr>
        <w:t xml:space="preserve">QA / Test Engineers — read Sections 3 and 4 alongside the Acceptance Criteria in Appendix D to derive test cases.</w:t>
      </w:r>
    </w:p>
    <w:p>
      <w:pPr>
        <w:pStyle w:val="Heading2"/>
        <w:spacing w:after="150" w:before="300"/>
      </w:pPr>
      <w:r>
        <w:rPr>
          <w:b/>
          <w:bCs/>
          <w:color w:val="2E7D6B"/>
          <w:sz w:val="25"/>
          <w:szCs w:val="25"/>
        </w:rPr>
        <w:t xml:space="preserve">1.4 Project Scope</w:t>
      </w:r>
    </w:p>
    <w:p>
      <w:pPr>
        <w:spacing w:after="160" w:line="276"/>
      </w:pPr>
      <w:r>
        <w:rPr>
          <w:rFonts w:ascii="Calibri" w:cs="Calibri" w:eastAsia="Calibri" w:hAnsi="Calibri"/>
          <w:sz w:val="21"/>
          <w:szCs w:val="21"/>
        </w:rPr>
        <w:t xml:space="preserve">MediSage is an enterprise-grade, sovereign medical document management and AI health intelligence ecosystem. Inspired by the zero-trust architecture of government DigiLockers and modern clinical EHR standards, it ingests any clinical artifact (prescriptions, lab panels, radiology reports, discharge summaries), binds every extracted value to its exact source location to eliminate AI hallucination, cross-checks medications for dangerous interactions, and formats the resulting history into portable, interoperable outputs, including an offline emergency pass and HL7® FHIR® R4 bundles that hospitals can import directly.</w:t>
      </w:r>
    </w:p>
    <w:p>
      <w:pPr>
        <w:spacing w:after="160" w:line="276"/>
      </w:pPr>
      <w:r>
        <w:rPr>
          <w:rFonts w:ascii="Calibri" w:cs="Calibri" w:eastAsia="Calibri" w:hAnsi="Calibri"/>
          <w:sz w:val="21"/>
          <w:szCs w:val="21"/>
        </w:rPr>
        <w:t xml:space="preserve">In scope for the current release (v2.0): the Pixel Provenance Viewer, the Pharmacodynamic Drug-Drug &amp; Allergy Safety Guard, the Universal Emergency (I.C.E.) Pass, HL7 FHIR R4 export, the Multi-Member Family Vault Switcher, autonomous OCR/entity extraction, the biomarker trend engine, AI health synthesis, and the insurance matcher.</w:t>
      </w:r>
    </w:p>
    <w:p>
      <w:pPr>
        <w:spacing w:after="160" w:line="276"/>
      </w:pPr>
      <w:r>
        <w:rPr>
          <w:rFonts w:ascii="Calibri" w:cs="Calibri" w:eastAsia="Calibri" w:hAnsi="Calibri"/>
          <w:sz w:val="21"/>
          <w:szCs w:val="21"/>
        </w:rPr>
        <w:t xml:space="preserve">Out of scope for this release: a native DICOM 3D WebGL viewer (planned v2.1), WebRTC telehealth video consultations (planned v2.2), Apple HealthKit / Google Health Connect vitals sync (planned v2.3), multi-language emergency triage (planned v2.4), and any form of official medical diagnosis, prescriptive authority, or emergency dispatch service — the system is explicitly informational and educational, not a replacement for licensed medical care.</w:t>
      </w:r>
    </w:p>
    <w:p>
      <w:pPr>
        <w:pStyle w:val="Heading2"/>
        <w:spacing w:after="150" w:before="300"/>
      </w:pPr>
      <w:r>
        <w:rPr>
          <w:b/>
          <w:bCs/>
          <w:color w:val="2E7D6B"/>
          <w:sz w:val="25"/>
          <w:szCs w:val="25"/>
        </w:rPr>
        <w:t xml:space="preserve">1.5 References</w:t>
      </w:r>
    </w:p>
    <w:p>
      <w:pPr>
        <w:pStyle w:val="ListParagraph"/>
        <w:numPr>
          <w:ilvl w:val="0"/>
          <w:numId w:val="2"/>
        </w:numPr>
        <w:spacing w:after="80"/>
      </w:pPr>
      <w:r>
        <w:rPr>
          <w:rFonts w:ascii="Calibri" w:cs="Calibri" w:eastAsia="Calibri" w:hAnsi="Calibri"/>
          <w:sz w:val="21"/>
          <w:szCs w:val="21"/>
        </w:rPr>
        <w:t xml:space="preserve">MediSage Project Documentation, v2.0 — Yash Singhal</w:t>
      </w:r>
    </w:p>
    <w:p>
      <w:pPr>
        <w:pStyle w:val="ListParagraph"/>
        <w:numPr>
          <w:ilvl w:val="0"/>
          <w:numId w:val="2"/>
        </w:numPr>
        <w:spacing w:after="80"/>
      </w:pPr>
      <w:r>
        <w:rPr>
          <w:rFonts w:ascii="Calibri" w:cs="Calibri" w:eastAsia="Calibri" w:hAnsi="Calibri"/>
          <w:sz w:val="21"/>
          <w:szCs w:val="21"/>
        </w:rPr>
        <w:t xml:space="preserve">MediSage Elicitation Document, v1.0 — Yash Singhal</w:t>
      </w:r>
    </w:p>
    <w:p>
      <w:pPr>
        <w:pStyle w:val="ListParagraph"/>
        <w:numPr>
          <w:ilvl w:val="0"/>
          <w:numId w:val="2"/>
        </w:numPr>
        <w:spacing w:after="80"/>
      </w:pPr>
      <w:r>
        <w:rPr>
          <w:rFonts w:ascii="Calibri" w:cs="Calibri" w:eastAsia="Calibri" w:hAnsi="Calibri"/>
          <w:sz w:val="21"/>
          <w:szCs w:val="21"/>
        </w:rPr>
        <w:t xml:space="preserve">IEEE Std 830-1998, IEEE Recommended Practice for Software Requirements Specifications</w:t>
      </w:r>
    </w:p>
    <w:p>
      <w:pPr>
        <w:pStyle w:val="ListParagraph"/>
        <w:numPr>
          <w:ilvl w:val="0"/>
          <w:numId w:val="2"/>
        </w:numPr>
        <w:spacing w:after="80"/>
      </w:pPr>
      <w:r>
        <w:rPr>
          <w:rFonts w:ascii="Calibri" w:cs="Calibri" w:eastAsia="Calibri" w:hAnsi="Calibri"/>
          <w:sz w:val="21"/>
          <w:szCs w:val="21"/>
        </w:rPr>
        <w:t xml:space="preserve">HL7® FHIR® Release 4 (R4), US Core Implementation Guide</w:t>
      </w:r>
    </w:p>
    <w:p>
      <w:pPr>
        <w:pStyle w:val="ListParagraph"/>
        <w:numPr>
          <w:ilvl w:val="0"/>
          <w:numId w:val="2"/>
        </w:numPr>
        <w:spacing w:after="80"/>
      </w:pPr>
      <w:r>
        <w:rPr>
          <w:rFonts w:ascii="Calibri" w:cs="Calibri" w:eastAsia="Calibri" w:hAnsi="Calibri"/>
          <w:sz w:val="21"/>
          <w:szCs w:val="21"/>
        </w:rPr>
        <w:t xml:space="preserve">LOINC® (Logical Observation Identifiers Names and Codes)</w:t>
      </w:r>
    </w:p>
    <w:p>
      <w:pPr>
        <w:pStyle w:val="ListParagraph"/>
        <w:numPr>
          <w:ilvl w:val="0"/>
          <w:numId w:val="2"/>
        </w:numPr>
        <w:spacing w:after="80"/>
      </w:pPr>
      <w:r>
        <w:rPr>
          <w:rFonts w:ascii="Calibri" w:cs="Calibri" w:eastAsia="Calibri" w:hAnsi="Calibri"/>
          <w:sz w:val="21"/>
          <w:szCs w:val="21"/>
        </w:rPr>
        <w:t xml:space="preserve">RxNorm — Normalized names for clinical drugs (U.S. National Library of Medicine)</w:t>
      </w:r>
    </w:p>
    <w:p>
      <w:pPr>
        <w:pStyle w:val="ListParagraph"/>
        <w:numPr>
          <w:ilvl w:val="0"/>
          <w:numId w:val="2"/>
        </w:numPr>
        <w:spacing w:after="80"/>
      </w:pPr>
      <w:r>
        <w:rPr>
          <w:rFonts w:ascii="Calibri" w:cs="Calibri" w:eastAsia="Calibri" w:hAnsi="Calibri"/>
          <w:sz w:val="21"/>
          <w:szCs w:val="21"/>
        </w:rPr>
        <w:t xml:space="preserve">SNOMED CT — Systematized Nomenclature of Medicine, Clinical Terms</w:t>
      </w:r>
    </w:p>
    <w:p>
      <w:pPr>
        <w:pStyle w:val="Heading1"/>
        <w:spacing w:after="200" w:before="400"/>
      </w:pPr>
      <w:r>
        <w:rPr>
          <w:b/>
          <w:bCs/>
          <w:color w:val="1F3864"/>
          <w:sz w:val="30"/>
          <w:szCs w:val="30"/>
        </w:rPr>
        <w:t xml:space="preserve">2. Overall Description</w:t>
      </w:r>
    </w:p>
    <w:p>
      <w:pPr>
        <w:pStyle w:val="Heading2"/>
        <w:spacing w:after="150" w:before="300"/>
      </w:pPr>
      <w:r>
        <w:rPr>
          <w:b/>
          <w:bCs/>
          <w:color w:val="2E7D6B"/>
          <w:sz w:val="25"/>
          <w:szCs w:val="25"/>
        </w:rPr>
        <w:t xml:space="preserve">2.1 Product Perspective</w:t>
      </w:r>
    </w:p>
    <w:p>
      <w:pPr>
        <w:spacing w:after="160" w:line="276"/>
      </w:pPr>
      <w:r>
        <w:rPr>
          <w:rFonts w:ascii="Calibri" w:cs="Calibri" w:eastAsia="Calibri" w:hAnsi="Calibri"/>
          <w:sz w:val="21"/>
          <w:szCs w:val="21"/>
        </w:rPr>
        <w:t xml:space="preserve">MediSage is a new, self-contained web-based product; it is not a component of an existing system. It positions itself between fragmented, patient-held paper/PDF records and hospital-grade Electronic Health Record (EHR) systems, acting as a patient-controlled, standards-compliant bridge between the two. It interoperates with external clinical coding systems (LOINC, RxNorm, SNOMED CT) and produces HL7® FHIR® R4-compliant output that downstream hospital EHR systems can import.</w:t>
      </w:r>
    </w:p>
    <w:p/>
    <w:p>
      <w:pPr>
        <w:jc w:val="center"/>
      </w:pPr>
      <w:r>
        <w:drawing>
          <wp:inline xmlns:a="http://schemas.openxmlformats.org/drawingml/2006/main" xmlns:pic="http://schemas.openxmlformats.org/drawingml/2006/picture">
            <wp:extent cx="5257800" cy="5574654"/>
            <wp:docPr id="1" name="Picture 1"/>
            <wp:cNvGraphicFramePr>
              <a:graphicFrameLocks noChangeAspect="1"/>
            </wp:cNvGraphicFramePr>
            <a:graphic>
              <a:graphicData uri="http://schemas.openxmlformats.org/drawingml/2006/picture">
                <pic:pic>
                  <pic:nvPicPr>
                    <pic:cNvPr id="0" name="DFD_diagram-MediSage.png"/>
                    <pic:cNvPicPr/>
                  </pic:nvPicPr>
                  <pic:blipFill>
                    <a:blip r:embed="rId10"/>
                    <a:stretch>
                      <a:fillRect/>
                    </a:stretch>
                  </pic:blipFill>
                  <pic:spPr>
                    <a:xfrm>
                      <a:off x="0" y="0"/>
                      <a:ext cx="5257800" cy="5574654"/>
                    </a:xfrm>
                    <a:prstGeom prst="rect"/>
                  </pic:spPr>
                </pic:pic>
              </a:graphicData>
            </a:graphic>
          </wp:inline>
        </w:drawing>
      </w:r>
    </w:p>
    <w:p/>
    <w:p>
      <w:pPr>
        <w:jc w:val="center"/>
      </w:pPr>
      <w:r>
        <w:rPr>
          <w:b/>
          <w:sz w:val="18"/>
        </w:rPr>
        <w:t>Figure 1 — MediSage Data Flow Diagram (DFD)</w:t>
      </w:r>
    </w:p>
    <w:p>
      <w:pPr>
        <w:pStyle w:val="Heading2"/>
        <w:spacing w:after="150" w:before="300"/>
      </w:pPr>
      <w:r>
        <w:rPr>
          <w:b/>
          <w:bCs/>
          <w:color w:val="2E7D6B"/>
          <w:sz w:val="25"/>
          <w:szCs w:val="25"/>
        </w:rPr>
        <w:t xml:space="preserve">2.2 Product Features (Summary)</w:t>
      </w:r>
    </w:p>
    <w:p>
      <w:pPr>
        <w:pStyle w:val="ListParagraph"/>
        <w:numPr>
          <w:ilvl w:val="0"/>
          <w:numId w:val="2"/>
        </w:numPr>
        <w:spacing w:after="80"/>
      </w:pPr>
      <w:r>
        <w:rPr>
          <w:rFonts w:ascii="Calibri" w:cs="Calibri" w:eastAsia="Calibri" w:hAnsi="Calibri"/>
          <w:sz w:val="21"/>
          <w:szCs w:val="21"/>
        </w:rPr>
        <w:t xml:space="preserve">Deterministic Pixel Provenance Viewer — links every extracted biomarker to its exact bounding-box location on the source document, with a SHA-256 provenance hash for verification.</w:t>
      </w:r>
    </w:p>
    <w:p>
      <w:pPr>
        <w:pStyle w:val="ListParagraph"/>
        <w:numPr>
          <w:ilvl w:val="0"/>
          <w:numId w:val="2"/>
        </w:numPr>
        <w:spacing w:after="80"/>
      </w:pPr>
      <w:r>
        <w:rPr>
          <w:rFonts w:ascii="Calibri" w:cs="Calibri" w:eastAsia="Calibri" w:hAnsi="Calibri"/>
          <w:sz w:val="21"/>
          <w:szCs w:val="21"/>
        </w:rPr>
        <w:t xml:space="preserve">Autonomous Clinical OCR &amp; Entity Extraction — multi-format ingestion (PDF, JPEG, PNG, JSON, HL7) with &gt;98.5% precision and automatic document categorization.</w:t>
      </w:r>
    </w:p>
    <w:p>
      <w:pPr>
        <w:pStyle w:val="ListParagraph"/>
        <w:numPr>
          <w:ilvl w:val="0"/>
          <w:numId w:val="2"/>
        </w:numPr>
        <w:spacing w:after="80"/>
      </w:pPr>
      <w:r>
        <w:rPr>
          <w:rFonts w:ascii="Calibri" w:cs="Calibri" w:eastAsia="Calibri" w:hAnsi="Calibri"/>
          <w:sz w:val="21"/>
          <w:szCs w:val="21"/>
        </w:rPr>
        <w:t xml:space="preserve">Biomarker Trajectory &amp; Longitudinal Trend Engine — trend graphs, delta calculations, and Optimal/Borderline/Elevated status indicators.</w:t>
      </w:r>
    </w:p>
    <w:p>
      <w:pPr>
        <w:pStyle w:val="ListParagraph"/>
        <w:numPr>
          <w:ilvl w:val="0"/>
          <w:numId w:val="2"/>
        </w:numPr>
        <w:spacing w:after="80"/>
      </w:pPr>
      <w:r>
        <w:rPr>
          <w:rFonts w:ascii="Calibri" w:cs="Calibri" w:eastAsia="Calibri" w:hAnsi="Calibri"/>
          <w:sz w:val="21"/>
          <w:szCs w:val="21"/>
        </w:rPr>
        <w:t xml:space="preserve">Pharmacodynamic Drug-Drug &amp; Allergy Safety Guard — CYP450 pathway checks, renal/hemodynamic antagonism alerts, allergy cross-reactivity detection, and a prospective-prescription sandbox simulator.</w:t>
      </w:r>
    </w:p>
    <w:p>
      <w:pPr>
        <w:pStyle w:val="ListParagraph"/>
        <w:numPr>
          <w:ilvl w:val="0"/>
          <w:numId w:val="2"/>
        </w:numPr>
        <w:spacing w:after="80"/>
      </w:pPr>
      <w:r>
        <w:rPr>
          <w:rFonts w:ascii="Calibri" w:cs="Calibri" w:eastAsia="Calibri" w:hAnsi="Calibri"/>
          <w:sz w:val="21"/>
          <w:szCs w:val="21"/>
        </w:rPr>
        <w:t xml:space="preserve">Universal Emergency Medical Pass (I.C.E.) &amp; QR Engine — offline-capable emergency triage card with a printable ISO/IEC 7810 wallet card.</w:t>
      </w:r>
    </w:p>
    <w:p>
      <w:pPr>
        <w:pStyle w:val="ListParagraph"/>
        <w:numPr>
          <w:ilvl w:val="0"/>
          <w:numId w:val="2"/>
        </w:numPr>
        <w:spacing w:after="80"/>
      </w:pPr>
      <w:r>
        <w:rPr>
          <w:rFonts w:ascii="Calibri" w:cs="Calibri" w:eastAsia="Calibri" w:hAnsi="Calibri"/>
          <w:sz w:val="21"/>
          <w:szCs w:val="21"/>
        </w:rPr>
        <w:t xml:space="preserve">HL7® FHIR® R4 Hospital Passport &amp; JSON Export — US-Core-compliant Patient, Observation, MedicationStatement, and AllergyIntolerance resource bundles.</w:t>
      </w:r>
    </w:p>
    <w:p>
      <w:pPr>
        <w:pStyle w:val="ListParagraph"/>
        <w:numPr>
          <w:ilvl w:val="0"/>
          <w:numId w:val="2"/>
        </w:numPr>
        <w:spacing w:after="80"/>
      </w:pPr>
      <w:r>
        <w:rPr>
          <w:rFonts w:ascii="Calibri" w:cs="Calibri" w:eastAsia="Calibri" w:hAnsi="Calibri"/>
          <w:sz w:val="21"/>
          <w:szCs w:val="21"/>
        </w:rPr>
        <w:t xml:space="preserve">Multi-Member Family &amp; Dependent Vault Switcher — sovereign household management across dependents with distinct medical profiles.</w:t>
      </w:r>
    </w:p>
    <w:p>
      <w:pPr>
        <w:pStyle w:val="ListParagraph"/>
        <w:numPr>
          <w:ilvl w:val="0"/>
          <w:numId w:val="2"/>
        </w:numPr>
        <w:spacing w:after="80"/>
      </w:pPr>
      <w:r>
        <w:rPr>
          <w:rFonts w:ascii="Calibri" w:cs="Calibri" w:eastAsia="Calibri" w:hAnsi="Calibri"/>
          <w:sz w:val="21"/>
          <w:szCs w:val="21"/>
        </w:rPr>
        <w:t xml:space="preserve">AI Clinical Health Synthesis &amp; Conversational Companion — longitudinal summaries, lifestyle/nutrition guidance, and an interactive chat assistant with rule-based fallback.</w:t>
      </w:r>
    </w:p>
    <w:p>
      <w:pPr>
        <w:pStyle w:val="ListParagraph"/>
        <w:numPr>
          <w:ilvl w:val="0"/>
          <w:numId w:val="2"/>
        </w:numPr>
        <w:spacing w:after="80"/>
      </w:pPr>
      <w:r>
        <w:rPr>
          <w:rFonts w:ascii="Calibri" w:cs="Calibri" w:eastAsia="Calibri" w:hAnsi="Calibri"/>
          <w:sz w:val="21"/>
          <w:szCs w:val="21"/>
        </w:rPr>
        <w:t xml:space="preserve">Tailored Health Insurance (RCM) Matcher — matches coverage tiers against chronic diagnoses and medication costs.</w:t>
      </w:r>
    </w:p>
    <w:p>
      <w:pPr>
        <w:pStyle w:val="Heading2"/>
        <w:spacing w:after="150" w:before="300"/>
      </w:pPr>
      <w:r>
        <w:rPr>
          <w:b/>
          <w:bCs/>
          <w:color w:val="2E7D6B"/>
          <w:sz w:val="25"/>
          <w:szCs w:val="25"/>
        </w:rPr>
        <w:t xml:space="preserve">2.3 Stakeholder Overview</w:t>
      </w:r>
    </w:p>
    <w:p>
      <w:pPr>
        <w:spacing w:after="160" w:line="276"/>
      </w:pPr>
      <w:r>
        <w:rPr>
          <w:rFonts w:ascii="Calibri" w:cs="Calibri" w:eastAsia="Calibri" w:hAnsi="Calibri"/>
          <w:sz w:val="21"/>
          <w:szCs w:val="21"/>
        </w:rPr>
        <w:t xml:space="preserve">Stakeholders were classified using a Name / Role / Needs / Priority matrix during elicitation so that every requirement in this document traces back to a real, prioritized need.</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4438"/>
        <w:gridCol w:w="1000"/>
      </w:tblGrid>
      <w:tr>
        <w:trPr>
          <w:tblHeader/>
        </w:trPr>
        <w:tc>
          <w:tcPr>
            <w:tcW w:type="dxa" w:w="17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Stakeholder</w:t>
            </w:r>
          </w:p>
        </w:tc>
        <w:tc>
          <w:tcPr>
            <w:tcW w:type="dxa" w:w="17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Role</w:t>
            </w:r>
          </w:p>
        </w:tc>
        <w:tc>
          <w:tcPr>
            <w:tcW w:type="dxa" w:w="4438"/>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Primary Needs</w:t>
            </w:r>
          </w:p>
        </w:tc>
        <w:tc>
          <w:tcPr>
            <w:tcW w:type="dxa" w:w="10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Priority</w:t>
            </w:r>
          </w:p>
        </w:tc>
      </w:tr>
      <w:tr>
        <w:tc>
          <w:tcPr>
            <w:tcW w:type="dxa" w:w="17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Patient / End User</w:t>
            </w:r>
          </w:p>
        </w:tc>
        <w:tc>
          <w:tcPr>
            <w:tcW w:type="dxa" w:w="17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Primary system user</w:t>
            </w:r>
          </w:p>
        </w:tc>
        <w:tc>
          <w:tcPr>
            <w:tcW w:type="dxa" w:w="443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Single place to store and understand all medical documents; easy upload; clear biomarker trends; emergency access</w:t>
            </w:r>
          </w:p>
        </w:tc>
        <w:tc>
          <w:tcPr>
            <w:tcW w:type="dxa" w:w="10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High</w:t>
            </w:r>
          </w:p>
        </w:tc>
      </w:tr>
      <w:tr>
        <w:tc>
          <w:tcPr>
            <w:tcW w:type="dxa" w:w="17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Attending Physician</w:t>
            </w:r>
          </w:p>
        </w:tc>
        <w:tc>
          <w:tcPr>
            <w:tcW w:type="dxa" w:w="17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Clinical reviewer</w:t>
            </w:r>
          </w:p>
        </w:tc>
        <w:tc>
          <w:tcPr>
            <w:tcW w:type="dxa" w:w="4438"/>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Fast, trustworthy access to patient history; verifiable source data; standard-compliant exports (FHIR)</w:t>
            </w:r>
          </w:p>
        </w:tc>
        <w:tc>
          <w:tcPr>
            <w:tcW w:type="dxa" w:w="10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High</w:t>
            </w:r>
          </w:p>
        </w:tc>
      </w:tr>
      <w:tr>
        <w:tc>
          <w:tcPr>
            <w:tcW w:type="dxa" w:w="17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Emergency Responder</w:t>
            </w:r>
          </w:p>
        </w:tc>
        <w:tc>
          <w:tcPr>
            <w:tcW w:type="dxa" w:w="17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First responder / ER staff</w:t>
            </w:r>
          </w:p>
        </w:tc>
        <w:tc>
          <w:tcPr>
            <w:tcW w:type="dxa" w:w="443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Instant access to blood group, allergies, medications, and emergency contacts, even offline</w:t>
            </w:r>
          </w:p>
        </w:tc>
        <w:tc>
          <w:tcPr>
            <w:tcW w:type="dxa" w:w="10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High</w:t>
            </w:r>
          </w:p>
        </w:tc>
      </w:tr>
      <w:tr>
        <w:tc>
          <w:tcPr>
            <w:tcW w:type="dxa" w:w="17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Family Caregiver</w:t>
            </w:r>
          </w:p>
        </w:tc>
        <w:tc>
          <w:tcPr>
            <w:tcW w:type="dxa" w:w="17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Manages dependents’ records</w:t>
            </w:r>
          </w:p>
        </w:tc>
        <w:tc>
          <w:tcPr>
            <w:tcW w:type="dxa" w:w="4438"/>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Ability to manage multiple family member profiles from a single account</w:t>
            </w:r>
          </w:p>
        </w:tc>
        <w:tc>
          <w:tcPr>
            <w:tcW w:type="dxa" w:w="10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Medium</w:t>
            </w:r>
          </w:p>
        </w:tc>
      </w:tr>
      <w:tr>
        <w:tc>
          <w:tcPr>
            <w:tcW w:type="dxa" w:w="17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Insurance Provider (RCM)</w:t>
            </w:r>
          </w:p>
        </w:tc>
        <w:tc>
          <w:tcPr>
            <w:tcW w:type="dxa" w:w="17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Coverage &amp; claims</w:t>
            </w:r>
          </w:p>
        </w:tc>
        <w:tc>
          <w:tcPr>
            <w:tcW w:type="dxa" w:w="443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Structured, chronic-condition-aware data for plan matching and claims processing</w:t>
            </w:r>
          </w:p>
        </w:tc>
        <w:tc>
          <w:tcPr>
            <w:tcW w:type="dxa" w:w="10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Medium</w:t>
            </w:r>
          </w:p>
        </w:tc>
      </w:tr>
      <w:tr>
        <w:tc>
          <w:tcPr>
            <w:tcW w:type="dxa" w:w="17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Pharmacist</w:t>
            </w:r>
          </w:p>
        </w:tc>
        <w:tc>
          <w:tcPr>
            <w:tcW w:type="dxa" w:w="17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Medication safety reviewer</w:t>
            </w:r>
          </w:p>
        </w:tc>
        <w:tc>
          <w:tcPr>
            <w:tcW w:type="dxa" w:w="4438"/>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Visibility into active prescriptions and potential drug-drug or drug-allergy interactions</w:t>
            </w:r>
          </w:p>
        </w:tc>
        <w:tc>
          <w:tcPr>
            <w:tcW w:type="dxa" w:w="10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Medium</w:t>
            </w:r>
          </w:p>
        </w:tc>
      </w:tr>
      <w:tr>
        <w:tc>
          <w:tcPr>
            <w:tcW w:type="dxa" w:w="17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Development / Product Team</w:t>
            </w:r>
          </w:p>
        </w:tc>
        <w:tc>
          <w:tcPr>
            <w:tcW w:type="dxa" w:w="17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Builds &amp; maintains system</w:t>
            </w:r>
          </w:p>
        </w:tc>
        <w:tc>
          <w:tcPr>
            <w:tcW w:type="dxa" w:w="443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Clear, testable requirements; maintainable architecture; standards compliance (HIPAA, HL7 FHIR)</w:t>
            </w:r>
          </w:p>
        </w:tc>
        <w:tc>
          <w:tcPr>
            <w:tcW w:type="dxa" w:w="10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High</w:t>
            </w:r>
          </w:p>
        </w:tc>
      </w:tr>
    </w:tbl>
    <w:p>
      <w:pPr>
        <w:pStyle w:val="Heading2"/>
        <w:spacing w:after="150" w:before="300"/>
      </w:pPr>
      <w:r>
        <w:rPr>
          <w:b/>
          <w:bCs/>
          <w:color w:val="2E7D6B"/>
          <w:sz w:val="25"/>
          <w:szCs w:val="25"/>
        </w:rPr>
        <w:t xml:space="preserve">2.4 User Classes and Characteristics (Personas)</w:t>
      </w:r>
    </w:p>
    <w:p>
      <w:pPr>
        <w:pStyle w:val="Heading3"/>
        <w:spacing w:after="100" w:before="200"/>
      </w:pPr>
      <w:r>
        <w:rPr>
          <w:b/>
          <w:bCs/>
          <w:color w:val="595959"/>
          <w:sz w:val="22"/>
          <w:szCs w:val="22"/>
        </w:rPr>
        <w:t xml:space="preserve">Persona 1 — The Chronic Condition Patient</w:t>
      </w:r>
    </w:p>
    <w:tbl>
      <w:tblPr>
        <w:tblW w:type="dxa" w:w="9438"/>
        <w:tblBorders>
          <w:top w:val="single" w:color="auto" w:sz="4"/>
          <w:left w:val="single" w:color="auto" w:sz="4"/>
          <w:bottom w:val="single" w:color="auto" w:sz="4"/>
          <w:right w:val="single" w:color="auto" w:sz="4"/>
          <w:insideH w:val="single" w:color="auto" w:sz="4"/>
          <w:insideV w:val="single" w:color="auto" w:sz="4"/>
        </w:tblBorders>
      </w:tblPr>
      <w:tblGrid>
        <w:gridCol w:w="2200"/>
        <w:gridCol w:w="7238"/>
      </w:tblGrid>
      <w:tr>
        <w:trPr>
          <w:tblHeader/>
        </w:trPr>
        <w:tc>
          <w:tcPr>
            <w:tcW w:type="dxa" w:w="22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Attribute</w:t>
            </w:r>
          </w:p>
        </w:tc>
        <w:tc>
          <w:tcPr>
            <w:tcW w:type="dxa" w:w="7238"/>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Detail</w:t>
            </w:r>
          </w:p>
        </w:tc>
      </w:tr>
      <w:tr>
        <w:tc>
          <w:tcPr>
            <w:tcW w:type="dxa" w:w="2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Name</w:t>
            </w:r>
          </w:p>
        </w:tc>
        <w:tc>
          <w:tcPr>
            <w:tcW w:type="dxa" w:w="723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Ananya Sharma (representative persona)</w:t>
            </w:r>
          </w:p>
        </w:tc>
      </w:tr>
      <w:tr>
        <w:tc>
          <w:tcPr>
            <w:tcW w:type="dxa" w:w="22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Age / Occupation</w:t>
            </w:r>
          </w:p>
        </w:tc>
        <w:tc>
          <w:tcPr>
            <w:tcW w:type="dxa" w:w="7238"/>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52 / School administrator</w:t>
            </w:r>
          </w:p>
        </w:tc>
      </w:tr>
      <w:tr>
        <w:tc>
          <w:tcPr>
            <w:tcW w:type="dxa" w:w="2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Tech Comfort</w:t>
            </w:r>
          </w:p>
        </w:tc>
        <w:tc>
          <w:tcPr>
            <w:tcW w:type="dxa" w:w="723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Moderate — uses smartphone daily, not highly technical</w:t>
            </w:r>
          </w:p>
        </w:tc>
      </w:tr>
      <w:tr>
        <w:tc>
          <w:tcPr>
            <w:tcW w:type="dxa" w:w="22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Goals</w:t>
            </w:r>
          </w:p>
        </w:tc>
        <w:tc>
          <w:tcPr>
            <w:tcW w:type="dxa" w:w="7238"/>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Track cholesterol and blood sugar trends; avoid missing a dangerous drug interaction; keep all reports in one place</w:t>
            </w:r>
          </w:p>
        </w:tc>
      </w:tr>
      <w:tr>
        <w:tc>
          <w:tcPr>
            <w:tcW w:type="dxa" w:w="2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Frustrations</w:t>
            </w:r>
          </w:p>
        </w:tc>
        <w:tc>
          <w:tcPr>
            <w:tcW w:type="dxa" w:w="723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Loses paper prescriptions; cannot interpret lab jargon; repeats tests because old reports are not on hand</w:t>
            </w:r>
          </w:p>
        </w:tc>
      </w:tr>
      <w:tr>
        <w:tc>
          <w:tcPr>
            <w:tcW w:type="dxa" w:w="22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Representative Quote</w:t>
            </w:r>
          </w:p>
        </w:tc>
        <w:tc>
          <w:tcPr>
            <w:tcW w:type="dxa" w:w="7238"/>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“I just want one place where all my reports live, and someone to tell me if my numbers are getting better or worse.”</w:t>
            </w:r>
          </w:p>
        </w:tc>
      </w:tr>
    </w:tbl>
    <w:p>
      <w:pPr>
        <w:pStyle w:val="Heading3"/>
        <w:spacing w:after="100" w:before="200"/>
      </w:pPr>
      <w:r>
        <w:rPr>
          <w:b/>
          <w:bCs/>
          <w:color w:val="595959"/>
          <w:sz w:val="22"/>
          <w:szCs w:val="22"/>
        </w:rPr>
        <w:t xml:space="preserve">Persona 2 — The Attending Physician</w:t>
      </w:r>
    </w:p>
    <w:tbl>
      <w:tblPr>
        <w:tblW w:type="dxa" w:w="9438"/>
        <w:tblBorders>
          <w:top w:val="single" w:color="auto" w:sz="4"/>
          <w:left w:val="single" w:color="auto" w:sz="4"/>
          <w:bottom w:val="single" w:color="auto" w:sz="4"/>
          <w:right w:val="single" w:color="auto" w:sz="4"/>
          <w:insideH w:val="single" w:color="auto" w:sz="4"/>
          <w:insideV w:val="single" w:color="auto" w:sz="4"/>
        </w:tblBorders>
      </w:tblPr>
      <w:tblGrid>
        <w:gridCol w:w="2200"/>
        <w:gridCol w:w="7238"/>
      </w:tblGrid>
      <w:tr>
        <w:trPr>
          <w:tblHeader/>
        </w:trPr>
        <w:tc>
          <w:tcPr>
            <w:tcW w:type="dxa" w:w="22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Attribute</w:t>
            </w:r>
          </w:p>
        </w:tc>
        <w:tc>
          <w:tcPr>
            <w:tcW w:type="dxa" w:w="7238"/>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Detail</w:t>
            </w:r>
          </w:p>
        </w:tc>
      </w:tr>
      <w:tr>
        <w:tc>
          <w:tcPr>
            <w:tcW w:type="dxa" w:w="2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Name</w:t>
            </w:r>
          </w:p>
        </w:tc>
        <w:tc>
          <w:tcPr>
            <w:tcW w:type="dxa" w:w="723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Dr. Rohan Mehta (representative persona)</w:t>
            </w:r>
          </w:p>
        </w:tc>
      </w:tr>
      <w:tr>
        <w:tc>
          <w:tcPr>
            <w:tcW w:type="dxa" w:w="22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Age / Occupation</w:t>
            </w:r>
          </w:p>
        </w:tc>
        <w:tc>
          <w:tcPr>
            <w:tcW w:type="dxa" w:w="7238"/>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41 / Internal Medicine Physician</w:t>
            </w:r>
          </w:p>
        </w:tc>
      </w:tr>
      <w:tr>
        <w:tc>
          <w:tcPr>
            <w:tcW w:type="dxa" w:w="2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Tech Comfort</w:t>
            </w:r>
          </w:p>
        </w:tc>
        <w:tc>
          <w:tcPr>
            <w:tcW w:type="dxa" w:w="723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High — comfortable with EHR systems and digital tools</w:t>
            </w:r>
          </w:p>
        </w:tc>
      </w:tr>
      <w:tr>
        <w:tc>
          <w:tcPr>
            <w:tcW w:type="dxa" w:w="22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Goals</w:t>
            </w:r>
          </w:p>
        </w:tc>
        <w:tc>
          <w:tcPr>
            <w:tcW w:type="dxa" w:w="7238"/>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Quickly understand a new patient’s history; trust that extracted values are accurate; export data into hospital EHR</w:t>
            </w:r>
          </w:p>
        </w:tc>
      </w:tr>
      <w:tr>
        <w:tc>
          <w:tcPr>
            <w:tcW w:type="dxa" w:w="2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Frustrations</w:t>
            </w:r>
          </w:p>
        </w:tc>
        <w:tc>
          <w:tcPr>
            <w:tcW w:type="dxa" w:w="723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Incomplete patient histories; unverifiable AI summaries; time lost reconstructing timelines from paper</w:t>
            </w:r>
          </w:p>
        </w:tc>
      </w:tr>
      <w:tr>
        <w:tc>
          <w:tcPr>
            <w:tcW w:type="dxa" w:w="22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Representative Quote</w:t>
            </w:r>
          </w:p>
        </w:tc>
        <w:tc>
          <w:tcPr>
            <w:tcW w:type="dxa" w:w="7238"/>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“If I can’t verify where a number came from, I can’t trust it in a clinical decision.”</w:t>
            </w:r>
          </w:p>
        </w:tc>
      </w:tr>
    </w:tbl>
    <w:p>
      <w:pPr>
        <w:pStyle w:val="Heading3"/>
        <w:spacing w:after="100" w:before="200"/>
      </w:pPr>
      <w:r>
        <w:rPr>
          <w:b/>
          <w:bCs/>
          <w:color w:val="595959"/>
          <w:sz w:val="22"/>
          <w:szCs w:val="22"/>
        </w:rPr>
        <w:t xml:space="preserve">Persona 3 — The Emergency Responder</w:t>
      </w:r>
    </w:p>
    <w:tbl>
      <w:tblPr>
        <w:tblW w:type="dxa" w:w="9438"/>
        <w:tblBorders>
          <w:top w:val="single" w:color="auto" w:sz="4"/>
          <w:left w:val="single" w:color="auto" w:sz="4"/>
          <w:bottom w:val="single" w:color="auto" w:sz="4"/>
          <w:right w:val="single" w:color="auto" w:sz="4"/>
          <w:insideH w:val="single" w:color="auto" w:sz="4"/>
          <w:insideV w:val="single" w:color="auto" w:sz="4"/>
        </w:tblBorders>
      </w:tblPr>
      <w:tblGrid>
        <w:gridCol w:w="2200"/>
        <w:gridCol w:w="7238"/>
      </w:tblGrid>
      <w:tr>
        <w:trPr>
          <w:tblHeader/>
        </w:trPr>
        <w:tc>
          <w:tcPr>
            <w:tcW w:type="dxa" w:w="22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Attribute</w:t>
            </w:r>
          </w:p>
        </w:tc>
        <w:tc>
          <w:tcPr>
            <w:tcW w:type="dxa" w:w="7238"/>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Detail</w:t>
            </w:r>
          </w:p>
        </w:tc>
      </w:tr>
      <w:tr>
        <w:tc>
          <w:tcPr>
            <w:tcW w:type="dxa" w:w="2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Name</w:t>
            </w:r>
          </w:p>
        </w:tc>
        <w:tc>
          <w:tcPr>
            <w:tcW w:type="dxa" w:w="723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Paramedic Vikram Rao (representative persona)</w:t>
            </w:r>
          </w:p>
        </w:tc>
      </w:tr>
      <w:tr>
        <w:tc>
          <w:tcPr>
            <w:tcW w:type="dxa" w:w="22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Age / Occupation</w:t>
            </w:r>
          </w:p>
        </w:tc>
        <w:tc>
          <w:tcPr>
            <w:tcW w:type="dxa" w:w="7238"/>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34 / Emergency Medical Technician</w:t>
            </w:r>
          </w:p>
        </w:tc>
      </w:tr>
      <w:tr>
        <w:tc>
          <w:tcPr>
            <w:tcW w:type="dxa" w:w="2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Tech Comfort</w:t>
            </w:r>
          </w:p>
        </w:tc>
        <w:tc>
          <w:tcPr>
            <w:tcW w:type="dxa" w:w="723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Moderate — needs fast, simple interfaces under pressure</w:t>
            </w:r>
          </w:p>
        </w:tc>
      </w:tr>
      <w:tr>
        <w:tc>
          <w:tcPr>
            <w:tcW w:type="dxa" w:w="22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Goals</w:t>
            </w:r>
          </w:p>
        </w:tc>
        <w:tc>
          <w:tcPr>
            <w:tcW w:type="dxa" w:w="7238"/>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Get blood group, allergies, and medications in under 10 seconds, even without network access</w:t>
            </w:r>
          </w:p>
        </w:tc>
      </w:tr>
      <w:tr>
        <w:tc>
          <w:tcPr>
            <w:tcW w:type="dxa" w:w="2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Frustrations</w:t>
            </w:r>
          </w:p>
        </w:tc>
        <w:tc>
          <w:tcPr>
            <w:tcW w:type="dxa" w:w="723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Unconscious patients with no visible medical ID; delays calling next-of-kin</w:t>
            </w:r>
          </w:p>
        </w:tc>
      </w:tr>
      <w:tr>
        <w:tc>
          <w:tcPr>
            <w:tcW w:type="dxa" w:w="22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Representative Quote</w:t>
            </w:r>
          </w:p>
        </w:tc>
        <w:tc>
          <w:tcPr>
            <w:tcW w:type="dxa" w:w="7238"/>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“In the first few minutes, every second and every fact about the patient matters.”</w:t>
            </w:r>
          </w:p>
        </w:tc>
      </w:tr>
    </w:tbl>
    <w:p>
      <w:pPr>
        <w:pStyle w:val="Heading2"/>
        <w:spacing w:after="150" w:before="300"/>
      </w:pPr>
      <w:r>
        <w:rPr>
          <w:b/>
          <w:bCs/>
          <w:color w:val="2E7D6B"/>
          <w:sz w:val="25"/>
          <w:szCs w:val="25"/>
        </w:rPr>
        <w:t xml:space="preserve">2.5 Operating Environment</w:t>
      </w:r>
    </w:p>
    <w:p>
      <w:pPr>
        <w:pStyle w:val="ListParagraph"/>
        <w:numPr>
          <w:ilvl w:val="0"/>
          <w:numId w:val="2"/>
        </w:numPr>
        <w:spacing w:after="80"/>
      </w:pPr>
      <w:r>
        <w:rPr>
          <w:rFonts w:ascii="Calibri" w:cs="Calibri" w:eastAsia="Calibri" w:hAnsi="Calibri"/>
          <w:sz w:val="21"/>
          <w:szCs w:val="21"/>
        </w:rPr>
        <w:t xml:space="preserve">Client: any modern evergreen web browser (Chrome, Edge, Firefox, Safari) capable of running a React 19 single-page application, on desktop or mobile.</w:t>
      </w:r>
    </w:p>
    <w:p>
      <w:pPr>
        <w:pStyle w:val="ListParagraph"/>
        <w:numPr>
          <w:ilvl w:val="0"/>
          <w:numId w:val="2"/>
        </w:numPr>
        <w:spacing w:after="80"/>
      </w:pPr>
      <w:r>
        <w:rPr>
          <w:rFonts w:ascii="Calibri" w:cs="Calibri" w:eastAsia="Calibri" w:hAnsi="Calibri"/>
          <w:sz w:val="21"/>
          <w:szCs w:val="21"/>
        </w:rPr>
        <w:t xml:space="preserve">Server: Node.js (v18 or v20) runtime hosting an Express 4.18 REST API.</w:t>
      </w:r>
    </w:p>
    <w:p>
      <w:pPr>
        <w:pStyle w:val="ListParagraph"/>
        <w:numPr>
          <w:ilvl w:val="0"/>
          <w:numId w:val="2"/>
        </w:numPr>
        <w:spacing w:after="80"/>
      </w:pPr>
      <w:r>
        <w:rPr>
          <w:rFonts w:ascii="Calibri" w:cs="Calibri" w:eastAsia="Calibri" w:hAnsi="Calibri"/>
          <w:sz w:val="21"/>
          <w:szCs w:val="21"/>
        </w:rPr>
        <w:t xml:space="preserve">Database: MongoDB (via Mongoose 7.8) for structured data persistence.</w:t>
      </w:r>
    </w:p>
    <w:p>
      <w:pPr>
        <w:pStyle w:val="ListParagraph"/>
        <w:numPr>
          <w:ilvl w:val="0"/>
          <w:numId w:val="2"/>
        </w:numPr>
        <w:spacing w:after="80"/>
      </w:pPr>
      <w:r>
        <w:rPr>
          <w:rFonts w:ascii="Calibri" w:cs="Calibri" w:eastAsia="Calibri" w:hAnsi="Calibri"/>
          <w:sz w:val="21"/>
          <w:szCs w:val="21"/>
        </w:rPr>
        <w:t xml:space="preserve">Offline client cache: browser IndexedDB / localStorage for emergency-pass and degraded-mode access.</w:t>
      </w:r>
    </w:p>
    <w:p>
      <w:pPr>
        <w:pStyle w:val="Heading2"/>
        <w:spacing w:after="150" w:before="300"/>
      </w:pPr>
      <w:r>
        <w:rPr>
          <w:b/>
          <w:bCs/>
          <w:color w:val="2E7D6B"/>
          <w:sz w:val="25"/>
          <w:szCs w:val="25"/>
        </w:rPr>
        <w:t xml:space="preserve">2.6 Design and Implementation Constraints</w:t>
      </w:r>
    </w:p>
    <w:p>
      <w:pPr>
        <w:pStyle w:val="ListParagraph"/>
        <w:numPr>
          <w:ilvl w:val="0"/>
          <w:numId w:val="2"/>
        </w:numPr>
        <w:spacing w:after="80"/>
      </w:pPr>
      <w:r>
        <w:rPr>
          <w:rFonts w:ascii="Calibri" w:cs="Calibri" w:eastAsia="Calibri" w:hAnsi="Calibri"/>
          <w:sz w:val="21"/>
          <w:szCs w:val="21"/>
        </w:rPr>
        <w:t xml:space="preserve">The system must remain functional in a reduced-capability “heuristic mode” when no OpenAI API key is configured, using rule-based fallback logic instead of LangChain/OpenAI calls.</w:t>
      </w:r>
    </w:p>
    <w:p>
      <w:pPr>
        <w:pStyle w:val="ListParagraph"/>
        <w:numPr>
          <w:ilvl w:val="0"/>
          <w:numId w:val="2"/>
        </w:numPr>
        <w:spacing w:after="80"/>
      </w:pPr>
      <w:r>
        <w:rPr>
          <w:rFonts w:ascii="Calibri" w:cs="Calibri" w:eastAsia="Calibri" w:hAnsi="Calibri"/>
          <w:sz w:val="21"/>
          <w:szCs w:val="21"/>
        </w:rPr>
        <w:t xml:space="preserve">The system must remain functional in a degraded offline mode when MongoDB or network connectivity is unavailable, particularly for the Emergency (I.C.E.) Pass.</w:t>
      </w:r>
    </w:p>
    <w:p>
      <w:pPr>
        <w:pStyle w:val="ListParagraph"/>
        <w:numPr>
          <w:ilvl w:val="0"/>
          <w:numId w:val="2"/>
        </w:numPr>
        <w:spacing w:after="80"/>
      </w:pPr>
      <w:r>
        <w:rPr>
          <w:rFonts w:ascii="Calibri" w:cs="Calibri" w:eastAsia="Calibri" w:hAnsi="Calibri"/>
          <w:sz w:val="21"/>
          <w:szCs w:val="21"/>
        </w:rPr>
        <w:t xml:space="preserve">All extracted clinical data must be traceable to source-document coordinates; the system must never present an AI-derived value without a provenance link.</w:t>
      </w:r>
    </w:p>
    <w:p>
      <w:pPr>
        <w:pStyle w:val="ListParagraph"/>
        <w:numPr>
          <w:ilvl w:val="0"/>
          <w:numId w:val="2"/>
        </w:numPr>
        <w:spacing w:after="80"/>
      </w:pPr>
      <w:r>
        <w:rPr>
          <w:rFonts w:ascii="Calibri" w:cs="Calibri" w:eastAsia="Calibri" w:hAnsi="Calibri"/>
          <w:sz w:val="21"/>
          <w:szCs w:val="21"/>
        </w:rPr>
        <w:t xml:space="preserve">Individual file uploads are constrained to a maximum of 25 MB.</w:t>
      </w:r>
    </w:p>
    <w:p>
      <w:pPr>
        <w:pStyle w:val="ListParagraph"/>
        <w:numPr>
          <w:ilvl w:val="0"/>
          <w:numId w:val="2"/>
        </w:numPr>
        <w:spacing w:after="80"/>
      </w:pPr>
      <w:r>
        <w:rPr>
          <w:rFonts w:ascii="Calibri" w:cs="Calibri" w:eastAsia="Calibri" w:hAnsi="Calibri"/>
          <w:sz w:val="21"/>
          <w:szCs w:val="21"/>
        </w:rPr>
        <w:t xml:space="preserve">The technology stack (React, Node.js/Express, MongoDB) is fixed for this release to keep the project feasible for a small team.</w:t>
      </w:r>
    </w:p>
    <w:p>
      <w:pPr>
        <w:pStyle w:val="Heading2"/>
        <w:spacing w:after="150" w:before="300"/>
      </w:pPr>
      <w:r>
        <w:rPr>
          <w:b/>
          <w:bCs/>
          <w:color w:val="2E7D6B"/>
          <w:sz w:val="25"/>
          <w:szCs w:val="25"/>
        </w:rPr>
        <w:t xml:space="preserve">2.7 User Documentation</w:t>
      </w:r>
    </w:p>
    <w:p>
      <w:pPr>
        <w:spacing w:after="160" w:line="276"/>
      </w:pPr>
      <w:r>
        <w:rPr>
          <w:rFonts w:ascii="Calibri" w:cs="Calibri" w:eastAsia="Calibri" w:hAnsi="Calibri"/>
          <w:sz w:val="21"/>
          <w:szCs w:val="21"/>
        </w:rPr>
        <w:t xml:space="preserve">The delivered system will be accompanied by: a README covering installation and environment configuration (.env variables: PORT, MONGODB_URI, JWT_SECRET, OPENAI_API_KEY, NODE_ENV); in-app onboarding guidance for first-time document upload and emergency-pass setup; and this SRS together with the Elicitation Document as the authoritative requirements reference.</w:t>
      </w:r>
    </w:p>
    <w:p>
      <w:pPr>
        <w:pStyle w:val="Heading2"/>
        <w:spacing w:after="150" w:before="300"/>
      </w:pPr>
      <w:r>
        <w:rPr>
          <w:b/>
          <w:bCs/>
          <w:color w:val="2E7D6B"/>
          <w:sz w:val="25"/>
          <w:szCs w:val="25"/>
        </w:rPr>
        <w:t xml:space="preserve">2.8 Assumptions and Dependencies</w:t>
      </w:r>
    </w:p>
    <w:p>
      <w:pPr>
        <w:pStyle w:val="ListParagraph"/>
        <w:numPr>
          <w:ilvl w:val="0"/>
          <w:numId w:val="2"/>
        </w:numPr>
        <w:spacing w:after="80"/>
      </w:pPr>
      <w:r>
        <w:rPr>
          <w:rFonts w:ascii="Calibri" w:cs="Calibri" w:eastAsia="Calibri" w:hAnsi="Calibri"/>
          <w:sz w:val="21"/>
          <w:szCs w:val="21"/>
        </w:rPr>
        <w:t xml:space="preserve">Users have access to a smartphone or computer with a camera/scanner or existing digital copies of their clinical documents.</w:t>
      </w:r>
    </w:p>
    <w:p>
      <w:pPr>
        <w:pStyle w:val="ListParagraph"/>
        <w:numPr>
          <w:ilvl w:val="0"/>
          <w:numId w:val="2"/>
        </w:numPr>
        <w:spacing w:after="80"/>
      </w:pPr>
      <w:r>
        <w:rPr>
          <w:rFonts w:ascii="Calibri" w:cs="Calibri" w:eastAsia="Calibri" w:hAnsi="Calibri"/>
          <w:sz w:val="21"/>
          <w:szCs w:val="21"/>
        </w:rPr>
        <w:t xml:space="preserve">Source documents are reasonably legible; extraction accuracy targets (&gt;98.5% precision) assume standard-quality scans or photographs.</w:t>
      </w:r>
    </w:p>
    <w:p>
      <w:pPr>
        <w:pStyle w:val="ListParagraph"/>
        <w:numPr>
          <w:ilvl w:val="0"/>
          <w:numId w:val="2"/>
        </w:numPr>
        <w:spacing w:after="80"/>
      </w:pPr>
      <w:r>
        <w:rPr>
          <w:rFonts w:ascii="Calibri" w:cs="Calibri" w:eastAsia="Calibri" w:hAnsi="Calibri"/>
          <w:sz w:val="21"/>
          <w:szCs w:val="21"/>
        </w:rPr>
        <w:t xml:space="preserve">Continued availability of third-party terminology standards (LOINC, RxNorm, SNOMED CT) and, where used, the OpenAI API, is assumed.</w:t>
      </w:r>
    </w:p>
    <w:p>
      <w:pPr>
        <w:pStyle w:val="ListParagraph"/>
        <w:numPr>
          <w:ilvl w:val="0"/>
          <w:numId w:val="2"/>
        </w:numPr>
        <w:spacing w:after="80"/>
      </w:pPr>
      <w:r>
        <w:rPr>
          <w:rFonts w:ascii="Calibri" w:cs="Calibri" w:eastAsia="Calibri" w:hAnsi="Calibri"/>
          <w:sz w:val="21"/>
          <w:szCs w:val="21"/>
        </w:rPr>
        <w:t xml:space="preserve">The system depends on the accuracy of externally maintained drug-interaction and allergy cross-reactivity reference data (e.g., SIDER, CYP3A4 pathway data).</w:t>
      </w:r>
    </w:p>
    <w:p>
      <w:pPr>
        <w:pStyle w:val="ListParagraph"/>
        <w:numPr>
          <w:ilvl w:val="0"/>
          <w:numId w:val="2"/>
        </w:numPr>
        <w:spacing w:after="80"/>
      </w:pPr>
      <w:r>
        <w:rPr>
          <w:rFonts w:ascii="Calibri" w:cs="Calibri" w:eastAsia="Calibri" w:hAnsi="Calibri"/>
          <w:sz w:val="21"/>
          <w:szCs w:val="21"/>
        </w:rPr>
        <w:t xml:space="preserve">MediSage is assumed to be used as an informational aid alongside, not a replacement for, licensed medical professionals.</w:t>
      </w:r>
    </w:p>
    <w:p>
      <w:pPr>
        <w:pStyle w:val="Heading1"/>
        <w:spacing w:after="200" w:before="400"/>
      </w:pPr>
      <w:r>
        <w:rPr>
          <w:b/>
          <w:bCs/>
          <w:color w:val="1F3864"/>
          <w:sz w:val="30"/>
          <w:szCs w:val="30"/>
        </w:rPr>
        <w:t xml:space="preserve">3. Functional Requirements</w:t>
      </w:r>
    </w:p>
    <w:p>
      <w:pPr>
        <w:spacing w:after="160" w:line="276"/>
      </w:pPr>
      <w:r>
        <w:rPr>
          <w:rFonts w:ascii="Calibri" w:cs="Calibri" w:eastAsia="Calibri" w:hAnsi="Calibri"/>
          <w:sz w:val="21"/>
          <w:szCs w:val="21"/>
        </w:rPr>
        <w:t xml:space="preserve">This section specifies the behavior the system must exhibit, organized by feature module. Each requirement is uniquely identified and prioritized per the stakeholder-priority matrix in Section 2.3.</w:t>
      </w:r>
    </w:p>
    <w:p>
      <w:pPr>
        <w:pStyle w:val="Heading2"/>
        <w:spacing w:after="150" w:before="300"/>
      </w:pPr>
      <w:r>
        <w:rPr>
          <w:b/>
          <w:bCs/>
          <w:color w:val="2E7D6B"/>
          <w:sz w:val="25"/>
          <w:szCs w:val="25"/>
        </w:rPr>
        <w:t xml:space="preserve">3.1 User Authentication &amp; Account Management</w:t>
      </w:r>
    </w:p>
    <w:p>
      <w:pPr>
        <w:spacing w:after="160" w:line="276"/>
      </w:pPr>
      <w:r>
        <w:rPr>
          <w:rFonts w:ascii="Calibri" w:cs="Calibri" w:eastAsia="Calibri" w:hAnsi="Calibri"/>
          <w:sz w:val="21"/>
          <w:szCs w:val="21"/>
        </w:rPr>
        <w:t xml:space="preserve">Covers account creation, login, session management, and multi-profile support underlying every other feature.</w:t>
      </w:r>
    </w:p>
    <w:tbl>
      <w:tblPr>
        <w:tblW w:type="dxa" w:w="9338"/>
        <w:tblBorders>
          <w:top w:val="single" w:color="auto" w:sz="4"/>
          <w:left w:val="single" w:color="auto" w:sz="4"/>
          <w:bottom w:val="single" w:color="auto" w:sz="4"/>
          <w:right w:val="single" w:color="auto" w:sz="4"/>
          <w:insideH w:val="single" w:color="auto" w:sz="4"/>
          <w:insideV w:val="single" w:color="auto" w:sz="4"/>
        </w:tblBorders>
      </w:tblPr>
      <w:tblGrid>
        <w:gridCol w:w="1200"/>
        <w:gridCol w:w="6538"/>
        <w:gridCol w:w="1600"/>
      </w:tblGrid>
      <w:tr>
        <w:trPr>
          <w:tblHeader/>
        </w:trPr>
        <w:tc>
          <w:tcPr>
            <w:tcW w:type="dxa" w:w="12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ID</w:t>
            </w:r>
          </w:p>
        </w:tc>
        <w:tc>
          <w:tcPr>
            <w:tcW w:type="dxa" w:w="6538"/>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Requirement</w:t>
            </w:r>
          </w:p>
        </w:tc>
        <w:tc>
          <w:tcPr>
            <w:tcW w:type="dxa" w:w="16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Priority</w:t>
            </w:r>
          </w:p>
        </w:tc>
      </w:tr>
      <w:tr>
        <w:tc>
          <w:tcPr>
            <w:tcW w:type="dxa" w:w="1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FR-3.1.1</w:t>
            </w:r>
          </w:p>
        </w:tc>
        <w:tc>
          <w:tcPr>
            <w:tcW w:type="dxa" w:w="653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The system shall allow a new user to register an account using an email address and password.</w:t>
            </w:r>
          </w:p>
        </w:tc>
        <w:tc>
          <w:tcPr>
            <w:tcW w:type="dxa" w:w="16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High</w:t>
            </w:r>
          </w:p>
        </w:tc>
      </w:tr>
      <w:tr>
        <w:tc>
          <w:tcPr>
            <w:tcW w:type="dxa" w:w="12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FR-3.1.2</w:t>
            </w:r>
          </w:p>
        </w:tc>
        <w:tc>
          <w:tcPr>
            <w:tcW w:type="dxa" w:w="6538"/>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The system shall authenticate returning users via email and password and issue a JWT session token.</w:t>
            </w:r>
          </w:p>
        </w:tc>
        <w:tc>
          <w:tcPr>
            <w:tcW w:type="dxa" w:w="16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High</w:t>
            </w:r>
          </w:p>
        </w:tc>
      </w:tr>
      <w:tr>
        <w:tc>
          <w:tcPr>
            <w:tcW w:type="dxa" w:w="1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FR-3.1.3</w:t>
            </w:r>
          </w:p>
        </w:tc>
        <w:tc>
          <w:tcPr>
            <w:tcW w:type="dxa" w:w="653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The system shall allow an authenticated user to view and edit their profile information.</w:t>
            </w:r>
          </w:p>
        </w:tc>
        <w:tc>
          <w:tcPr>
            <w:tcW w:type="dxa" w:w="16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Medium</w:t>
            </w:r>
          </w:p>
        </w:tc>
      </w:tr>
      <w:tr>
        <w:tc>
          <w:tcPr>
            <w:tcW w:type="dxa" w:w="12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FR-3.1.4</w:t>
            </w:r>
          </w:p>
        </w:tc>
        <w:tc>
          <w:tcPr>
            <w:tcW w:type="dxa" w:w="6538"/>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The system shall allow a primary account holder to create and switch between multiple dependent (family member) profiles.</w:t>
            </w:r>
          </w:p>
        </w:tc>
        <w:tc>
          <w:tcPr>
            <w:tcW w:type="dxa" w:w="16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Medium</w:t>
            </w:r>
          </w:p>
        </w:tc>
      </w:tr>
    </w:tbl>
    <w:p>
      <w:pPr>
        <w:pStyle w:val="Heading2"/>
        <w:spacing w:after="150" w:before="300"/>
      </w:pPr>
      <w:r>
        <w:rPr>
          <w:b/>
          <w:bCs/>
          <w:color w:val="2E7D6B"/>
          <w:sz w:val="25"/>
          <w:szCs w:val="25"/>
        </w:rPr>
        <w:t xml:space="preserve">3.2 Document Upload &amp; OCR / Entity Extraction</w:t>
      </w:r>
    </w:p>
    <w:p>
      <w:pPr>
        <w:spacing w:after="160" w:line="276"/>
      </w:pPr>
      <w:r>
        <w:rPr>
          <w:rFonts w:ascii="Calibri" w:cs="Calibri" w:eastAsia="Calibri" w:hAnsi="Calibri"/>
          <w:sz w:val="21"/>
          <w:szCs w:val="21"/>
        </w:rPr>
        <w:t xml:space="preserve">Covers ingestion of clinical documents and the automated extraction of structured clinical entities.</w:t>
      </w:r>
    </w:p>
    <w:tbl>
      <w:tblPr>
        <w:tblW w:type="dxa" w:w="9338"/>
        <w:tblBorders>
          <w:top w:val="single" w:color="auto" w:sz="4"/>
          <w:left w:val="single" w:color="auto" w:sz="4"/>
          <w:bottom w:val="single" w:color="auto" w:sz="4"/>
          <w:right w:val="single" w:color="auto" w:sz="4"/>
          <w:insideH w:val="single" w:color="auto" w:sz="4"/>
          <w:insideV w:val="single" w:color="auto" w:sz="4"/>
        </w:tblBorders>
      </w:tblPr>
      <w:tblGrid>
        <w:gridCol w:w="1200"/>
        <w:gridCol w:w="6538"/>
        <w:gridCol w:w="1600"/>
      </w:tblGrid>
      <w:tr>
        <w:trPr>
          <w:tblHeader/>
        </w:trPr>
        <w:tc>
          <w:tcPr>
            <w:tcW w:type="dxa" w:w="12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ID</w:t>
            </w:r>
          </w:p>
        </w:tc>
        <w:tc>
          <w:tcPr>
            <w:tcW w:type="dxa" w:w="6538"/>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Requirement</w:t>
            </w:r>
          </w:p>
        </w:tc>
        <w:tc>
          <w:tcPr>
            <w:tcW w:type="dxa" w:w="16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Priority</w:t>
            </w:r>
          </w:p>
        </w:tc>
      </w:tr>
      <w:tr>
        <w:tc>
          <w:tcPr>
            <w:tcW w:type="dxa" w:w="1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FR-3.2.1</w:t>
            </w:r>
          </w:p>
        </w:tc>
        <w:tc>
          <w:tcPr>
            <w:tcW w:type="dxa" w:w="653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The system shall allow users to upload clinical documents in PDF, JPEG, PNG, JSON, or HL7 format.</w:t>
            </w:r>
          </w:p>
        </w:tc>
        <w:tc>
          <w:tcPr>
            <w:tcW w:type="dxa" w:w="16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High</w:t>
            </w:r>
          </w:p>
        </w:tc>
      </w:tr>
      <w:tr>
        <w:tc>
          <w:tcPr>
            <w:tcW w:type="dxa" w:w="12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FR-3.2.2</w:t>
            </w:r>
          </w:p>
        </w:tc>
        <w:tc>
          <w:tcPr>
            <w:tcW w:type="dxa" w:w="6538"/>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The system shall automatically categorize each uploaded document as a prescription, lab report, radiology report, or discharge summary.</w:t>
            </w:r>
          </w:p>
        </w:tc>
        <w:tc>
          <w:tcPr>
            <w:tcW w:type="dxa" w:w="16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High</w:t>
            </w:r>
          </w:p>
        </w:tc>
      </w:tr>
      <w:tr>
        <w:tc>
          <w:tcPr>
            <w:tcW w:type="dxa" w:w="1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FR-3.2.3</w:t>
            </w:r>
          </w:p>
        </w:tc>
        <w:tc>
          <w:tcPr>
            <w:tcW w:type="dxa" w:w="653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The system shall extract biomarkers, medications, and diagnoses from uploaded documents via OCR and entity recognition.</w:t>
            </w:r>
          </w:p>
        </w:tc>
        <w:tc>
          <w:tcPr>
            <w:tcW w:type="dxa" w:w="16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High</w:t>
            </w:r>
          </w:p>
        </w:tc>
      </w:tr>
      <w:tr>
        <w:tc>
          <w:tcPr>
            <w:tcW w:type="dxa" w:w="12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FR-3.2.4</w:t>
            </w:r>
          </w:p>
        </w:tc>
        <w:tc>
          <w:tcPr>
            <w:tcW w:type="dxa" w:w="6538"/>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The system shall display a confidence score alongside each extracted value.</w:t>
            </w:r>
          </w:p>
        </w:tc>
        <w:tc>
          <w:tcPr>
            <w:tcW w:type="dxa" w:w="16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Medium</w:t>
            </w:r>
          </w:p>
        </w:tc>
      </w:tr>
      <w:tr>
        <w:tc>
          <w:tcPr>
            <w:tcW w:type="dxa" w:w="1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FR-3.2.5</w:t>
            </w:r>
          </w:p>
        </w:tc>
        <w:tc>
          <w:tcPr>
            <w:tcW w:type="dxa" w:w="653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The system shall reject or flag uploads that exceed 25MB or fail server-side file sanitization checks.</w:t>
            </w:r>
          </w:p>
        </w:tc>
        <w:tc>
          <w:tcPr>
            <w:tcW w:type="dxa" w:w="16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High</w:t>
            </w:r>
          </w:p>
        </w:tc>
      </w:tr>
    </w:tbl>
    <w:p>
      <w:pPr>
        <w:pStyle w:val="Heading2"/>
        <w:spacing w:after="150" w:before="300"/>
      </w:pPr>
      <w:r>
        <w:rPr>
          <w:b/>
          <w:bCs/>
          <w:color w:val="2E7D6B"/>
          <w:sz w:val="25"/>
          <w:szCs w:val="25"/>
        </w:rPr>
        <w:t xml:space="preserve">3.3 Deterministic Pixel Provenance Viewer</w:t>
      </w:r>
    </w:p>
    <w:p>
      <w:pPr>
        <w:spacing w:after="160" w:line="276"/>
      </w:pPr>
      <w:r>
        <w:rPr>
          <w:rFonts w:ascii="Calibri" w:cs="Calibri" w:eastAsia="Calibri" w:hAnsi="Calibri"/>
          <w:sz w:val="21"/>
          <w:szCs w:val="21"/>
        </w:rPr>
        <w:t xml:space="preserve">Covers traceability of every extracted value back to its exact location on the source document, addressing the top physician concern identified during elicitation.</w:t>
      </w:r>
    </w:p>
    <w:tbl>
      <w:tblPr>
        <w:tblW w:type="dxa" w:w="9338"/>
        <w:tblBorders>
          <w:top w:val="single" w:color="auto" w:sz="4"/>
          <w:left w:val="single" w:color="auto" w:sz="4"/>
          <w:bottom w:val="single" w:color="auto" w:sz="4"/>
          <w:right w:val="single" w:color="auto" w:sz="4"/>
          <w:insideH w:val="single" w:color="auto" w:sz="4"/>
          <w:insideV w:val="single" w:color="auto" w:sz="4"/>
        </w:tblBorders>
      </w:tblPr>
      <w:tblGrid>
        <w:gridCol w:w="1200"/>
        <w:gridCol w:w="6538"/>
        <w:gridCol w:w="1600"/>
      </w:tblGrid>
      <w:tr>
        <w:trPr>
          <w:tblHeader/>
        </w:trPr>
        <w:tc>
          <w:tcPr>
            <w:tcW w:type="dxa" w:w="12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ID</w:t>
            </w:r>
          </w:p>
        </w:tc>
        <w:tc>
          <w:tcPr>
            <w:tcW w:type="dxa" w:w="6538"/>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Requirement</w:t>
            </w:r>
          </w:p>
        </w:tc>
        <w:tc>
          <w:tcPr>
            <w:tcW w:type="dxa" w:w="16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Priority</w:t>
            </w:r>
          </w:p>
        </w:tc>
      </w:tr>
      <w:tr>
        <w:tc>
          <w:tcPr>
            <w:tcW w:type="dxa" w:w="1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FR-3.3.1</w:t>
            </w:r>
          </w:p>
        </w:tc>
        <w:tc>
          <w:tcPr>
            <w:tcW w:type="dxa" w:w="653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The system shall bind every extracted biomarker or medication value to its exact bounding-box coordinates on the source document.</w:t>
            </w:r>
          </w:p>
        </w:tc>
        <w:tc>
          <w:tcPr>
            <w:tcW w:type="dxa" w:w="16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High</w:t>
            </w:r>
          </w:p>
        </w:tc>
      </w:tr>
      <w:tr>
        <w:tc>
          <w:tcPr>
            <w:tcW w:type="dxa" w:w="12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FR-3.3.2</w:t>
            </w:r>
          </w:p>
        </w:tc>
        <w:tc>
          <w:tcPr>
            <w:tcW w:type="dxa" w:w="6538"/>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The system shall highlight the corresponding source-document region when a user selects an extracted value.</w:t>
            </w:r>
          </w:p>
        </w:tc>
        <w:tc>
          <w:tcPr>
            <w:tcW w:type="dxa" w:w="16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High</w:t>
            </w:r>
          </w:p>
        </w:tc>
      </w:tr>
      <w:tr>
        <w:tc>
          <w:tcPr>
            <w:tcW w:type="dxa" w:w="1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FR-3.3.3</w:t>
            </w:r>
          </w:p>
        </w:tc>
        <w:tc>
          <w:tcPr>
            <w:tcW w:type="dxa" w:w="653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The system shall generate a SHA-256 provenance hash for each source document to support integrity verification.</w:t>
            </w:r>
          </w:p>
        </w:tc>
        <w:tc>
          <w:tcPr>
            <w:tcW w:type="dxa" w:w="16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Medium</w:t>
            </w:r>
          </w:p>
        </w:tc>
      </w:tr>
    </w:tbl>
    <w:p>
      <w:pPr>
        <w:pStyle w:val="Heading2"/>
        <w:spacing w:after="150" w:before="300"/>
      </w:pPr>
      <w:r>
        <w:rPr>
          <w:b/>
          <w:bCs/>
          <w:color w:val="2E7D6B"/>
          <w:sz w:val="25"/>
          <w:szCs w:val="25"/>
        </w:rPr>
        <w:t xml:space="preserve">3.4 Biomarker Trajectory &amp; Longitudinal Trend Engine</w:t>
      </w:r>
    </w:p>
    <w:p>
      <w:pPr>
        <w:spacing w:after="160" w:line="276"/>
      </w:pPr>
      <w:r>
        <w:rPr>
          <w:rFonts w:ascii="Calibri" w:cs="Calibri" w:eastAsia="Calibri" w:hAnsi="Calibri"/>
          <w:sz w:val="21"/>
          <w:szCs w:val="21"/>
        </w:rPr>
        <w:t xml:space="preserve">Covers trend visualization of biomarker values across multiple documents over time.</w:t>
      </w:r>
    </w:p>
    <w:tbl>
      <w:tblPr>
        <w:tblW w:type="dxa" w:w="9338"/>
        <w:tblBorders>
          <w:top w:val="single" w:color="auto" w:sz="4"/>
          <w:left w:val="single" w:color="auto" w:sz="4"/>
          <w:bottom w:val="single" w:color="auto" w:sz="4"/>
          <w:right w:val="single" w:color="auto" w:sz="4"/>
          <w:insideH w:val="single" w:color="auto" w:sz="4"/>
          <w:insideV w:val="single" w:color="auto" w:sz="4"/>
        </w:tblBorders>
      </w:tblPr>
      <w:tblGrid>
        <w:gridCol w:w="1200"/>
        <w:gridCol w:w="6538"/>
        <w:gridCol w:w="1600"/>
      </w:tblGrid>
      <w:tr>
        <w:trPr>
          <w:tblHeader/>
        </w:trPr>
        <w:tc>
          <w:tcPr>
            <w:tcW w:type="dxa" w:w="12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ID</w:t>
            </w:r>
          </w:p>
        </w:tc>
        <w:tc>
          <w:tcPr>
            <w:tcW w:type="dxa" w:w="6538"/>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Requirement</w:t>
            </w:r>
          </w:p>
        </w:tc>
        <w:tc>
          <w:tcPr>
            <w:tcW w:type="dxa" w:w="16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Priority</w:t>
            </w:r>
          </w:p>
        </w:tc>
      </w:tr>
      <w:tr>
        <w:tc>
          <w:tcPr>
            <w:tcW w:type="dxa" w:w="1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FR-3.4.1</w:t>
            </w:r>
          </w:p>
        </w:tc>
        <w:tc>
          <w:tcPr>
            <w:tcW w:type="dxa" w:w="653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The system shall plot longitudinal trend charts for key biomarkers (e.g., HbA1c, LDL-C, eGFR) across all of a user's historical documents.</w:t>
            </w:r>
          </w:p>
        </w:tc>
        <w:tc>
          <w:tcPr>
            <w:tcW w:type="dxa" w:w="16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High</w:t>
            </w:r>
          </w:p>
        </w:tc>
      </w:tr>
      <w:tr>
        <w:tc>
          <w:tcPr>
            <w:tcW w:type="dxa" w:w="12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FR-3.4.2</w:t>
            </w:r>
          </w:p>
        </w:tc>
        <w:tc>
          <w:tcPr>
            <w:tcW w:type="dxa" w:w="6538"/>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The system shall calculate and display the delta (change) between a biomarker's current and previous recorded value.</w:t>
            </w:r>
          </w:p>
        </w:tc>
        <w:tc>
          <w:tcPr>
            <w:tcW w:type="dxa" w:w="16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Medium</w:t>
            </w:r>
          </w:p>
        </w:tc>
      </w:tr>
      <w:tr>
        <w:tc>
          <w:tcPr>
            <w:tcW w:type="dxa" w:w="1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FR-3.4.3</w:t>
            </w:r>
          </w:p>
        </w:tc>
        <w:tc>
          <w:tcPr>
            <w:tcW w:type="dxa" w:w="653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The system shall classify each biomarker value as Optimal, Borderline, or Elevated based on reference ranges.</w:t>
            </w:r>
          </w:p>
        </w:tc>
        <w:tc>
          <w:tcPr>
            <w:tcW w:type="dxa" w:w="16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Medium</w:t>
            </w:r>
          </w:p>
        </w:tc>
      </w:tr>
    </w:tbl>
    <w:p>
      <w:pPr>
        <w:pStyle w:val="Heading2"/>
        <w:spacing w:after="150" w:before="300"/>
      </w:pPr>
      <w:r>
        <w:rPr>
          <w:b/>
          <w:bCs/>
          <w:color w:val="2E7D6B"/>
          <w:sz w:val="25"/>
          <w:szCs w:val="25"/>
        </w:rPr>
        <w:t xml:space="preserve">3.5 Pharmacodynamic Drug-Drug &amp; Allergy Safety Guard</w:t>
      </w:r>
    </w:p>
    <w:p>
      <w:pPr>
        <w:spacing w:after="160" w:line="276"/>
      </w:pPr>
      <w:r>
        <w:rPr>
          <w:rFonts w:ascii="Calibri" w:cs="Calibri" w:eastAsia="Calibri" w:hAnsi="Calibri"/>
          <w:sz w:val="21"/>
          <w:szCs w:val="21"/>
        </w:rPr>
        <w:t xml:space="preserve">Covers automated medication-safety checking, identified by both patients and physicians as safety-critical rather than optional.</w:t>
      </w:r>
    </w:p>
    <w:p/>
    <w:p>
      <w:pPr>
        <w:jc w:val="center"/>
      </w:pPr>
      <w:r>
        <w:drawing>
          <wp:inline xmlns:a="http://schemas.openxmlformats.org/drawingml/2006/main" xmlns:pic="http://schemas.openxmlformats.org/drawingml/2006/picture">
            <wp:extent cx="4892040" cy="5034873"/>
            <wp:docPr id="2" name="Picture 2"/>
            <wp:cNvGraphicFramePr>
              <a:graphicFrameLocks noChangeAspect="1"/>
            </wp:cNvGraphicFramePr>
            <a:graphic>
              <a:graphicData uri="http://schemas.openxmlformats.org/drawingml/2006/picture">
                <pic:pic>
                  <pic:nvPicPr>
                    <pic:cNvPr id="0" name="DT_diagram-MediSage.png"/>
                    <pic:cNvPicPr/>
                  </pic:nvPicPr>
                  <pic:blipFill>
                    <a:blip r:embed="rId11"/>
                    <a:stretch>
                      <a:fillRect/>
                    </a:stretch>
                  </pic:blipFill>
                  <pic:spPr>
                    <a:xfrm>
                      <a:off x="0" y="0"/>
                      <a:ext cx="4892040" cy="5034873"/>
                    </a:xfrm>
                    <a:prstGeom prst="rect"/>
                  </pic:spPr>
                </pic:pic>
              </a:graphicData>
            </a:graphic>
          </wp:inline>
        </w:drawing>
      </w:r>
    </w:p>
    <w:p/>
    <w:p>
      <w:pPr>
        <w:jc w:val="center"/>
      </w:pPr>
      <w:r>
        <w:rPr>
          <w:b/>
          <w:sz w:val="18"/>
        </w:rPr>
        <w:t>Figure 2 — MediSage Medication Safety Decision Tree</w:t>
      </w:r>
    </w:p>
    <w:tbl>
      <w:tblPr>
        <w:tblW w:type="dxa" w:w="9338"/>
        <w:tblBorders>
          <w:top w:val="single" w:color="auto" w:sz="4"/>
          <w:left w:val="single" w:color="auto" w:sz="4"/>
          <w:bottom w:val="single" w:color="auto" w:sz="4"/>
          <w:right w:val="single" w:color="auto" w:sz="4"/>
          <w:insideH w:val="single" w:color="auto" w:sz="4"/>
          <w:insideV w:val="single" w:color="auto" w:sz="4"/>
        </w:tblBorders>
      </w:tblPr>
      <w:tblGrid>
        <w:gridCol w:w="1200"/>
        <w:gridCol w:w="6538"/>
        <w:gridCol w:w="1600"/>
      </w:tblGrid>
      <w:tr>
        <w:trPr>
          <w:tblHeader/>
        </w:trPr>
        <w:tc>
          <w:tcPr>
            <w:tcW w:type="dxa" w:w="12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ID</w:t>
            </w:r>
          </w:p>
        </w:tc>
        <w:tc>
          <w:tcPr>
            <w:tcW w:type="dxa" w:w="6538"/>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Requirement</w:t>
            </w:r>
          </w:p>
        </w:tc>
        <w:tc>
          <w:tcPr>
            <w:tcW w:type="dxa" w:w="16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Priority</w:t>
            </w:r>
          </w:p>
        </w:tc>
      </w:tr>
      <w:tr>
        <w:tc>
          <w:tcPr>
            <w:tcW w:type="dxa" w:w="1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FR-3.5.1</w:t>
            </w:r>
          </w:p>
        </w:tc>
        <w:tc>
          <w:tcPr>
            <w:tcW w:type="dxa" w:w="653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The system shall check all active medications against known CYP450 enzyme pathway interactions.</w:t>
            </w:r>
          </w:p>
        </w:tc>
        <w:tc>
          <w:tcPr>
            <w:tcW w:type="dxa" w:w="16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High</w:t>
            </w:r>
          </w:p>
        </w:tc>
      </w:tr>
      <w:tr>
        <w:tc>
          <w:tcPr>
            <w:tcW w:type="dxa" w:w="12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FR-3.5.2</w:t>
            </w:r>
          </w:p>
        </w:tc>
        <w:tc>
          <w:tcPr>
            <w:tcW w:type="dxa" w:w="6538"/>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The system shall check newly added medications against a user's documented allergies for cross-reactivity.</w:t>
            </w:r>
          </w:p>
        </w:tc>
        <w:tc>
          <w:tcPr>
            <w:tcW w:type="dxa" w:w="16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High</w:t>
            </w:r>
          </w:p>
        </w:tc>
      </w:tr>
      <w:tr>
        <w:tc>
          <w:tcPr>
            <w:tcW w:type="dxa" w:w="1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FR-3.5.3</w:t>
            </w:r>
          </w:p>
        </w:tc>
        <w:tc>
          <w:tcPr>
            <w:tcW w:type="dxa" w:w="653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The system shall block or flag, before saving, any medication that cross-reacts with a documented allergy.</w:t>
            </w:r>
          </w:p>
        </w:tc>
        <w:tc>
          <w:tcPr>
            <w:tcW w:type="dxa" w:w="16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High</w:t>
            </w:r>
          </w:p>
        </w:tc>
      </w:tr>
      <w:tr>
        <w:tc>
          <w:tcPr>
            <w:tcW w:type="dxa" w:w="12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FR-3.5.4</w:t>
            </w:r>
          </w:p>
        </w:tc>
        <w:tc>
          <w:tcPr>
            <w:tcW w:type="dxa" w:w="6538"/>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The system shall display a clear alert describing the interaction mechanism whenever two or more active medications have a known interaction.</w:t>
            </w:r>
          </w:p>
        </w:tc>
        <w:tc>
          <w:tcPr>
            <w:tcW w:type="dxa" w:w="16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High</w:t>
            </w:r>
          </w:p>
        </w:tc>
      </w:tr>
      <w:tr>
        <w:tc>
          <w:tcPr>
            <w:tcW w:type="dxa" w:w="1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FR-3.5.5</w:t>
            </w:r>
          </w:p>
        </w:tc>
        <w:tc>
          <w:tcPr>
            <w:tcW w:type="dxa" w:w="653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The system shall provide a prospective-prescription sandbox that simulates the safety impact of a not-yet-taken medication before it is added.</w:t>
            </w:r>
          </w:p>
        </w:tc>
        <w:tc>
          <w:tcPr>
            <w:tcW w:type="dxa" w:w="16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Medium</w:t>
            </w:r>
          </w:p>
        </w:tc>
      </w:tr>
    </w:tbl>
    <w:p>
      <w:pPr>
        <w:pStyle w:val="Heading2"/>
        <w:spacing w:after="150" w:before="300"/>
      </w:pPr>
      <w:r>
        <w:rPr>
          <w:b/>
          <w:bCs/>
          <w:color w:val="2E7D6B"/>
          <w:sz w:val="25"/>
          <w:szCs w:val="25"/>
        </w:rPr>
        <w:t xml:space="preserve">3.6 Universal Emergency Medical Pass (I.C.E.) &amp; QR Engine</w:t>
      </w:r>
    </w:p>
    <w:p>
      <w:pPr>
        <w:spacing w:after="160" w:line="276"/>
      </w:pPr>
      <w:r>
        <w:rPr>
          <w:rFonts w:ascii="Calibri" w:cs="Calibri" w:eastAsia="Calibri" w:hAnsi="Calibri"/>
          <w:sz w:val="21"/>
          <w:szCs w:val="21"/>
        </w:rPr>
        <w:t xml:space="preserve">Covers the offline-first emergency triage feature required by first responders.</w:t>
      </w:r>
    </w:p>
    <w:tbl>
      <w:tblPr>
        <w:tblW w:type="dxa" w:w="9338"/>
        <w:tblBorders>
          <w:top w:val="single" w:color="auto" w:sz="4"/>
          <w:left w:val="single" w:color="auto" w:sz="4"/>
          <w:bottom w:val="single" w:color="auto" w:sz="4"/>
          <w:right w:val="single" w:color="auto" w:sz="4"/>
          <w:insideH w:val="single" w:color="auto" w:sz="4"/>
          <w:insideV w:val="single" w:color="auto" w:sz="4"/>
        </w:tblBorders>
      </w:tblPr>
      <w:tblGrid>
        <w:gridCol w:w="1200"/>
        <w:gridCol w:w="6538"/>
        <w:gridCol w:w="1600"/>
      </w:tblGrid>
      <w:tr>
        <w:trPr>
          <w:tblHeader/>
        </w:trPr>
        <w:tc>
          <w:tcPr>
            <w:tcW w:type="dxa" w:w="12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ID</w:t>
            </w:r>
          </w:p>
        </w:tc>
        <w:tc>
          <w:tcPr>
            <w:tcW w:type="dxa" w:w="6538"/>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Requirement</w:t>
            </w:r>
          </w:p>
        </w:tc>
        <w:tc>
          <w:tcPr>
            <w:tcW w:type="dxa" w:w="16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Priority</w:t>
            </w:r>
          </w:p>
        </w:tc>
      </w:tr>
      <w:tr>
        <w:tc>
          <w:tcPr>
            <w:tcW w:type="dxa" w:w="1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FR-3.6.1</w:t>
            </w:r>
          </w:p>
        </w:tc>
        <w:tc>
          <w:tcPr>
            <w:tcW w:type="dxa" w:w="653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The system shall generate an Emergency (I.C.E.) pass containing blood group, allergies, chronic conditions, current medications, and emergency contacts.</w:t>
            </w:r>
          </w:p>
        </w:tc>
        <w:tc>
          <w:tcPr>
            <w:tcW w:type="dxa" w:w="16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High</w:t>
            </w:r>
          </w:p>
        </w:tc>
      </w:tr>
      <w:tr>
        <w:tc>
          <w:tcPr>
            <w:tcW w:type="dxa" w:w="12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FR-3.6.2</w:t>
            </w:r>
          </w:p>
        </w:tc>
        <w:tc>
          <w:tcPr>
            <w:tcW w:type="dxa" w:w="6538"/>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The system shall render the Emergency Pass as a scannable QR code.</w:t>
            </w:r>
          </w:p>
        </w:tc>
        <w:tc>
          <w:tcPr>
            <w:tcW w:type="dxa" w:w="16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High</w:t>
            </w:r>
          </w:p>
        </w:tc>
      </w:tr>
      <w:tr>
        <w:tc>
          <w:tcPr>
            <w:tcW w:type="dxa" w:w="1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FR-3.6.3</w:t>
            </w:r>
          </w:p>
        </w:tc>
        <w:tc>
          <w:tcPr>
            <w:tcW w:type="dxa" w:w="653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The system shall allow the Emergency Pass to load and display fully without requiring a network connection or user login.</w:t>
            </w:r>
          </w:p>
        </w:tc>
        <w:tc>
          <w:tcPr>
            <w:tcW w:type="dxa" w:w="16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High</w:t>
            </w:r>
          </w:p>
        </w:tc>
      </w:tr>
      <w:tr>
        <w:tc>
          <w:tcPr>
            <w:tcW w:type="dxa" w:w="12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FR-3.6.4</w:t>
            </w:r>
          </w:p>
        </w:tc>
        <w:tc>
          <w:tcPr>
            <w:tcW w:type="dxa" w:w="6538"/>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The system shall provide a one-click emergency dialing action from the Emergency Pass view.</w:t>
            </w:r>
          </w:p>
        </w:tc>
        <w:tc>
          <w:tcPr>
            <w:tcW w:type="dxa" w:w="16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Medium</w:t>
            </w:r>
          </w:p>
        </w:tc>
      </w:tr>
      <w:tr>
        <w:tc>
          <w:tcPr>
            <w:tcW w:type="dxa" w:w="1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FR-3.6.5</w:t>
            </w:r>
          </w:p>
        </w:tc>
        <w:tc>
          <w:tcPr>
            <w:tcW w:type="dxa" w:w="653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The system shall generate a printable, ISO/IEC 7810-sized wallet card version of the Emergency Pass.</w:t>
            </w:r>
          </w:p>
        </w:tc>
        <w:tc>
          <w:tcPr>
            <w:tcW w:type="dxa" w:w="16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Low</w:t>
            </w:r>
          </w:p>
        </w:tc>
      </w:tr>
    </w:tbl>
    <w:p>
      <w:pPr>
        <w:pStyle w:val="Heading2"/>
        <w:spacing w:after="150" w:before="300"/>
      </w:pPr>
      <w:r>
        <w:rPr>
          <w:b/>
          <w:bCs/>
          <w:color w:val="2E7D6B"/>
          <w:sz w:val="25"/>
          <w:szCs w:val="25"/>
        </w:rPr>
        <w:t xml:space="preserve">3.7 HL7® FHIR® R4 Hospital Passport &amp; Export</w:t>
      </w:r>
    </w:p>
    <w:p>
      <w:pPr>
        <w:spacing w:after="160" w:line="276"/>
      </w:pPr>
      <w:r>
        <w:rPr>
          <w:rFonts w:ascii="Calibri" w:cs="Calibri" w:eastAsia="Calibri" w:hAnsi="Calibri"/>
          <w:sz w:val="21"/>
          <w:szCs w:val="21"/>
        </w:rPr>
        <w:t xml:space="preserve">Covers standards-compliant interoperability output for hospital EHR ingestion.</w:t>
      </w:r>
    </w:p>
    <w:tbl>
      <w:tblPr>
        <w:tblW w:type="dxa" w:w="9338"/>
        <w:tblBorders>
          <w:top w:val="single" w:color="auto" w:sz="4"/>
          <w:left w:val="single" w:color="auto" w:sz="4"/>
          <w:bottom w:val="single" w:color="auto" w:sz="4"/>
          <w:right w:val="single" w:color="auto" w:sz="4"/>
          <w:insideH w:val="single" w:color="auto" w:sz="4"/>
          <w:insideV w:val="single" w:color="auto" w:sz="4"/>
        </w:tblBorders>
      </w:tblPr>
      <w:tblGrid>
        <w:gridCol w:w="1200"/>
        <w:gridCol w:w="6538"/>
        <w:gridCol w:w="1600"/>
      </w:tblGrid>
      <w:tr>
        <w:trPr>
          <w:tblHeader/>
        </w:trPr>
        <w:tc>
          <w:tcPr>
            <w:tcW w:type="dxa" w:w="12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ID</w:t>
            </w:r>
          </w:p>
        </w:tc>
        <w:tc>
          <w:tcPr>
            <w:tcW w:type="dxa" w:w="6538"/>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Requirement</w:t>
            </w:r>
          </w:p>
        </w:tc>
        <w:tc>
          <w:tcPr>
            <w:tcW w:type="dxa" w:w="16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Priority</w:t>
            </w:r>
          </w:p>
        </w:tc>
      </w:tr>
      <w:tr>
        <w:tc>
          <w:tcPr>
            <w:tcW w:type="dxa" w:w="1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FR-3.7.1</w:t>
            </w:r>
          </w:p>
        </w:tc>
        <w:tc>
          <w:tcPr>
            <w:tcW w:type="dxa" w:w="653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The system shall export a patient's record as a well-formed HL7® FHIR® R4 Bundle.</w:t>
            </w:r>
          </w:p>
        </w:tc>
        <w:tc>
          <w:tcPr>
            <w:tcW w:type="dxa" w:w="16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High</w:t>
            </w:r>
          </w:p>
        </w:tc>
      </w:tr>
      <w:tr>
        <w:tc>
          <w:tcPr>
            <w:tcW w:type="dxa" w:w="12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FR-3.7.2</w:t>
            </w:r>
          </w:p>
        </w:tc>
        <w:tc>
          <w:tcPr>
            <w:tcW w:type="dxa" w:w="6538"/>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The exported bundle shall include US-Core-compliant Patient, Observation, MedicationStatement, and AllergyIntolerance resources.</w:t>
            </w:r>
          </w:p>
        </w:tc>
        <w:tc>
          <w:tcPr>
            <w:tcW w:type="dxa" w:w="16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High</w:t>
            </w:r>
          </w:p>
        </w:tc>
      </w:tr>
      <w:tr>
        <w:tc>
          <w:tcPr>
            <w:tcW w:type="dxa" w:w="1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FR-3.7.3</w:t>
            </w:r>
          </w:p>
        </w:tc>
        <w:tc>
          <w:tcPr>
            <w:tcW w:type="dxa" w:w="653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The system shall allow the user to download the FHIR bundle as a JSON file.</w:t>
            </w:r>
          </w:p>
        </w:tc>
        <w:tc>
          <w:tcPr>
            <w:tcW w:type="dxa" w:w="16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Medium</w:t>
            </w:r>
          </w:p>
        </w:tc>
      </w:tr>
    </w:tbl>
    <w:p>
      <w:pPr>
        <w:pStyle w:val="Heading2"/>
        <w:spacing w:after="150" w:before="300"/>
      </w:pPr>
      <w:r>
        <w:rPr>
          <w:b/>
          <w:bCs/>
          <w:color w:val="2E7D6B"/>
          <w:sz w:val="25"/>
          <w:szCs w:val="25"/>
        </w:rPr>
        <w:t xml:space="preserve">3.8 Multi-Member Family &amp; Dependent Vault Switcher</w:t>
      </w:r>
    </w:p>
    <w:p>
      <w:pPr>
        <w:spacing w:after="160" w:line="276"/>
      </w:pPr>
      <w:r>
        <w:rPr>
          <w:rFonts w:ascii="Calibri" w:cs="Calibri" w:eastAsia="Calibri" w:hAnsi="Calibri"/>
          <w:sz w:val="21"/>
          <w:szCs w:val="21"/>
        </w:rPr>
        <w:t xml:space="preserve">Covers household record management for caregivers managing multiple dependents.</w:t>
      </w:r>
    </w:p>
    <w:tbl>
      <w:tblPr>
        <w:tblW w:type="dxa" w:w="9338"/>
        <w:tblBorders>
          <w:top w:val="single" w:color="auto" w:sz="4"/>
          <w:left w:val="single" w:color="auto" w:sz="4"/>
          <w:bottom w:val="single" w:color="auto" w:sz="4"/>
          <w:right w:val="single" w:color="auto" w:sz="4"/>
          <w:insideH w:val="single" w:color="auto" w:sz="4"/>
          <w:insideV w:val="single" w:color="auto" w:sz="4"/>
        </w:tblBorders>
      </w:tblPr>
      <w:tblGrid>
        <w:gridCol w:w="1200"/>
        <w:gridCol w:w="6538"/>
        <w:gridCol w:w="1600"/>
      </w:tblGrid>
      <w:tr>
        <w:trPr>
          <w:tblHeader/>
        </w:trPr>
        <w:tc>
          <w:tcPr>
            <w:tcW w:type="dxa" w:w="12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ID</w:t>
            </w:r>
          </w:p>
        </w:tc>
        <w:tc>
          <w:tcPr>
            <w:tcW w:type="dxa" w:w="6538"/>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Requirement</w:t>
            </w:r>
          </w:p>
        </w:tc>
        <w:tc>
          <w:tcPr>
            <w:tcW w:type="dxa" w:w="16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Priority</w:t>
            </w:r>
          </w:p>
        </w:tc>
      </w:tr>
      <w:tr>
        <w:tc>
          <w:tcPr>
            <w:tcW w:type="dxa" w:w="1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FR-3.8.1</w:t>
            </w:r>
          </w:p>
        </w:tc>
        <w:tc>
          <w:tcPr>
            <w:tcW w:type="dxa" w:w="653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The system shall allow a primary account holder to add and manage records for multiple dependent profiles.</w:t>
            </w:r>
          </w:p>
        </w:tc>
        <w:tc>
          <w:tcPr>
            <w:tcW w:type="dxa" w:w="16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Medium</w:t>
            </w:r>
          </w:p>
        </w:tc>
      </w:tr>
      <w:tr>
        <w:tc>
          <w:tcPr>
            <w:tcW w:type="dxa" w:w="12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FR-3.8.2</w:t>
            </w:r>
          </w:p>
        </w:tc>
        <w:tc>
          <w:tcPr>
            <w:tcW w:type="dxa" w:w="6538"/>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When a user switches the active profile, the system shall update all displayed data (conditions, allergies, blood type, documents) to reflect only the selected profile.</w:t>
            </w:r>
          </w:p>
        </w:tc>
        <w:tc>
          <w:tcPr>
            <w:tcW w:type="dxa" w:w="16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High</w:t>
            </w:r>
          </w:p>
        </w:tc>
      </w:tr>
      <w:tr>
        <w:tc>
          <w:tcPr>
            <w:tcW w:type="dxa" w:w="1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FR-3.8.3</w:t>
            </w:r>
          </w:p>
        </w:tc>
        <w:tc>
          <w:tcPr>
            <w:tcW w:type="dxa" w:w="653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The system shall keep each dependent profile's medical data logically isolated from other profiles in the same account.</w:t>
            </w:r>
          </w:p>
        </w:tc>
        <w:tc>
          <w:tcPr>
            <w:tcW w:type="dxa" w:w="16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High</w:t>
            </w:r>
          </w:p>
        </w:tc>
      </w:tr>
    </w:tbl>
    <w:p>
      <w:pPr>
        <w:pStyle w:val="Heading2"/>
        <w:spacing w:after="150" w:before="300"/>
      </w:pPr>
      <w:r>
        <w:rPr>
          <w:b/>
          <w:bCs/>
          <w:color w:val="2E7D6B"/>
          <w:sz w:val="25"/>
          <w:szCs w:val="25"/>
        </w:rPr>
        <w:t xml:space="preserve">3.9 AI Clinical Health Synthesis &amp; Conversational Companion</w:t>
      </w:r>
    </w:p>
    <w:p>
      <w:pPr>
        <w:spacing w:after="160" w:line="276"/>
      </w:pPr>
      <w:r>
        <w:rPr>
          <w:rFonts w:ascii="Calibri" w:cs="Calibri" w:eastAsia="Calibri" w:hAnsi="Calibri"/>
          <w:sz w:val="21"/>
          <w:szCs w:val="21"/>
        </w:rPr>
        <w:t xml:space="preserve">Covers AI-generated summaries and the interactive chat assistant.</w:t>
      </w:r>
    </w:p>
    <w:tbl>
      <w:tblPr>
        <w:tblW w:type="dxa" w:w="9338"/>
        <w:tblBorders>
          <w:top w:val="single" w:color="auto" w:sz="4"/>
          <w:left w:val="single" w:color="auto" w:sz="4"/>
          <w:bottom w:val="single" w:color="auto" w:sz="4"/>
          <w:right w:val="single" w:color="auto" w:sz="4"/>
          <w:insideH w:val="single" w:color="auto" w:sz="4"/>
          <w:insideV w:val="single" w:color="auto" w:sz="4"/>
        </w:tblBorders>
      </w:tblPr>
      <w:tblGrid>
        <w:gridCol w:w="1200"/>
        <w:gridCol w:w="6538"/>
        <w:gridCol w:w="1600"/>
      </w:tblGrid>
      <w:tr>
        <w:trPr>
          <w:tblHeader/>
        </w:trPr>
        <w:tc>
          <w:tcPr>
            <w:tcW w:type="dxa" w:w="12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ID</w:t>
            </w:r>
          </w:p>
        </w:tc>
        <w:tc>
          <w:tcPr>
            <w:tcW w:type="dxa" w:w="6538"/>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Requirement</w:t>
            </w:r>
          </w:p>
        </w:tc>
        <w:tc>
          <w:tcPr>
            <w:tcW w:type="dxa" w:w="16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Priority</w:t>
            </w:r>
          </w:p>
        </w:tc>
      </w:tr>
      <w:tr>
        <w:tc>
          <w:tcPr>
            <w:tcW w:type="dxa" w:w="1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FR-3.9.1</w:t>
            </w:r>
          </w:p>
        </w:tc>
        <w:tc>
          <w:tcPr>
            <w:tcW w:type="dxa" w:w="653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The system shall generate an evidence-based longitudinal health summary from a user's stored documents.</w:t>
            </w:r>
          </w:p>
        </w:tc>
        <w:tc>
          <w:tcPr>
            <w:tcW w:type="dxa" w:w="16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Medium</w:t>
            </w:r>
          </w:p>
        </w:tc>
      </w:tr>
      <w:tr>
        <w:tc>
          <w:tcPr>
            <w:tcW w:type="dxa" w:w="12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FR-3.9.2</w:t>
            </w:r>
          </w:p>
        </w:tc>
        <w:tc>
          <w:tcPr>
            <w:tcW w:type="dxa" w:w="6538"/>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The system shall provide an interactive chat assistant that can answer user questions about their own stored health data.</w:t>
            </w:r>
          </w:p>
        </w:tc>
        <w:tc>
          <w:tcPr>
            <w:tcW w:type="dxa" w:w="16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Medium</w:t>
            </w:r>
          </w:p>
        </w:tc>
      </w:tr>
      <w:tr>
        <w:tc>
          <w:tcPr>
            <w:tcW w:type="dxa" w:w="1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FR-3.9.3</w:t>
            </w:r>
          </w:p>
        </w:tc>
        <w:tc>
          <w:tcPr>
            <w:tcW w:type="dxa" w:w="653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The system shall fall back to rule-based heuristic responses when no AI API key is configured, rather than failing outright.</w:t>
            </w:r>
          </w:p>
        </w:tc>
        <w:tc>
          <w:tcPr>
            <w:tcW w:type="dxa" w:w="16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High</w:t>
            </w:r>
          </w:p>
        </w:tc>
      </w:tr>
    </w:tbl>
    <w:p>
      <w:pPr>
        <w:pStyle w:val="Heading2"/>
        <w:spacing w:after="150" w:before="300"/>
      </w:pPr>
      <w:r>
        <w:rPr>
          <w:b/>
          <w:bCs/>
          <w:color w:val="2E7D6B"/>
          <w:sz w:val="25"/>
          <w:szCs w:val="25"/>
        </w:rPr>
        <w:t xml:space="preserve">3.10 Tailored Health Insurance (RCM) Matcher</w:t>
      </w:r>
    </w:p>
    <w:p>
      <w:pPr>
        <w:spacing w:after="160" w:line="276"/>
      </w:pPr>
      <w:r>
        <w:rPr>
          <w:rFonts w:ascii="Calibri" w:cs="Calibri" w:eastAsia="Calibri" w:hAnsi="Calibri"/>
          <w:sz w:val="21"/>
          <w:szCs w:val="21"/>
        </w:rPr>
        <w:t xml:space="preserve">Covers matching of insurance coverage options to a user's clinical profile.</w:t>
      </w:r>
    </w:p>
    <w:tbl>
      <w:tblPr>
        <w:tblW w:type="dxa" w:w="9338"/>
        <w:tblBorders>
          <w:top w:val="single" w:color="auto" w:sz="4"/>
          <w:left w:val="single" w:color="auto" w:sz="4"/>
          <w:bottom w:val="single" w:color="auto" w:sz="4"/>
          <w:right w:val="single" w:color="auto" w:sz="4"/>
          <w:insideH w:val="single" w:color="auto" w:sz="4"/>
          <w:insideV w:val="single" w:color="auto" w:sz="4"/>
        </w:tblBorders>
      </w:tblPr>
      <w:tblGrid>
        <w:gridCol w:w="1200"/>
        <w:gridCol w:w="6538"/>
        <w:gridCol w:w="1600"/>
      </w:tblGrid>
      <w:tr>
        <w:trPr>
          <w:tblHeader/>
        </w:trPr>
        <w:tc>
          <w:tcPr>
            <w:tcW w:type="dxa" w:w="12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ID</w:t>
            </w:r>
          </w:p>
        </w:tc>
        <w:tc>
          <w:tcPr>
            <w:tcW w:type="dxa" w:w="6538"/>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Requirement</w:t>
            </w:r>
          </w:p>
        </w:tc>
        <w:tc>
          <w:tcPr>
            <w:tcW w:type="dxa" w:w="16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Priority</w:t>
            </w:r>
          </w:p>
        </w:tc>
      </w:tr>
      <w:tr>
        <w:tc>
          <w:tcPr>
            <w:tcW w:type="dxa" w:w="1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FR-3.10.1</w:t>
            </w:r>
          </w:p>
        </w:tc>
        <w:tc>
          <w:tcPr>
            <w:tcW w:type="dxa" w:w="653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The system shall match available insurance coverage tiers against a user's documented chronic conditions and medication costs.</w:t>
            </w:r>
          </w:p>
        </w:tc>
        <w:tc>
          <w:tcPr>
            <w:tcW w:type="dxa" w:w="16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Medium</w:t>
            </w:r>
          </w:p>
        </w:tc>
      </w:tr>
      <w:tr>
        <w:tc>
          <w:tcPr>
            <w:tcW w:type="dxa" w:w="12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FR-3.10.2</w:t>
            </w:r>
          </w:p>
        </w:tc>
        <w:tc>
          <w:tcPr>
            <w:tcW w:type="dxa" w:w="6538"/>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The system shall display relevant waiting periods and preventive-care benefits for each matched insurance option.</w:t>
            </w:r>
          </w:p>
        </w:tc>
        <w:tc>
          <w:tcPr>
            <w:tcW w:type="dxa" w:w="16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Low</w:t>
            </w:r>
          </w:p>
        </w:tc>
      </w:tr>
    </w:tbl>
    <w:p>
      <w:pPr>
        <w:pStyle w:val="Heading1"/>
        <w:spacing w:after="200" w:before="400"/>
      </w:pPr>
      <w:r>
        <w:rPr>
          <w:b/>
          <w:bCs/>
          <w:color w:val="1F3864"/>
          <w:sz w:val="30"/>
          <w:szCs w:val="30"/>
        </w:rPr>
        <w:t xml:space="preserve">4. Non-Functional Requirements</w:t>
      </w:r>
    </w:p>
    <w:p>
      <w:pPr>
        <w:spacing w:after="160" w:line="276"/>
      </w:pPr>
      <w:r>
        <w:rPr>
          <w:rFonts w:ascii="Calibri" w:cs="Calibri" w:eastAsia="Calibri" w:hAnsi="Calibri"/>
          <w:sz w:val="21"/>
          <w:szCs w:val="21"/>
        </w:rPr>
        <w:t xml:space="preserve">Non-functional requirements describe the quality attributes and constraints the system must satisfy, independent of any single feature. They are grouped by category below.</w:t>
      </w:r>
    </w:p>
    <w:tbl>
      <w:tblPr>
        <w:tblW w:type="dxa" w:w="9338"/>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5238"/>
        <w:gridCol w:w="1200"/>
      </w:tblGrid>
      <w:tr>
        <w:trPr>
          <w:tblHeader/>
        </w:trPr>
        <w:tc>
          <w:tcPr>
            <w:tcW w:type="dxa" w:w="11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ID</w:t>
            </w:r>
          </w:p>
        </w:tc>
        <w:tc>
          <w:tcPr>
            <w:tcW w:type="dxa" w:w="18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Category</w:t>
            </w:r>
          </w:p>
        </w:tc>
        <w:tc>
          <w:tcPr>
            <w:tcW w:type="dxa" w:w="5238"/>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Requirement</w:t>
            </w:r>
          </w:p>
        </w:tc>
        <w:tc>
          <w:tcPr>
            <w:tcW w:type="dxa" w:w="12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Priority</w:t>
            </w:r>
          </w:p>
        </w:tc>
      </w:tr>
      <w:tr>
        <w:tc>
          <w:tcPr>
            <w:tcW w:type="dxa" w:w="11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NFR-4.1</w:t>
            </w:r>
          </w:p>
        </w:tc>
        <w:tc>
          <w:tcPr>
            <w:tcW w:type="dxa" w:w="18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Performance</w:t>
            </w:r>
          </w:p>
        </w:tc>
        <w:tc>
          <w:tcPr>
            <w:tcW w:type="dxa" w:w="523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The OCR/entity extraction pipeline shall achieve greater than 98.5% precision on lab biomarker values.</w:t>
            </w:r>
          </w:p>
        </w:tc>
        <w:tc>
          <w:tcPr>
            <w:tcW w:type="dxa" w:w="1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High</w:t>
            </w:r>
          </w:p>
        </w:tc>
      </w:tr>
      <w:tr>
        <w:tc>
          <w:tcPr>
            <w:tcW w:type="dxa" w:w="11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NFR-4.2</w:t>
            </w:r>
          </w:p>
        </w:tc>
        <w:tc>
          <w:tcPr>
            <w:tcW w:type="dxa" w:w="18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Performance</w:t>
            </w:r>
          </w:p>
        </w:tc>
        <w:tc>
          <w:tcPr>
            <w:tcW w:type="dxa" w:w="5238"/>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The system shall return extracted results for a single-page document within a reasonable interactive time frame (target: a few seconds) under normal load.</w:t>
            </w:r>
          </w:p>
        </w:tc>
        <w:tc>
          <w:tcPr>
            <w:tcW w:type="dxa" w:w="12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Medium</w:t>
            </w:r>
          </w:p>
        </w:tc>
      </w:tr>
      <w:tr>
        <w:tc>
          <w:tcPr>
            <w:tcW w:type="dxa" w:w="11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NFR-4.3</w:t>
            </w:r>
          </w:p>
        </w:tc>
        <w:tc>
          <w:tcPr>
            <w:tcW w:type="dxa" w:w="18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Security</w:t>
            </w:r>
          </w:p>
        </w:tc>
        <w:tc>
          <w:tcPr>
            <w:tcW w:type="dxa" w:w="523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The system shall authenticate all users via JWT tokens with a defined 7-day session expiration.</w:t>
            </w:r>
          </w:p>
        </w:tc>
        <w:tc>
          <w:tcPr>
            <w:tcW w:type="dxa" w:w="1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High</w:t>
            </w:r>
          </w:p>
        </w:tc>
      </w:tr>
      <w:tr>
        <w:tc>
          <w:tcPr>
            <w:tcW w:type="dxa" w:w="11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NFR-4.4</w:t>
            </w:r>
          </w:p>
        </w:tc>
        <w:tc>
          <w:tcPr>
            <w:tcW w:type="dxa" w:w="18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Security</w:t>
            </w:r>
          </w:p>
        </w:tc>
        <w:tc>
          <w:tcPr>
            <w:tcW w:type="dxa" w:w="5238"/>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The system shall hash all user passwords using bcrypt with a minimum of 10 salt rounds before storage.</w:t>
            </w:r>
          </w:p>
        </w:tc>
        <w:tc>
          <w:tcPr>
            <w:tcW w:type="dxa" w:w="12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High</w:t>
            </w:r>
          </w:p>
        </w:tc>
      </w:tr>
      <w:tr>
        <w:tc>
          <w:tcPr>
            <w:tcW w:type="dxa" w:w="11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NFR-4.5</w:t>
            </w:r>
          </w:p>
        </w:tc>
        <w:tc>
          <w:tcPr>
            <w:tcW w:type="dxa" w:w="18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Security</w:t>
            </w:r>
          </w:p>
        </w:tc>
        <w:tc>
          <w:tcPr>
            <w:tcW w:type="dxa" w:w="523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The system shall isolate each user's documents and data strictly by user ID (multi-tenant data isolation).</w:t>
            </w:r>
          </w:p>
        </w:tc>
        <w:tc>
          <w:tcPr>
            <w:tcW w:type="dxa" w:w="1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High</w:t>
            </w:r>
          </w:p>
        </w:tc>
      </w:tr>
      <w:tr>
        <w:tc>
          <w:tcPr>
            <w:tcW w:type="dxa" w:w="11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NFR-4.6</w:t>
            </w:r>
          </w:p>
        </w:tc>
        <w:tc>
          <w:tcPr>
            <w:tcW w:type="dxa" w:w="18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Security</w:t>
            </w:r>
          </w:p>
        </w:tc>
        <w:tc>
          <w:tcPr>
            <w:tcW w:type="dxa" w:w="5238"/>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The system shall sanitize all uploaded files server-side and enforce a 25MB per-file upload limit.</w:t>
            </w:r>
          </w:p>
        </w:tc>
        <w:tc>
          <w:tcPr>
            <w:tcW w:type="dxa" w:w="12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High</w:t>
            </w:r>
          </w:p>
        </w:tc>
      </w:tr>
      <w:tr>
        <w:tc>
          <w:tcPr>
            <w:tcW w:type="dxa" w:w="11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NFR-4.7</w:t>
            </w:r>
          </w:p>
        </w:tc>
        <w:tc>
          <w:tcPr>
            <w:tcW w:type="dxa" w:w="18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Reliability / Availability</w:t>
            </w:r>
          </w:p>
        </w:tc>
        <w:tc>
          <w:tcPr>
            <w:tcW w:type="dxa" w:w="523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The system shall remain usable in a degraded offline mode via client-side (IndexedDB/localStorage) caching, particularly for the Emergency Pass.</w:t>
            </w:r>
          </w:p>
        </w:tc>
        <w:tc>
          <w:tcPr>
            <w:tcW w:type="dxa" w:w="1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High</w:t>
            </w:r>
          </w:p>
        </w:tc>
      </w:tr>
      <w:tr>
        <w:tc>
          <w:tcPr>
            <w:tcW w:type="dxa" w:w="11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NFR-4.8</w:t>
            </w:r>
          </w:p>
        </w:tc>
        <w:tc>
          <w:tcPr>
            <w:tcW w:type="dxa" w:w="18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Reliability / Availability</w:t>
            </w:r>
          </w:p>
        </w:tc>
        <w:tc>
          <w:tcPr>
            <w:tcW w:type="dxa" w:w="5238"/>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The system shall operate on an in-memory heuristic engine when MongoDB or the OpenAI API is unavailable, without crashing core functionality.</w:t>
            </w:r>
          </w:p>
        </w:tc>
        <w:tc>
          <w:tcPr>
            <w:tcW w:type="dxa" w:w="12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Medium</w:t>
            </w:r>
          </w:p>
        </w:tc>
      </w:tr>
      <w:tr>
        <w:tc>
          <w:tcPr>
            <w:tcW w:type="dxa" w:w="11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NFR-4.9</w:t>
            </w:r>
          </w:p>
        </w:tc>
        <w:tc>
          <w:tcPr>
            <w:tcW w:type="dxa" w:w="18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Usability</w:t>
            </w:r>
          </w:p>
        </w:tc>
        <w:tc>
          <w:tcPr>
            <w:tcW w:type="dxa" w:w="523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The Emergency Pass shall present blood group, allergies, and medications in a way a first responder can read within 10 seconds under pressure.</w:t>
            </w:r>
          </w:p>
        </w:tc>
        <w:tc>
          <w:tcPr>
            <w:tcW w:type="dxa" w:w="1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High</w:t>
            </w:r>
          </w:p>
        </w:tc>
      </w:tr>
      <w:tr>
        <w:tc>
          <w:tcPr>
            <w:tcW w:type="dxa" w:w="11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NFR-4.10</w:t>
            </w:r>
          </w:p>
        </w:tc>
        <w:tc>
          <w:tcPr>
            <w:tcW w:type="dxa" w:w="18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Usability</w:t>
            </w:r>
          </w:p>
        </w:tc>
        <w:tc>
          <w:tcPr>
            <w:tcW w:type="dxa" w:w="5238"/>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The interface shall be understandable to a user with moderate technical comfort (per Persona 1), without requiring clinical training to interpret trend indicators.</w:t>
            </w:r>
          </w:p>
        </w:tc>
        <w:tc>
          <w:tcPr>
            <w:tcW w:type="dxa" w:w="12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Medium</w:t>
            </w:r>
          </w:p>
        </w:tc>
      </w:tr>
      <w:tr>
        <w:tc>
          <w:tcPr>
            <w:tcW w:type="dxa" w:w="11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NFR-4.11</w:t>
            </w:r>
          </w:p>
        </w:tc>
        <w:tc>
          <w:tcPr>
            <w:tcW w:type="dxa" w:w="18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Maintainability</w:t>
            </w:r>
          </w:p>
        </w:tc>
        <w:tc>
          <w:tcPr>
            <w:tcW w:type="dxa" w:w="523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The backend REST API shall be organized into distinct Auth, Documents, and AI routers to keep concerns separable and testable.</w:t>
            </w:r>
          </w:p>
        </w:tc>
        <w:tc>
          <w:tcPr>
            <w:tcW w:type="dxa" w:w="1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Medium</w:t>
            </w:r>
          </w:p>
        </w:tc>
      </w:tr>
      <w:tr>
        <w:tc>
          <w:tcPr>
            <w:tcW w:type="dxa" w:w="11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NFR-4.12</w:t>
            </w:r>
          </w:p>
        </w:tc>
        <w:tc>
          <w:tcPr>
            <w:tcW w:type="dxa" w:w="18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Maintainability</w:t>
            </w:r>
          </w:p>
        </w:tc>
        <w:tc>
          <w:tcPr>
            <w:tcW w:type="dxa" w:w="5238"/>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The system shall include an automated API test suite covering health checks, registration, login, profile retrieval, document upload/extraction, AI analysis, insurance matching, and chat.</w:t>
            </w:r>
          </w:p>
        </w:tc>
        <w:tc>
          <w:tcPr>
            <w:tcW w:type="dxa" w:w="12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Medium</w:t>
            </w:r>
          </w:p>
        </w:tc>
      </w:tr>
      <w:tr>
        <w:tc>
          <w:tcPr>
            <w:tcW w:type="dxa" w:w="11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NFR-4.13</w:t>
            </w:r>
          </w:p>
        </w:tc>
        <w:tc>
          <w:tcPr>
            <w:tcW w:type="dxa" w:w="18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Portability</w:t>
            </w:r>
          </w:p>
        </w:tc>
        <w:tc>
          <w:tcPr>
            <w:tcW w:type="dxa" w:w="523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The client application shall run on any modern evergreen browser without requiring a native install.</w:t>
            </w:r>
          </w:p>
        </w:tc>
        <w:tc>
          <w:tcPr>
            <w:tcW w:type="dxa" w:w="1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Medium</w:t>
            </w:r>
          </w:p>
        </w:tc>
      </w:tr>
      <w:tr>
        <w:tc>
          <w:tcPr>
            <w:tcW w:type="dxa" w:w="11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NFR-4.14</w:t>
            </w:r>
          </w:p>
        </w:tc>
        <w:tc>
          <w:tcPr>
            <w:tcW w:type="dxa" w:w="18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Compliance</w:t>
            </w:r>
          </w:p>
        </w:tc>
        <w:tc>
          <w:tcPr>
            <w:tcW w:type="dxa" w:w="5238"/>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The system's data model and export format shall conform to HL7® FHIR® R4 (US-Core) for interoperability with hospital EHR systems.</w:t>
            </w:r>
          </w:p>
        </w:tc>
        <w:tc>
          <w:tcPr>
            <w:tcW w:type="dxa" w:w="12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High</w:t>
            </w:r>
          </w:p>
        </w:tc>
      </w:tr>
    </w:tbl>
    <w:p>
      <w:pPr>
        <w:pStyle w:val="Heading1"/>
        <w:spacing w:after="200" w:before="400"/>
      </w:pPr>
      <w:r>
        <w:rPr>
          <w:b/>
          <w:bCs/>
          <w:color w:val="1F3864"/>
          <w:sz w:val="30"/>
          <w:szCs w:val="30"/>
        </w:rPr>
        <w:t xml:space="preserve">5. External Interface Requirements</w:t>
      </w:r>
    </w:p>
    <w:p>
      <w:pPr>
        <w:pStyle w:val="Heading2"/>
        <w:spacing w:after="150" w:before="300"/>
      </w:pPr>
      <w:r>
        <w:rPr>
          <w:b/>
          <w:bCs/>
          <w:color w:val="2E7D6B"/>
          <w:sz w:val="25"/>
          <w:szCs w:val="25"/>
        </w:rPr>
        <w:t xml:space="preserve">5.1 User Interfaces</w:t>
      </w:r>
    </w:p>
    <w:p>
      <w:pPr>
        <w:pStyle w:val="ListParagraph"/>
        <w:numPr>
          <w:ilvl w:val="0"/>
          <w:numId w:val="2"/>
        </w:numPr>
        <w:spacing w:after="80"/>
      </w:pPr>
      <w:r>
        <w:rPr>
          <w:rFonts w:ascii="Calibri" w:cs="Calibri" w:eastAsia="Calibri" w:hAnsi="Calibri"/>
          <w:sz w:val="21"/>
          <w:szCs w:val="21"/>
        </w:rPr>
        <w:t xml:space="preserve">EIR-5.1.1: The system shall provide a React 19 + Vite single-page web application with a consistent botanical design system across all views.</w:t>
      </w:r>
    </w:p>
    <w:p>
      <w:pPr>
        <w:pStyle w:val="ListParagraph"/>
        <w:numPr>
          <w:ilvl w:val="0"/>
          <w:numId w:val="2"/>
        </w:numPr>
        <w:spacing w:after="80"/>
      </w:pPr>
      <w:r>
        <w:rPr>
          <w:rFonts w:ascii="Calibri" w:cs="Calibri" w:eastAsia="Calibri" w:hAnsi="Calibri"/>
          <w:sz w:val="21"/>
          <w:szCs w:val="21"/>
        </w:rPr>
        <w:t xml:space="preserve">EIR-5.1.2: The system shall provide an interactive EHR viewer/timeline, provenance inspector, safety-guard alert panel, Emergency Pass view, FHIR exporter, and family-profile switcher as distinct, navigable UI sections.</w:t>
      </w:r>
    </w:p>
    <w:p>
      <w:pPr>
        <w:pStyle w:val="ListParagraph"/>
        <w:numPr>
          <w:ilvl w:val="0"/>
          <w:numId w:val="2"/>
        </w:numPr>
        <w:spacing w:after="80"/>
      </w:pPr>
      <w:r>
        <w:rPr>
          <w:rFonts w:ascii="Calibri" w:cs="Calibri" w:eastAsia="Calibri" w:hAnsi="Calibri"/>
          <w:sz w:val="21"/>
          <w:szCs w:val="21"/>
        </w:rPr>
        <w:t xml:space="preserve">EIR-5.1.3: The Emergency Pass UI shall be optimized for a mobile browser rendering a scanned QR-code link, requiring no login.</w:t>
      </w:r>
    </w:p>
    <w:p>
      <w:pPr>
        <w:pStyle w:val="Heading2"/>
        <w:spacing w:after="150" w:before="300"/>
      </w:pPr>
      <w:r>
        <w:rPr>
          <w:b/>
          <w:bCs/>
          <w:color w:val="2E7D6B"/>
          <w:sz w:val="25"/>
          <w:szCs w:val="25"/>
        </w:rPr>
        <w:t xml:space="preserve">5.2 Hardware Interfaces</w:t>
      </w:r>
    </w:p>
    <w:p>
      <w:pPr>
        <w:pStyle w:val="ListParagraph"/>
        <w:numPr>
          <w:ilvl w:val="0"/>
          <w:numId w:val="2"/>
        </w:numPr>
        <w:spacing w:after="80"/>
      </w:pPr>
      <w:r>
        <w:rPr>
          <w:rFonts w:ascii="Calibri" w:cs="Calibri" w:eastAsia="Calibri" w:hAnsi="Calibri"/>
          <w:sz w:val="21"/>
          <w:szCs w:val="21"/>
        </w:rPr>
        <w:t xml:space="preserve">EIR-5.2.1: The system shall support document capture via any device camera or flatbed/document scanner producing a standard image or PDF file.</w:t>
      </w:r>
    </w:p>
    <w:p>
      <w:pPr>
        <w:pStyle w:val="ListParagraph"/>
        <w:numPr>
          <w:ilvl w:val="0"/>
          <w:numId w:val="2"/>
        </w:numPr>
        <w:spacing w:after="80"/>
      </w:pPr>
      <w:r>
        <w:rPr>
          <w:rFonts w:ascii="Calibri" w:cs="Calibri" w:eastAsia="Calibri" w:hAnsi="Calibri"/>
          <w:sz w:val="21"/>
          <w:szCs w:val="21"/>
        </w:rPr>
        <w:t xml:space="preserve">EIR-5.2.2: The printable wallet-card Emergency Pass shall be formatted for standard ISO/IEC 7810 card-sized output on consumer printers.</w:t>
      </w:r>
    </w:p>
    <w:p>
      <w:pPr>
        <w:pStyle w:val="ListParagraph"/>
        <w:numPr>
          <w:ilvl w:val="0"/>
          <w:numId w:val="2"/>
        </w:numPr>
        <w:spacing w:after="80"/>
      </w:pPr>
      <w:r>
        <w:rPr>
          <w:rFonts w:ascii="Calibri" w:cs="Calibri" w:eastAsia="Calibri" w:hAnsi="Calibri"/>
          <w:sz w:val="21"/>
          <w:szCs w:val="21"/>
        </w:rPr>
        <w:t xml:space="preserve">EIR-5.2.3: The Emergency Pass QR code shall be scannable by any standard smartphone camera or dedicated QR-code reader used by emergency responders.</w:t>
      </w:r>
    </w:p>
    <w:p>
      <w:pPr>
        <w:pStyle w:val="Heading2"/>
        <w:spacing w:after="150" w:before="300"/>
      </w:pPr>
      <w:r>
        <w:rPr>
          <w:b/>
          <w:bCs/>
          <w:color w:val="2E7D6B"/>
          <w:sz w:val="25"/>
          <w:szCs w:val="25"/>
        </w:rPr>
        <w:t xml:space="preserve">5.3 Software Interfaces</w:t>
      </w:r>
    </w:p>
    <w:p>
      <w:pPr>
        <w:pStyle w:val="ListParagraph"/>
        <w:numPr>
          <w:ilvl w:val="0"/>
          <w:numId w:val="2"/>
        </w:numPr>
        <w:spacing w:after="80"/>
      </w:pPr>
      <w:r>
        <w:rPr>
          <w:rFonts w:ascii="Calibri" w:cs="Calibri" w:eastAsia="Calibri" w:hAnsi="Calibri"/>
          <w:sz w:val="21"/>
          <w:szCs w:val="21"/>
        </w:rPr>
        <w:t xml:space="preserve">EIR-5.3.1: The backend shall expose a Node.js + Express 4.18 REST API consumed by the React frontend via Axios.</w:t>
      </w:r>
    </w:p>
    <w:p>
      <w:pPr>
        <w:pStyle w:val="ListParagraph"/>
        <w:numPr>
          <w:ilvl w:val="0"/>
          <w:numId w:val="2"/>
        </w:numPr>
        <w:spacing w:after="80"/>
      </w:pPr>
      <w:r>
        <w:rPr>
          <w:rFonts w:ascii="Calibri" w:cs="Calibri" w:eastAsia="Calibri" w:hAnsi="Calibri"/>
          <w:sz w:val="21"/>
          <w:szCs w:val="21"/>
        </w:rPr>
        <w:t xml:space="preserve">EIR-5.3.2: The system shall persist structured data to MongoDB via Mongoose 7.8 object modeling.</w:t>
      </w:r>
    </w:p>
    <w:p>
      <w:pPr>
        <w:pStyle w:val="ListParagraph"/>
        <w:numPr>
          <w:ilvl w:val="0"/>
          <w:numId w:val="2"/>
        </w:numPr>
        <w:spacing w:after="80"/>
      </w:pPr>
      <w:r>
        <w:rPr>
          <w:rFonts w:ascii="Calibri" w:cs="Calibri" w:eastAsia="Calibri" w:hAnsi="Calibri"/>
          <w:sz w:val="21"/>
          <w:szCs w:val="21"/>
        </w:rPr>
        <w:t xml:space="preserve">EIR-5.3.3: The AI/Intelligence layer shall integrate with the OpenAI API via LangChain when an API key is configured, and shall fall back to a rule-based heuristic engine otherwise.</w:t>
      </w:r>
    </w:p>
    <w:p>
      <w:pPr>
        <w:pStyle w:val="ListParagraph"/>
        <w:numPr>
          <w:ilvl w:val="0"/>
          <w:numId w:val="2"/>
        </w:numPr>
        <w:spacing w:after="80"/>
      </w:pPr>
      <w:r>
        <w:rPr>
          <w:rFonts w:ascii="Calibri" w:cs="Calibri" w:eastAsia="Calibri" w:hAnsi="Calibri"/>
          <w:sz w:val="21"/>
          <w:szCs w:val="21"/>
        </w:rPr>
        <w:t xml:space="preserve">EIR-5.3.4: The Clinical Intelligence Engine shall interface with LOINC for biomarker coding, RxNorm for medication normalization, and SNOMED CT for clinical terminology.</w:t>
      </w:r>
    </w:p>
    <w:p>
      <w:pPr>
        <w:pStyle w:val="ListParagraph"/>
        <w:numPr>
          <w:ilvl w:val="0"/>
          <w:numId w:val="2"/>
        </w:numPr>
        <w:spacing w:after="80"/>
      </w:pPr>
      <w:r>
        <w:rPr>
          <w:rFonts w:ascii="Calibri" w:cs="Calibri" w:eastAsia="Calibri" w:hAnsi="Calibri"/>
          <w:sz w:val="21"/>
          <w:szCs w:val="21"/>
        </w:rPr>
        <w:t xml:space="preserve">EIR-5.3.5: The FHIR export module shall produce output conforming to the HL7® FHIR® R4 (US-Core) specification, consumable by third-party hospital EHR systems.</w:t>
      </w:r>
    </w:p>
    <w:p>
      <w:pPr>
        <w:pStyle w:val="Heading2"/>
        <w:spacing w:after="150" w:before="300"/>
      </w:pPr>
      <w:r>
        <w:rPr>
          <w:b/>
          <w:bCs/>
          <w:color w:val="2E7D6B"/>
          <w:sz w:val="25"/>
          <w:szCs w:val="25"/>
        </w:rPr>
        <w:t xml:space="preserve">5.4 Communications Interfaces</w:t>
      </w:r>
    </w:p>
    <w:p>
      <w:pPr>
        <w:pStyle w:val="ListParagraph"/>
        <w:numPr>
          <w:ilvl w:val="0"/>
          <w:numId w:val="2"/>
        </w:numPr>
        <w:spacing w:after="80"/>
      </w:pPr>
      <w:r>
        <w:rPr>
          <w:rFonts w:ascii="Calibri" w:cs="Calibri" w:eastAsia="Calibri" w:hAnsi="Calibri"/>
          <w:sz w:val="21"/>
          <w:szCs w:val="21"/>
        </w:rPr>
        <w:t xml:space="preserve">EIR-5.4.1: All client–server communication shall occur over HTTPS.</w:t>
      </w:r>
    </w:p>
    <w:p>
      <w:pPr>
        <w:pStyle w:val="ListParagraph"/>
        <w:numPr>
          <w:ilvl w:val="0"/>
          <w:numId w:val="2"/>
        </w:numPr>
        <w:spacing w:after="80"/>
      </w:pPr>
      <w:r>
        <w:rPr>
          <w:rFonts w:ascii="Calibri" w:cs="Calibri" w:eastAsia="Calibri" w:hAnsi="Calibri"/>
          <w:sz w:val="21"/>
          <w:szCs w:val="21"/>
        </w:rPr>
        <w:t xml:space="preserve">EIR-5.4.2: The system shall authenticate API requests using a JWT bearer token supplied in the Authorization header.</w:t>
      </w:r>
    </w:p>
    <w:p>
      <w:pPr>
        <w:pStyle w:val="ListParagraph"/>
        <w:numPr>
          <w:ilvl w:val="0"/>
          <w:numId w:val="2"/>
        </w:numPr>
        <w:spacing w:after="80"/>
      </w:pPr>
      <w:r>
        <w:rPr>
          <w:rFonts w:ascii="Calibri" w:cs="Calibri" w:eastAsia="Calibri" w:hAnsi="Calibri"/>
          <w:sz w:val="21"/>
          <w:szCs w:val="21"/>
        </w:rPr>
        <w:t xml:space="preserve">EIR-5.4.3: File uploads shall be transmitted via multipart/form-data requests handled server-side by Multer.</w:t>
      </w:r>
    </w:p>
    <w:p>
      <w:pPr>
        <w:pStyle w:val="Heading1"/>
        <w:spacing w:after="200" w:before="400"/>
      </w:pPr>
      <w:r>
        <w:rPr>
          <w:b/>
          <w:bCs/>
          <w:color w:val="1F3864"/>
          <w:sz w:val="30"/>
          <w:szCs w:val="30"/>
        </w:rPr>
        <w:t xml:space="preserve">6. Other Requirements</w:t>
      </w:r>
    </w:p>
    <w:p>
      <w:pPr>
        <w:pStyle w:val="Heading2"/>
        <w:spacing w:after="150" w:before="300"/>
      </w:pPr>
      <w:r>
        <w:rPr>
          <w:b/>
          <w:bCs/>
          <w:color w:val="2E7D6B"/>
          <w:sz w:val="25"/>
          <w:szCs w:val="25"/>
        </w:rPr>
        <w:t xml:space="preserve">6.1 Legal &amp; Regulatory Requirements</w:t>
      </w:r>
    </w:p>
    <w:p>
      <w:pPr>
        <w:spacing w:after="160" w:line="276"/>
      </w:pPr>
      <w:r>
        <w:rPr>
          <w:rFonts w:ascii="Calibri" w:cs="Calibri" w:eastAsia="Calibri" w:hAnsi="Calibri"/>
          <w:sz w:val="21"/>
          <w:szCs w:val="21"/>
        </w:rPr>
        <w:t xml:space="preserve">MediSage is a clinical document intelligence and personal health record management system. All AI-generated analyses, biomarker interpretations, dietary suggestions, and drug interaction alerts are provided strictly for informational and educational purposes. MediSage does not provide official medical diagnoses, prescriptive authority, or emergency dispatch services. Users must always be directed to consult a qualified physician regarding any medical condition, symptom, or treatment plan, and to contact local emergency services directly in a life-threatening emergency.</w:t>
      </w:r>
    </w:p>
    <w:p>
      <w:pPr>
        <w:pStyle w:val="ListParagraph"/>
        <w:numPr>
          <w:ilvl w:val="0"/>
          <w:numId w:val="2"/>
        </w:numPr>
        <w:spacing w:after="80"/>
      </w:pPr>
      <w:r>
        <w:rPr>
          <w:rFonts w:ascii="Calibri" w:cs="Calibri" w:eastAsia="Calibri" w:hAnsi="Calibri"/>
          <w:sz w:val="21"/>
          <w:szCs w:val="21"/>
        </w:rPr>
        <w:t xml:space="preserve">OR-6.1.1: The system shall display the medical disclaimer at account creation and on the Emergency Pass and AI-synthesis views.</w:t>
      </w:r>
    </w:p>
    <w:p>
      <w:pPr>
        <w:pStyle w:val="ListParagraph"/>
        <w:numPr>
          <w:ilvl w:val="0"/>
          <w:numId w:val="2"/>
        </w:numPr>
        <w:spacing w:after="80"/>
      </w:pPr>
      <w:r>
        <w:rPr>
          <w:rFonts w:ascii="Calibri" w:cs="Calibri" w:eastAsia="Calibri" w:hAnsi="Calibri"/>
          <w:sz w:val="21"/>
          <w:szCs w:val="21"/>
        </w:rPr>
        <w:t xml:space="preserve">OR-6.1.2: The system's data-handling practices shall be designed with alignment to HIPAA-style privacy and security principles (data minimization, access control, encryption at rest and in transit), as identified as a development-team requirement during elicitation.</w:t>
      </w:r>
    </w:p>
    <w:p>
      <w:pPr>
        <w:pStyle w:val="Heading2"/>
        <w:spacing w:after="150" w:before="300"/>
      </w:pPr>
      <w:r>
        <w:rPr>
          <w:b/>
          <w:bCs/>
          <w:color w:val="2E7D6B"/>
          <w:sz w:val="25"/>
          <w:szCs w:val="25"/>
        </w:rPr>
        <w:t xml:space="preserve">6.2 Database Requirements</w:t>
      </w:r>
    </w:p>
    <w:p>
      <w:pPr>
        <w:pStyle w:val="ListParagraph"/>
        <w:numPr>
          <w:ilvl w:val="0"/>
          <w:numId w:val="2"/>
        </w:numPr>
        <w:spacing w:after="80"/>
      </w:pPr>
      <w:r>
        <w:rPr>
          <w:rFonts w:ascii="Calibri" w:cs="Calibri" w:eastAsia="Calibri" w:hAnsi="Calibri"/>
          <w:sz w:val="21"/>
          <w:szCs w:val="21"/>
        </w:rPr>
        <w:t xml:space="preserve">OR-6.2.1: Structured clinical data (users, documents, biomarkers, medications, allergies) shall be stored in MongoDB collections separated by domain entity.</w:t>
      </w:r>
    </w:p>
    <w:p>
      <w:pPr>
        <w:pStyle w:val="ListParagraph"/>
        <w:numPr>
          <w:ilvl w:val="0"/>
          <w:numId w:val="2"/>
        </w:numPr>
        <w:spacing w:after="80"/>
      </w:pPr>
      <w:r>
        <w:rPr>
          <w:rFonts w:ascii="Calibri" w:cs="Calibri" w:eastAsia="Calibri" w:hAnsi="Calibri"/>
          <w:sz w:val="21"/>
          <w:szCs w:val="21"/>
        </w:rPr>
        <w:t xml:space="preserve">OR-6.2.2: Uploaded source files shall be stored in encrypted local file storage, separate from the structured-data database, and referenced by document metadata.</w:t>
      </w:r>
    </w:p>
    <w:p>
      <w:pPr>
        <w:pStyle w:val="ListParagraph"/>
        <w:numPr>
          <w:ilvl w:val="0"/>
          <w:numId w:val="2"/>
        </w:numPr>
        <w:spacing w:after="80"/>
      </w:pPr>
      <w:r>
        <w:rPr>
          <w:rFonts w:ascii="Calibri" w:cs="Calibri" w:eastAsia="Calibri" w:hAnsi="Calibri"/>
          <w:sz w:val="21"/>
          <w:szCs w:val="21"/>
        </w:rPr>
        <w:t xml:space="preserve">OR-6.2.3: Client-side offline caching (IndexedDB/localStorage) shall store only the minimum data required for degraded-mode and Emergency Pass access.</w:t>
      </w:r>
    </w:p>
    <w:p>
      <w:pPr>
        <w:pStyle w:val="Heading2"/>
        <w:spacing w:after="150" w:before="300"/>
      </w:pPr>
      <w:r>
        <w:rPr>
          <w:b/>
          <w:bCs/>
          <w:color w:val="2E7D6B"/>
          <w:sz w:val="25"/>
          <w:szCs w:val="25"/>
        </w:rPr>
        <w:t xml:space="preserve">6.3 Internationalization &amp; Localization</w:t>
      </w:r>
    </w:p>
    <w:p>
      <w:pPr>
        <w:spacing w:after="160" w:line="276"/>
      </w:pPr>
      <w:r>
        <w:rPr>
          <w:rFonts w:ascii="Calibri" w:cs="Calibri" w:eastAsia="Calibri" w:hAnsi="Calibri"/>
          <w:sz w:val="21"/>
          <w:szCs w:val="21"/>
        </w:rPr>
        <w:t xml:space="preserve">Multi-language support for international emergency triage is identified as a future-roadmap item (planned v2.4) and is out of scope for the current release. The current release targets English-language documents and interfaces.</w:t>
      </w:r>
    </w:p>
    <w:p>
      <w:pPr>
        <w:pStyle w:val="Heading2"/>
        <w:spacing w:after="150" w:before="300"/>
      </w:pPr>
      <w:r>
        <w:rPr>
          <w:b/>
          <w:bCs/>
          <w:color w:val="2E7D6B"/>
          <w:sz w:val="25"/>
          <w:szCs w:val="25"/>
        </w:rPr>
        <w:t xml:space="preserve">6.4 Reuse &amp; Standards Objectives</w:t>
      </w:r>
    </w:p>
    <w:p>
      <w:pPr>
        <w:pStyle w:val="ListParagraph"/>
        <w:numPr>
          <w:ilvl w:val="0"/>
          <w:numId w:val="2"/>
        </w:numPr>
        <w:spacing w:after="80"/>
      </w:pPr>
      <w:r>
        <w:rPr>
          <w:rFonts w:ascii="Calibri" w:cs="Calibri" w:eastAsia="Calibri" w:hAnsi="Calibri"/>
          <w:sz w:val="21"/>
          <w:szCs w:val="21"/>
        </w:rPr>
        <w:t xml:space="preserve">OR-6.4.1: The system shall reuse established clinical terminology standards (LOINC, RxNorm, SNOMED CT) rather than defining proprietary coding schemes.</w:t>
      </w:r>
    </w:p>
    <w:p>
      <w:pPr>
        <w:pStyle w:val="ListParagraph"/>
        <w:numPr>
          <w:ilvl w:val="0"/>
          <w:numId w:val="2"/>
        </w:numPr>
        <w:spacing w:after="80"/>
      </w:pPr>
      <w:r>
        <w:rPr>
          <w:rFonts w:ascii="Calibri" w:cs="Calibri" w:eastAsia="Calibri" w:hAnsi="Calibri"/>
          <w:sz w:val="21"/>
          <w:szCs w:val="21"/>
        </w:rPr>
        <w:t xml:space="preserve">OR-6.4.2: The system shall reuse the HL7® FHIR® R4 resource model for all interoperability output rather than a custom export format.</w:t>
      </w:r>
    </w:p>
    <w:p>
      <w:pPr>
        <w:pStyle w:val="Heading1"/>
        <w:spacing w:after="200" w:before="400"/>
      </w:pPr>
      <w:r>
        <w:rPr>
          <w:b/>
          <w:bCs/>
          <w:color w:val="1F3864"/>
          <w:sz w:val="30"/>
          <w:szCs w:val="30"/>
        </w:rPr>
        <w:t xml:space="preserve">7. Appendices</w:t>
      </w:r>
    </w:p>
    <w:p>
      <w:pPr>
        <w:pStyle w:val="Heading2"/>
        <w:spacing w:after="150" w:before="300"/>
      </w:pPr>
      <w:r>
        <w:rPr>
          <w:b/>
          <w:bCs/>
          <w:color w:val="2E7D6B"/>
          <w:sz w:val="25"/>
          <w:szCs w:val="25"/>
        </w:rPr>
        <w:t xml:space="preserve">Appendix A — Glossary</w:t>
      </w:r>
    </w:p>
    <w:tbl>
      <w:tblPr>
        <w:tblW w:type="dxa" w:w="9438"/>
        <w:tblBorders>
          <w:top w:val="single" w:color="auto" w:sz="4"/>
          <w:left w:val="single" w:color="auto" w:sz="4"/>
          <w:bottom w:val="single" w:color="auto" w:sz="4"/>
          <w:right w:val="single" w:color="auto" w:sz="4"/>
          <w:insideH w:val="single" w:color="auto" w:sz="4"/>
          <w:insideV w:val="single" w:color="auto" w:sz="4"/>
        </w:tblBorders>
      </w:tblPr>
      <w:tblGrid>
        <w:gridCol w:w="1800"/>
        <w:gridCol w:w="7638"/>
      </w:tblGrid>
      <w:tr>
        <w:trPr>
          <w:tblHeader/>
        </w:trPr>
        <w:tc>
          <w:tcPr>
            <w:tcW w:type="dxa" w:w="18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Term</w:t>
            </w:r>
          </w:p>
        </w:tc>
        <w:tc>
          <w:tcPr>
            <w:tcW w:type="dxa" w:w="7638"/>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Definition</w:t>
            </w:r>
          </w:p>
        </w:tc>
      </w:tr>
      <w:tr>
        <w:tc>
          <w:tcPr>
            <w:tcW w:type="dxa" w:w="18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CYP450</w:t>
            </w:r>
          </w:p>
        </w:tc>
        <w:tc>
          <w:tcPr>
            <w:tcW w:type="dxa" w:w="763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Cytochrome P450 — a family of liver enzymes involved in drug metabolism; a common basis for drug-drug interaction checks.</w:t>
            </w:r>
          </w:p>
        </w:tc>
      </w:tr>
      <w:tr>
        <w:tc>
          <w:tcPr>
            <w:tcW w:type="dxa" w:w="18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EHR</w:t>
            </w:r>
          </w:p>
        </w:tc>
        <w:tc>
          <w:tcPr>
            <w:tcW w:type="dxa" w:w="7638"/>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Electronic Health Record — a digital patient record maintained by a healthcare provider or hospital.</w:t>
            </w:r>
          </w:p>
        </w:tc>
      </w:tr>
      <w:tr>
        <w:tc>
          <w:tcPr>
            <w:tcW w:type="dxa" w:w="18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FHIR®</w:t>
            </w:r>
          </w:p>
        </w:tc>
        <w:tc>
          <w:tcPr>
            <w:tcW w:type="dxa" w:w="763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Fast Healthcare Interoperability Resources — an HL7® standard for exchanging healthcare information electronically.</w:t>
            </w:r>
          </w:p>
        </w:tc>
      </w:tr>
      <w:tr>
        <w:tc>
          <w:tcPr>
            <w:tcW w:type="dxa" w:w="18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HL7®</w:t>
            </w:r>
          </w:p>
        </w:tc>
        <w:tc>
          <w:tcPr>
            <w:tcW w:type="dxa" w:w="7638"/>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Health Level Seven — a set of international standards for the exchange of clinical and administrative health data.</w:t>
            </w:r>
          </w:p>
        </w:tc>
      </w:tr>
      <w:tr>
        <w:tc>
          <w:tcPr>
            <w:tcW w:type="dxa" w:w="18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I.C.E.</w:t>
            </w:r>
          </w:p>
        </w:tc>
        <w:tc>
          <w:tcPr>
            <w:tcW w:type="dxa" w:w="763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In Case of Emergency — a designation for critical patient information intended for first responders.</w:t>
            </w:r>
          </w:p>
        </w:tc>
      </w:tr>
      <w:tr>
        <w:tc>
          <w:tcPr>
            <w:tcW w:type="dxa" w:w="18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LOINC</w:t>
            </w:r>
          </w:p>
        </w:tc>
        <w:tc>
          <w:tcPr>
            <w:tcW w:type="dxa" w:w="7638"/>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Logical Observation Identifiers Names and Codes — a standard for identifying medical laboratory observations.</w:t>
            </w:r>
          </w:p>
        </w:tc>
      </w:tr>
      <w:tr>
        <w:tc>
          <w:tcPr>
            <w:tcW w:type="dxa" w:w="18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OCR</w:t>
            </w:r>
          </w:p>
        </w:tc>
        <w:tc>
          <w:tcPr>
            <w:tcW w:type="dxa" w:w="763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Optical Character Recognition — technology that converts images of text into machine-readable text.</w:t>
            </w:r>
          </w:p>
        </w:tc>
      </w:tr>
      <w:tr>
        <w:tc>
          <w:tcPr>
            <w:tcW w:type="dxa" w:w="18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Provenance</w:t>
            </w:r>
          </w:p>
        </w:tc>
        <w:tc>
          <w:tcPr>
            <w:tcW w:type="dxa" w:w="7638"/>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The verifiable origin of a data value — in MediSage, the exact source-document location an extracted value came from.</w:t>
            </w:r>
          </w:p>
        </w:tc>
      </w:tr>
      <w:tr>
        <w:tc>
          <w:tcPr>
            <w:tcW w:type="dxa" w:w="18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RCM</w:t>
            </w:r>
          </w:p>
        </w:tc>
        <w:tc>
          <w:tcPr>
            <w:tcW w:type="dxa" w:w="763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Revenue Cycle Management — in this context, insurance coverage and claims-matching processes.</w:t>
            </w:r>
          </w:p>
        </w:tc>
      </w:tr>
      <w:tr>
        <w:tc>
          <w:tcPr>
            <w:tcW w:type="dxa" w:w="18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RxNorm</w:t>
            </w:r>
          </w:p>
        </w:tc>
        <w:tc>
          <w:tcPr>
            <w:tcW w:type="dxa" w:w="7638"/>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A normalized naming system for generic and branded clinical drugs.</w:t>
            </w:r>
          </w:p>
        </w:tc>
      </w:tr>
      <w:tr>
        <w:tc>
          <w:tcPr>
            <w:tcW w:type="dxa" w:w="18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SNOMED CT</w:t>
            </w:r>
          </w:p>
        </w:tc>
        <w:tc>
          <w:tcPr>
            <w:tcW w:type="dxa" w:w="763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Systematized Nomenclature of Medicine, Clinical Terms — a comprehensive clinical terminology standard.</w:t>
            </w:r>
          </w:p>
        </w:tc>
      </w:tr>
      <w:tr>
        <w:tc>
          <w:tcPr>
            <w:tcW w:type="dxa" w:w="18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Sovereign Vault</w:t>
            </w:r>
          </w:p>
        </w:tc>
        <w:tc>
          <w:tcPr>
            <w:tcW w:type="dxa" w:w="7638"/>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A patient-controlled, self-owned repository of medical records, as opposed to one owned by a hospital or insurer.</w:t>
            </w:r>
          </w:p>
        </w:tc>
      </w:tr>
    </w:tbl>
    <w:p>
      <w:pPr>
        <w:pStyle w:val="Heading2"/>
        <w:spacing w:after="150" w:before="300"/>
      </w:pPr>
      <w:r>
        <w:rPr>
          <w:b/>
          <w:bCs/>
          <w:color w:val="2E7D6B"/>
          <w:sz w:val="25"/>
          <w:szCs w:val="25"/>
        </w:rPr>
        <w:t xml:space="preserve">Appendix B — Analysis Models: Use Case List</w:t>
      </w:r>
    </w:p>
    <w:p>
      <w:pPr>
        <w:spacing w:after="160" w:line="276"/>
      </w:pPr>
      <w:r>
        <w:rPr>
          <w:rFonts w:ascii="Calibri" w:cs="Calibri" w:eastAsia="Calibri" w:hAnsi="Calibri"/>
          <w:sz w:val="21"/>
          <w:szCs w:val="21"/>
        </w:rPr>
        <w:t xml:space="preserve">The following use cases were derived from the functional requirements in Section 3 and will be elaborated with full use-case descriptions and diagrams (e.g., UML use-case and sequence diagrams) during detailed design.</w:t>
      </w:r>
    </w:p>
    <w:tbl>
      <w:tblPr>
        <w:tblW w:type="dxa" w:w="9438"/>
        <w:tblBorders>
          <w:top w:val="single" w:color="auto" w:sz="4"/>
          <w:left w:val="single" w:color="auto" w:sz="4"/>
          <w:bottom w:val="single" w:color="auto" w:sz="4"/>
          <w:right w:val="single" w:color="auto" w:sz="4"/>
          <w:insideH w:val="single" w:color="auto" w:sz="4"/>
          <w:insideV w:val="single" w:color="auto" w:sz="4"/>
        </w:tblBorders>
      </w:tblPr>
      <w:tblGrid>
        <w:gridCol w:w="1300"/>
        <w:gridCol w:w="5138"/>
        <w:gridCol w:w="3000"/>
      </w:tblGrid>
      <w:tr>
        <w:trPr>
          <w:tblHeader/>
        </w:trPr>
        <w:tc>
          <w:tcPr>
            <w:tcW w:type="dxa" w:w="13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Use Case ID</w:t>
            </w:r>
          </w:p>
        </w:tc>
        <w:tc>
          <w:tcPr>
            <w:tcW w:type="dxa" w:w="5138"/>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Use Case Name</w:t>
            </w:r>
          </w:p>
        </w:tc>
        <w:tc>
          <w:tcPr>
            <w:tcW w:type="dxa" w:w="30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Primary Actor(s)</w:t>
            </w:r>
          </w:p>
        </w:tc>
      </w:tr>
      <w:tr>
        <w:tc>
          <w:tcPr>
            <w:tcW w:type="dxa" w:w="13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UC-1</w:t>
            </w:r>
          </w:p>
        </w:tc>
        <w:tc>
          <w:tcPr>
            <w:tcW w:type="dxa" w:w="513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Upload and Extract a Clinical Document</w:t>
            </w:r>
          </w:p>
        </w:tc>
        <w:tc>
          <w:tcPr>
            <w:tcW w:type="dxa" w:w="30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Patient</w:t>
            </w:r>
          </w:p>
        </w:tc>
      </w:tr>
      <w:tr>
        <w:tc>
          <w:tcPr>
            <w:tcW w:type="dxa" w:w="13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UC-2</w:t>
            </w:r>
          </w:p>
        </w:tc>
        <w:tc>
          <w:tcPr>
            <w:tcW w:type="dxa" w:w="5138"/>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Inspect Provenance of an Extracted Value</w:t>
            </w:r>
          </w:p>
        </w:tc>
        <w:tc>
          <w:tcPr>
            <w:tcW w:type="dxa" w:w="30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Physician</w:t>
            </w:r>
          </w:p>
        </w:tc>
      </w:tr>
      <w:tr>
        <w:tc>
          <w:tcPr>
            <w:tcW w:type="dxa" w:w="13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UC-3</w:t>
            </w:r>
          </w:p>
        </w:tc>
        <w:tc>
          <w:tcPr>
            <w:tcW w:type="dxa" w:w="513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View Biomarker Trend Over Time</w:t>
            </w:r>
          </w:p>
        </w:tc>
        <w:tc>
          <w:tcPr>
            <w:tcW w:type="dxa" w:w="30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Patient</w:t>
            </w:r>
          </w:p>
        </w:tc>
      </w:tr>
      <w:tr>
        <w:tc>
          <w:tcPr>
            <w:tcW w:type="dxa" w:w="13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UC-4</w:t>
            </w:r>
          </w:p>
        </w:tc>
        <w:tc>
          <w:tcPr>
            <w:tcW w:type="dxa" w:w="5138"/>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Run Drug-Drug / Allergy Safety Check</w:t>
            </w:r>
          </w:p>
        </w:tc>
        <w:tc>
          <w:tcPr>
            <w:tcW w:type="dxa" w:w="30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Patient, Pharmacist</w:t>
            </w:r>
          </w:p>
        </w:tc>
      </w:tr>
      <w:tr>
        <w:tc>
          <w:tcPr>
            <w:tcW w:type="dxa" w:w="13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UC-5</w:t>
            </w:r>
          </w:p>
        </w:tc>
        <w:tc>
          <w:tcPr>
            <w:tcW w:type="dxa" w:w="513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Generate and Scan Emergency (I.C.E.) Pass</w:t>
            </w:r>
          </w:p>
        </w:tc>
        <w:tc>
          <w:tcPr>
            <w:tcW w:type="dxa" w:w="30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Patient, Emergency Responder</w:t>
            </w:r>
          </w:p>
        </w:tc>
      </w:tr>
      <w:tr>
        <w:tc>
          <w:tcPr>
            <w:tcW w:type="dxa" w:w="13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UC-6</w:t>
            </w:r>
          </w:p>
        </w:tc>
        <w:tc>
          <w:tcPr>
            <w:tcW w:type="dxa" w:w="5138"/>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Export Patient Record as HL7 FHIR Bundle</w:t>
            </w:r>
          </w:p>
        </w:tc>
        <w:tc>
          <w:tcPr>
            <w:tcW w:type="dxa" w:w="30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Physician</w:t>
            </w:r>
          </w:p>
        </w:tc>
      </w:tr>
      <w:tr>
        <w:tc>
          <w:tcPr>
            <w:tcW w:type="dxa" w:w="13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UC-7</w:t>
            </w:r>
          </w:p>
        </w:tc>
        <w:tc>
          <w:tcPr>
            <w:tcW w:type="dxa" w:w="513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Switch Between Family Dependent Profiles</w:t>
            </w:r>
          </w:p>
        </w:tc>
        <w:tc>
          <w:tcPr>
            <w:tcW w:type="dxa" w:w="30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Family Caregiver</w:t>
            </w:r>
          </w:p>
        </w:tc>
      </w:tr>
      <w:tr>
        <w:tc>
          <w:tcPr>
            <w:tcW w:type="dxa" w:w="13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UC-8</w:t>
            </w:r>
          </w:p>
        </w:tc>
        <w:tc>
          <w:tcPr>
            <w:tcW w:type="dxa" w:w="5138"/>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Chat with AI Health Companion</w:t>
            </w:r>
          </w:p>
        </w:tc>
        <w:tc>
          <w:tcPr>
            <w:tcW w:type="dxa" w:w="30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Patient</w:t>
            </w:r>
          </w:p>
        </w:tc>
      </w:tr>
      <w:tr>
        <w:tc>
          <w:tcPr>
            <w:tcW w:type="dxa" w:w="13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UC-9</w:t>
            </w:r>
          </w:p>
        </w:tc>
        <w:tc>
          <w:tcPr>
            <w:tcW w:type="dxa" w:w="513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Match Insurance Coverage to Chronic Conditions</w:t>
            </w:r>
          </w:p>
        </w:tc>
        <w:tc>
          <w:tcPr>
            <w:tcW w:type="dxa" w:w="30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Insurance Provider</w:t>
            </w:r>
          </w:p>
        </w:tc>
      </w:tr>
    </w:tbl>
    <w:p>
      <w:pPr>
        <w:pStyle w:val="Heading2"/>
        <w:spacing w:after="150" w:before="300"/>
      </w:pPr>
      <w:r>
        <w:rPr>
          <w:b/>
          <w:bCs/>
          <w:color w:val="2E7D6B"/>
          <w:sz w:val="25"/>
          <w:szCs w:val="25"/>
        </w:rPr>
        <w:t xml:space="preserve">Appendix C — Acceptance Criteria (Given / When / Then)</w:t>
      </w:r>
    </w:p>
    <w:p>
      <w:pPr>
        <w:spacing w:after="160" w:line="276"/>
      </w:pPr>
      <w:r>
        <w:rPr>
          <w:rFonts w:ascii="Calibri" w:cs="Calibri" w:eastAsia="Calibri" w:hAnsi="Calibri"/>
          <w:sz w:val="21"/>
          <w:szCs w:val="21"/>
        </w:rPr>
        <w:t xml:space="preserve">The following acceptance criteria, captured during elicitation, supplement the functional requirements in Section 3 and should be used to derive test cases.</w:t>
      </w:r>
    </w:p>
    <w:tbl>
      <w:tblPr>
        <w:tblW w:type="dxa" w:w="9438"/>
        <w:tblBorders>
          <w:top w:val="single" w:color="auto" w:sz="4"/>
          <w:left w:val="single" w:color="auto" w:sz="4"/>
          <w:bottom w:val="single" w:color="auto" w:sz="4"/>
          <w:right w:val="single" w:color="auto" w:sz="4"/>
          <w:insideH w:val="single" w:color="auto" w:sz="4"/>
          <w:insideV w:val="single" w:color="auto" w:sz="4"/>
        </w:tblBorders>
      </w:tblPr>
      <w:tblGrid>
        <w:gridCol w:w="2400"/>
        <w:gridCol w:w="7038"/>
      </w:tblGrid>
      <w:tr>
        <w:trPr>
          <w:tblHeader/>
        </w:trPr>
        <w:tc>
          <w:tcPr>
            <w:tcW w:type="dxa" w:w="24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Feature Area</w:t>
            </w:r>
          </w:p>
        </w:tc>
        <w:tc>
          <w:tcPr>
            <w:tcW w:type="dxa" w:w="7038"/>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Acceptance Criterion</w:t>
            </w:r>
          </w:p>
        </w:tc>
      </w:tr>
      <w:tr>
        <w:tc>
          <w:tcPr>
            <w:tcW w:type="dxa" w:w="24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Document Upload &amp; Extraction</w:t>
            </w:r>
          </w:p>
        </w:tc>
        <w:tc>
          <w:tcPr>
            <w:tcW w:type="dxa" w:w="703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Given a supported file is uploaded, when extraction completes, then all detected biomarkers and medications are displayed with a confidence score.</w:t>
            </w:r>
          </w:p>
        </w:tc>
      </w:tr>
      <w:tr>
        <w:tc>
          <w:tcPr>
            <w:tcW w:type="dxa" w:w="24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Document Upload &amp; Extraction</w:t>
            </w:r>
          </w:p>
        </w:tc>
        <w:tc>
          <w:tcPr>
            <w:tcW w:type="dxa" w:w="7038"/>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Given an extracted value, when the user clicks it, then the exact source location is highlighted on the original document.</w:t>
            </w:r>
          </w:p>
        </w:tc>
      </w:tr>
      <w:tr>
        <w:tc>
          <w:tcPr>
            <w:tcW w:type="dxa" w:w="24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Drug Safety Guard</w:t>
            </w:r>
          </w:p>
        </w:tc>
        <w:tc>
          <w:tcPr>
            <w:tcW w:type="dxa" w:w="703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Given two or more active medications with a known interaction, when the safety guard runs, then a clear alert with the interaction mechanism is shown.</w:t>
            </w:r>
          </w:p>
        </w:tc>
      </w:tr>
      <w:tr>
        <w:tc>
          <w:tcPr>
            <w:tcW w:type="dxa" w:w="24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Drug Safety Guard</w:t>
            </w:r>
          </w:p>
        </w:tc>
        <w:tc>
          <w:tcPr>
            <w:tcW w:type="dxa" w:w="7038"/>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Given a documented allergy, when a cross-reactive medication is added, then the system blocks or flags it before saving.</w:t>
            </w:r>
          </w:p>
        </w:tc>
      </w:tr>
      <w:tr>
        <w:tc>
          <w:tcPr>
            <w:tcW w:type="dxa" w:w="24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Emergency (I.C.E.) Pass</w:t>
            </w:r>
          </w:p>
        </w:tc>
        <w:tc>
          <w:tcPr>
            <w:tcW w:type="dxa" w:w="703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Given no network connection, when the emergency pass is opened, then blood group, allergies, medications, and emergency contact are still visible.</w:t>
            </w:r>
          </w:p>
        </w:tc>
      </w:tr>
      <w:tr>
        <w:tc>
          <w:tcPr>
            <w:tcW w:type="dxa" w:w="24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Emergency (I.C.E.) Pass</w:t>
            </w:r>
          </w:p>
        </w:tc>
        <w:tc>
          <w:tcPr>
            <w:tcW w:type="dxa" w:w="7038"/>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Given the QR code is scanned, when opened by a responder, then the triage dossier loads without requiring login.</w:t>
            </w:r>
          </w:p>
        </w:tc>
      </w:tr>
      <w:tr>
        <w:tc>
          <w:tcPr>
            <w:tcW w:type="dxa" w:w="24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HL7 FHIR Export</w:t>
            </w:r>
          </w:p>
        </w:tc>
        <w:tc>
          <w:tcPr>
            <w:tcW w:type="dxa" w:w="7038"/>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Given a patient record, when exported, then the output validates as a well-formed HL7® FHIR® R4 Bundle with Patient, Observation, MedicationStatement, and AllergyIntolerance resources.</w:t>
            </w:r>
          </w:p>
        </w:tc>
      </w:tr>
      <w:tr>
        <w:tc>
          <w:tcPr>
            <w:tcW w:type="dxa" w:w="2400"/>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Family Vault Switching</w:t>
            </w:r>
          </w:p>
        </w:tc>
        <w:tc>
          <w:tcPr>
            <w:tcW w:type="dxa" w:w="7038"/>
            <w:shd w:fill="EAF1E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Given multiple dependent profiles exist, when the user switches profiles, then all displayed data (conditions, allergies, blood type) updates to match the selected profile only.</w:t>
            </w:r>
          </w:p>
        </w:tc>
      </w:tr>
    </w:tbl>
    <w:p>
      <w:pPr>
        <w:pStyle w:val="Heading2"/>
        <w:spacing w:after="150" w:before="300"/>
      </w:pPr>
      <w:r>
        <w:rPr>
          <w:b/>
          <w:bCs/>
          <w:color w:val="2E7D6B"/>
          <w:sz w:val="25"/>
          <w:szCs w:val="25"/>
        </w:rPr>
        <w:t xml:space="preserve">Appendix D — Key Findings from Elicitation</w:t>
      </w:r>
    </w:p>
    <w:p>
      <w:pPr>
        <w:pStyle w:val="ListParagraph"/>
        <w:numPr>
          <w:ilvl w:val="0"/>
          <w:numId w:val="2"/>
        </w:numPr>
        <w:spacing w:after="80"/>
      </w:pPr>
      <w:r>
        <w:rPr>
          <w:rFonts w:ascii="Calibri" w:cs="Calibri" w:eastAsia="Calibri" w:hAnsi="Calibri"/>
          <w:sz w:val="21"/>
          <w:szCs w:val="21"/>
        </w:rPr>
        <w:t xml:space="preserve">Trust and verifiability are the top concern for physicians — they will not act on AI-extracted values unless they can trace them back to the source document.</w:t>
      </w:r>
    </w:p>
    <w:p>
      <w:pPr>
        <w:pStyle w:val="ListParagraph"/>
        <w:numPr>
          <w:ilvl w:val="0"/>
          <w:numId w:val="2"/>
        </w:numPr>
        <w:spacing w:after="80"/>
      </w:pPr>
      <w:r>
        <w:rPr>
          <w:rFonts w:ascii="Calibri" w:cs="Calibri" w:eastAsia="Calibri" w:hAnsi="Calibri"/>
          <w:sz w:val="21"/>
          <w:szCs w:val="21"/>
        </w:rPr>
        <w:t xml:space="preserve">Patients strongly prioritize a single consolidated record over any single advanced feature — the pain of fragmentation outweighs the appeal of AI insights.</w:t>
      </w:r>
    </w:p>
    <w:p>
      <w:pPr>
        <w:pStyle w:val="ListParagraph"/>
        <w:numPr>
          <w:ilvl w:val="0"/>
          <w:numId w:val="2"/>
        </w:numPr>
        <w:spacing w:after="80"/>
      </w:pPr>
      <w:r>
        <w:rPr>
          <w:rFonts w:ascii="Calibri" w:cs="Calibri" w:eastAsia="Calibri" w:hAnsi="Calibri"/>
          <w:sz w:val="21"/>
          <w:szCs w:val="21"/>
        </w:rPr>
        <w:t xml:space="preserve">Emergency access must work fully offline; any dependency on network connectivity is unacceptable for the I.C.E. use case.</w:t>
      </w:r>
    </w:p>
    <w:p>
      <w:pPr>
        <w:pStyle w:val="ListParagraph"/>
        <w:numPr>
          <w:ilvl w:val="0"/>
          <w:numId w:val="2"/>
        </w:numPr>
        <w:spacing w:after="80"/>
      </w:pPr>
      <w:r>
        <w:rPr>
          <w:rFonts w:ascii="Calibri" w:cs="Calibri" w:eastAsia="Calibri" w:hAnsi="Calibri"/>
          <w:sz w:val="21"/>
          <w:szCs w:val="21"/>
        </w:rPr>
        <w:t xml:space="preserve">Drug-drug and drug-allergy interaction checks are viewed as a safety-critical feature, not a nice-to-have, by both patients and physicians.</w:t>
      </w:r>
    </w:p>
    <w:p>
      <w:pPr>
        <w:pStyle w:val="ListParagraph"/>
        <w:numPr>
          <w:ilvl w:val="0"/>
          <w:numId w:val="2"/>
        </w:numPr>
        <w:spacing w:after="80"/>
      </w:pPr>
      <w:r>
        <w:rPr>
          <w:rFonts w:ascii="Calibri" w:cs="Calibri" w:eastAsia="Calibri" w:hAnsi="Calibri"/>
          <w:sz w:val="21"/>
          <w:szCs w:val="21"/>
        </w:rPr>
        <w:t xml:space="preserve">Standardized export (HL7 FHIR) is a strong differentiator for hospital and insurer adoption, reducing integration friction.</w:t>
      </w:r>
    </w:p>
    <w:p>
      <w:pPr>
        <w:pStyle w:val="ListParagraph"/>
        <w:numPr>
          <w:ilvl w:val="0"/>
          <w:numId w:val="2"/>
        </w:numPr>
        <w:spacing w:after="80"/>
      </w:pPr>
      <w:r>
        <w:rPr>
          <w:rFonts w:ascii="Calibri" w:cs="Calibri" w:eastAsia="Calibri" w:hAnsi="Calibri"/>
          <w:sz w:val="21"/>
          <w:szCs w:val="21"/>
        </w:rPr>
        <w:t xml:space="preserve">Multi-profile family management is a recurring need among caregivers managing both children and aging parents.</w:t>
      </w:r>
    </w:p>
    <w:p>
      <w:pPr>
        <w:pStyle w:val="Heading2"/>
        <w:spacing w:after="150" w:before="300"/>
      </w:pPr>
      <w:r>
        <w:rPr>
          <w:b/>
          <w:bCs/>
          <w:color w:val="2E7D6B"/>
          <w:sz w:val="25"/>
          <w:szCs w:val="25"/>
        </w:rPr>
        <w:t xml:space="preserve">Appendix E — Open Items / To Be Determined</w:t>
      </w:r>
    </w:p>
    <w:p>
      <w:pPr>
        <w:pStyle w:val="ListParagraph"/>
        <w:numPr>
          <w:ilvl w:val="0"/>
          <w:numId w:val="2"/>
        </w:numPr>
        <w:spacing w:after="80"/>
      </w:pPr>
      <w:r>
        <w:rPr>
          <w:rFonts w:ascii="Calibri" w:cs="Calibri" w:eastAsia="Calibri" w:hAnsi="Calibri"/>
          <w:sz w:val="21"/>
          <w:szCs w:val="21"/>
        </w:rPr>
        <w:t xml:space="preserve">Final list of team members, roles, and responsibilities (currently only the project lead is confirmed).</w:t>
      </w:r>
    </w:p>
    <w:p>
      <w:pPr>
        <w:pStyle w:val="ListParagraph"/>
        <w:numPr>
          <w:ilvl w:val="0"/>
          <w:numId w:val="2"/>
        </w:numPr>
        <w:spacing w:after="80"/>
      </w:pPr>
      <w:r>
        <w:rPr>
          <w:rFonts w:ascii="Calibri" w:cs="Calibri" w:eastAsia="Calibri" w:hAnsi="Calibri"/>
          <w:sz w:val="21"/>
          <w:szCs w:val="21"/>
        </w:rPr>
        <w:t xml:space="preserve">Actual interview dates, participants, and notes for the stakeholder interviews referenced in the Elicitation Document.</w:t>
      </w:r>
    </w:p>
    <w:p>
      <w:pPr>
        <w:pStyle w:val="ListParagraph"/>
        <w:numPr>
          <w:ilvl w:val="0"/>
          <w:numId w:val="2"/>
        </w:numPr>
        <w:spacing w:after="80"/>
      </w:pPr>
      <w:r>
        <w:rPr>
          <w:rFonts w:ascii="Calibri" w:cs="Calibri" w:eastAsia="Calibri" w:hAnsi="Calibri"/>
          <w:sz w:val="21"/>
          <w:szCs w:val="21"/>
        </w:rPr>
        <w:t xml:space="preserve">Quantified, environment-specific performance targets (e.g., exact p95 latency for OCR extraction) once load-testing infrastructure is available.</w:t>
      </w:r>
    </w:p>
    <w:p>
      <w:pPr>
        <w:pStyle w:val="ListParagraph"/>
        <w:numPr>
          <w:ilvl w:val="0"/>
          <w:numId w:val="2"/>
        </w:numPr>
        <w:spacing w:after="80"/>
      </w:pPr>
      <w:r>
        <w:rPr>
          <w:rFonts w:ascii="Calibri" w:cs="Calibri" w:eastAsia="Calibri" w:hAnsi="Calibri"/>
          <w:sz w:val="21"/>
          <w:szCs w:val="21"/>
        </w:rPr>
        <w:t xml:space="preserve">Formal legal review of HIPAA-alignment claims prior to any production deployment handling real patient data.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MediSage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2026-09-10T05:05:39.558Z</dcterms:created>
  <dcterms:modified xsi:type="dcterms:W3CDTF">2026-09-10T05:05:39.567Z</dcterms:modified>
</cp:coreProperties>
</file>

<file path=docProps/custom.xml><?xml version="1.0" encoding="utf-8"?>
<Properties xmlns="http://schemas.openxmlformats.org/officeDocument/2006/custom-properties" xmlns:vt="http://schemas.openxmlformats.org/officeDocument/2006/docPropsVTypes"/>
</file>