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4"/>
          <w:szCs w:val="34"/>
        </w:rPr>
        <w:t xml:space="preserve">An Exploratory Feature-Space Comparison of One-Time and Incremental Adversarial Updates for Network Intrusion Detection</w:t>
      </w:r>
    </w:p>
    <w:p>
      <w:pPr>
        <w:spacing w:after="60"/>
        <w:jc w:val="center"/>
      </w:pPr>
      <w:r>
        <w:rPr>
          <w:rFonts w:ascii="Times New Roman" w:cs="Times New Roman" w:eastAsia="Times New Roman" w:hAnsi="Times New Roman"/>
          <w:sz w:val="24"/>
          <w:szCs w:val="24"/>
        </w:rPr>
        <w:t xml:space="preserve">Ajay Kumar</w:t>
      </w:r>
    </w:p>
    <w:p>
      <w:pPr>
        <w:spacing w:after="240"/>
        <w:jc w:val="center"/>
      </w:pPr>
      <w:r>
        <w:rPr>
          <w:rFonts w:ascii="Times New Roman" w:cs="Times New Roman" w:eastAsia="Times New Roman" w:hAnsi="Times New Roman"/>
          <w:i/>
          <w:iCs/>
          <w:color w:val="555555"/>
          <w:sz w:val="20"/>
          <w:szCs w:val="20"/>
        </w:rPr>
        <w:t xml:space="preserve">[Affiliation to be supplied]  |  [Email address to be supplied]  |  [Corresponding author to be confirmed]</w:t>
      </w:r>
    </w:p>
    <w:p>
      <w:pPr>
        <w:keepNext/>
        <w:spacing w:after="80" w:before="120"/>
      </w:pPr>
      <w:r>
        <w:rPr>
          <w:rFonts w:ascii="Times New Roman" w:cs="Times New Roman" w:eastAsia="Times New Roman" w:hAnsi="Times New Roman"/>
          <w:b/>
          <w:bCs/>
          <w:sz w:val="24"/>
          <w:szCs w:val="24"/>
        </w:rPr>
        <w:t xml:space="preserve">Abstract</w:t>
      </w:r>
    </w:p>
    <w:p>
      <w:pPr>
        <w:spacing w:after="140" w:line="276"/>
        <w:jc w:val="both"/>
      </w:pPr>
      <w:r>
        <w:rPr>
          <w:rFonts w:ascii="Times New Roman" w:cs="Times New Roman" w:eastAsia="Times New Roman" w:hAnsi="Times New Roman"/>
          <w:sz w:val="22"/>
          <w:szCs w:val="22"/>
        </w:rPr>
        <w:t xml:space="preserve">Network intrusion detectors can be evaded by small changes to flow features, and a deployed detector can be updated from the evasions it observes. This offline, exploratory study asks whether repeated updating offers more resistance than one round of adversarial training. It uses one small multilayer perceptron on UNSW-NB15 with record-level splits, a non-adaptive attacker, labels simulated from dataset ground truth, and three attacks that perturb 11 normalized features, namely one-step (FGSM-like) and five-step (BIM-like) gradient attacks and a decision-only random search. The primary measure is attack-induced attack success rate (ASR) among flows detected before perturbation, at thresholds that target at most 5% validation false-positive rate (FPR). In the original five-seed comparison, one-time static adversarial training had lower observed round-5 ASR than the frozen model and than incremental updating with clean rehearsal in every seed, but it also received a larger training budget. A 20-seed extension therefore matched the number and source-flow set of attack attempts. In both gradient settings, an incremental schedule that trains on all attempts had lower observed ASR than a one-time arm with one two-epoch update in 19 of 20 seeds, was higher than a one-time arm with one ten-epoch update in all 20, and showed no clear separation from a front-loaded arm, added afterwards, that applied initial-model attack vectors in the same five-update structure before round 1. The decision-only setting showed no separation. These contrasts do not identify whether update structure, training exposure, update timing, or the model used to generate the attacks accounts for the gaps. A one-factor sensitivity analysis, run only in the FGSM-like setting, kept the same order in seven configurations. The original static arm stayed lower than its attempt-matched counterpart, an association with its overall training procedure. Clean recall and FPR changed little. Most perturbed flows broke relations that hold in the data, so the results measure sensitivity to unconstrained feature perturbations, not evasion with traffic an attacker could send. No update policy is shown to be generally superior.</w:t>
      </w:r>
    </w:p>
    <w:p>
      <w:pPr>
        <w:spacing w:after="160"/>
      </w:pPr>
      <w:r>
        <w:rPr>
          <w:rFonts w:ascii="Times New Roman" w:cs="Times New Roman" w:eastAsia="Times New Roman" w:hAnsi="Times New Roman"/>
          <w:b/>
          <w:bCs/>
          <w:i/>
          <w:iCs/>
          <w:sz w:val="20"/>
          <w:szCs w:val="20"/>
        </w:rPr>
        <w:t xml:space="preserve">Keywords: </w:t>
      </w:r>
      <w:r>
        <w:rPr>
          <w:rFonts w:ascii="Times New Roman" w:cs="Times New Roman" w:eastAsia="Times New Roman" w:hAnsi="Times New Roman"/>
          <w:i/>
          <w:iCs/>
          <w:sz w:val="20"/>
          <w:szCs w:val="20"/>
        </w:rPr>
        <w:t xml:space="preserve">network intrusion detection, adversarial training, incremental learning, evasion attacks, continual learning, UNSW-NB15</w:t>
      </w:r>
    </w:p>
    <w:p>
      <w:pPr>
        <w:pStyle w:val="Heading1"/>
        <w:keepNext/>
        <w:spacing w:after="160" w:before="360"/>
      </w:pPr>
      <w:r>
        <w:rPr>
          <w:rFonts w:ascii="Times New Roman" w:cs="Times New Roman" w:eastAsia="Times New Roman" w:hAnsi="Times New Roman"/>
          <w:b/>
          <w:bCs/>
          <w:sz w:val="28"/>
          <w:szCs w:val="28"/>
        </w:rPr>
        <w:t xml:space="preserve">1. Introduction</w:t>
      </w:r>
    </w:p>
    <w:p>
      <w:pPr>
        <w:spacing w:after="140" w:line="276"/>
        <w:jc w:val="both"/>
      </w:pPr>
      <w:r>
        <w:rPr>
          <w:rFonts w:ascii="Times New Roman" w:cs="Times New Roman" w:eastAsia="Times New Roman" w:hAnsi="Times New Roman"/>
          <w:sz w:val="22"/>
          <w:szCs w:val="22"/>
        </w:rPr>
        <w:t xml:space="preserve">Network intrusion detection systems (NIDS) inspect traffic and label connections or flows as benign or malicious. Deep learning models are attractive for this task, but small, deliberate changes to flow features can move a malicious flow across the decision boundary and cause it to be classified as benign [1]. Surveys of this literature organize attacks by what the attacker knows and by whether perturbations are applied to feature vectors or to the traffic itself [2], and NIDS-specific reviews examine how structured network data differs from the image settings in which most adversarial methods were developed [3].</w:t>
      </w:r>
    </w:p>
    <w:p>
      <w:pPr>
        <w:spacing w:after="140" w:line="276"/>
        <w:jc w:val="both"/>
      </w:pPr>
      <w:r>
        <w:rPr>
          <w:rFonts w:ascii="Times New Roman" w:cs="Times New Roman" w:eastAsia="Times New Roman" w:hAnsi="Times New Roman"/>
          <w:sz w:val="22"/>
          <w:szCs w:val="22"/>
        </w:rPr>
        <w:t xml:space="preserve">Whether a perturbed feature vector corresponds to traffic that an attacker could actually send is a separate question. Studies of realistic attacks stress that perturbations must respect the constraints of real traffic [4], [5]. Our experiments perturb normalized flow features directly, so the attack success rate (ASR) that we report, which we call attack-induced ASR because it counts only flows detected before perturbation (Section 4.7), describes feature-space vulnerability and should not be read as a rate of end-to-end evasion.</w:t>
      </w:r>
    </w:p>
    <w:p>
      <w:pPr>
        <w:spacing w:after="140" w:line="276"/>
        <w:jc w:val="both"/>
      </w:pPr>
      <w:r>
        <w:rPr>
          <w:rFonts w:ascii="Times New Roman" w:cs="Times New Roman" w:eastAsia="Times New Roman" w:hAnsi="Times New Roman"/>
          <w:sz w:val="22"/>
          <w:szCs w:val="22"/>
        </w:rPr>
        <w:t xml:space="preserve">Defenses proposed for NIDS include an adversarial training framework [6], simple robustness-enhancing frameworks [7], and approaches aimed at generalized or hybrid robustness [8], [9]. Most such work compares a defended and an undefended model at a single point in time. Deployed detectors, however, can be updated. A defender could confirm evasions that slipped through and use those samples to retrain the model, and this feedback step is the setting studied here. Research on adaptive and continual NIDS addresses data drift, performance degradation, and catastrophic forgetting through meta-learning, memory replay, and comparisons of continual-learning methods [10]–[12]. A recent preprint on dynamic NIDS reports that continuous retraining can reduce attack effectiveness even without adversarial training [13]. Together, these lines of work make repeated updating plausible. The studies we reviewed do not directly compare it with a one-time adversarial training step under a common dataset, a common per-round attacker budget, and a common account of clean-traffic cost, so it remains unclear whether repeated updating is preferable and what it costs in false alarms.</w:t>
      </w:r>
    </w:p>
    <w:p>
      <w:pPr>
        <w:spacing w:after="140" w:line="276"/>
        <w:jc w:val="both"/>
      </w:pPr>
      <w:r>
        <w:rPr>
          <w:rFonts w:ascii="Times New Roman" w:cs="Times New Roman" w:eastAsia="Times New Roman" w:hAnsi="Times New Roman"/>
          <w:sz w:val="22"/>
          <w:szCs w:val="22"/>
        </w:rPr>
        <w:t xml:space="preserve">Measurement adds a second difficulty. If updating changes how a model scores flows, attack-induced ASR and false-positive rate (FPR) measured at one fixed threshold can describe different operating points for different models, which makes comparisons across update policies hard to interpret. We therefore add a validation-calibrated analysis in which each model receives its own threshold, selected on its own validation data to give at most a 5% false-positive rate there. This procedure does not fix the test false-positive rate at 5%. Test FPR values are measured separately and reported as observed (five-seed means of about 14% to 16% across arms, and 13.22% to 17.02% across the 90 round-5 seed, arm, and attack runs), and the test set is never used to choose a threshold. The primary measure is the attack-induced ASR, the share of flows that a model detects before perturbation and that the attack then moves to the benign side. The post-attack benign rate over all evaluation flows is secondary, and results at the original fixed threshold are kept as a secondary comparison.</w:t>
      </w:r>
    </w:p>
    <w:p>
      <w:pPr>
        <w:spacing w:after="140" w:line="276"/>
        <w:jc w:val="both"/>
      </w:pPr>
      <w:r>
        <w:rPr>
          <w:rFonts w:ascii="Times New Roman" w:cs="Times New Roman" w:eastAsia="Times New Roman" w:hAnsi="Times New Roman"/>
          <w:sz w:val="22"/>
          <w:szCs w:val="22"/>
        </w:rPr>
        <w:t xml:space="preserve">This paper compares five update policies on the predefined UNSW-NB15 training and test split [14]. They are a frozen clean model, one-time static adversarial training, incremental updates with clean rehearsal, incremental updates without rehearsal, and a balanced-replay variant with a lower learning rate. A sixth, clean-continued control receives the same extra training epochs as the static policy but no adversarial examples. It gives a descriptive comparison of extra clean training under the tested configuration. Because the arms differ in their training data and budgets, the study does not isolate causal effects. In each of five rounds, every policy faces a fresh attack of equal budget that is generated against its own current model. We use an FGSM-like single-step attack, a BIM-like five-step attack, and a decision-only attack that observes hard labels, with five random seeds. In the decision-only evaluation, the static arm is trained using FGSM-like examples, so this is a cross-attack comparison rather than a threat-model-matched static baseline. UNSW-NB15 is a widely cited benchmark [14], but it has documented class overlap and imbalance [15], so we treat the results as a controlled benchmark comparison and not as evidence of deployment performance.</w:t>
      </w:r>
    </w:p>
    <w:p>
      <w:pPr>
        <w:spacing w:after="140" w:line="276"/>
        <w:jc w:val="both"/>
      </w:pPr>
      <w:r>
        <w:rPr>
          <w:rFonts w:ascii="Times New Roman" w:cs="Times New Roman" w:eastAsia="Times New Roman" w:hAnsi="Times New Roman"/>
          <w:sz w:val="22"/>
          <w:szCs w:val="22"/>
        </w:rPr>
        <w:t xml:space="preserve">The five-seed comparison has a design limit. The static arm trains on 500 adversarial examples, while the incremental arms train on about 21 to 111 successful evasions, so the comparison cannot separate the schedule from the amount of adversarial data. We therefore add a 20-seed extension (Section 4.9) that matches the number and source-flow set of attack attempts. One-time and incremental schedules each train on attempts made on the same 500 adaptation flows, under the same rule within each update. The matched incremental schedule trains on every attempt, not only on successful evasions, so it is a different policy from the original incremental arms. The matched arms also differ in total training exposure unless one is built to match it, and one such arm is included. The extension also adds a static arm trained on decision-only examples, a sensitivity analysis of update settings in the FGSM-like setting, and a measurement of how far the perturbations move flows in raw units and whether they keep relations that hold in the data (Sections 5.8 to 5.10).</w:t>
      </w:r>
    </w:p>
    <w:p>
      <w:pPr>
        <w:spacing w:after="140" w:line="276"/>
        <w:jc w:val="both"/>
      </w:pPr>
      <w:r>
        <w:rPr>
          <w:rFonts w:ascii="Times New Roman" w:cs="Times New Roman" w:eastAsia="Times New Roman" w:hAnsi="Times New Roman"/>
          <w:sz w:val="22"/>
          <w:szCs w:val="22"/>
        </w:rPr>
        <w:t xml:space="preserve">The motivating scenario is an interaction in which an attacker adapts to a deployed detector and the defender responds by updating from successful evasions. The experiment in this paper does not model that interaction, because its attacker is non-adaptive (Section 3.1). Section 2 reviews the relevant studies and states the research gap at its end. Section 3 gives the study's aim, objectives, and research questions, and Section 4 describes the method. Section 5 reports the original five-seed results, the 20-seed extension, and the perturbation measurements, Section 6 discusses them with the study's limitations, and Section 7 concludes.</w:t>
      </w:r>
    </w:p>
    <w:p>
      <w:pPr>
        <w:pStyle w:val="Heading1"/>
        <w:keepNext/>
        <w:spacing w:after="160" w:before="360"/>
      </w:pPr>
      <w:r>
        <w:rPr>
          <w:rFonts w:ascii="Times New Roman" w:cs="Times New Roman" w:eastAsia="Times New Roman" w:hAnsi="Times New Roman"/>
          <w:b/>
          <w:bCs/>
          <w:sz w:val="28"/>
          <w:szCs w:val="28"/>
        </w:rPr>
        <w:t xml:space="preserve">2. Related Work</w:t>
      </w:r>
    </w:p>
    <w:p>
      <w:pPr>
        <w:spacing w:after="140" w:line="276"/>
        <w:jc w:val="both"/>
      </w:pPr>
      <w:r>
        <w:rPr>
          <w:rFonts w:ascii="Times New Roman" w:cs="Times New Roman" w:eastAsia="Times New Roman" w:hAnsi="Times New Roman"/>
          <w:sz w:val="22"/>
          <w:szCs w:val="22"/>
        </w:rPr>
        <w:t xml:space="preserve">This section reviews the work that bears most directly on the study. It covers how evasion attacks against NIDS are categorized, how realistic feature-space attacks are, how published defenses differ, how detectors are updated over time, and how such comparisons are evaluated. It closes by stating where the present study sits.</w:t>
      </w:r>
    </w:p>
    <w:p>
      <w:pPr>
        <w:pStyle w:val="Heading2"/>
        <w:keepNext/>
        <w:spacing w:after="120" w:before="240"/>
      </w:pPr>
      <w:r>
        <w:rPr>
          <w:rFonts w:ascii="Times New Roman" w:cs="Times New Roman" w:eastAsia="Times New Roman" w:hAnsi="Times New Roman"/>
          <w:b/>
          <w:bCs/>
          <w:sz w:val="24"/>
          <w:szCs w:val="24"/>
        </w:rPr>
        <w:t xml:space="preserve">2.1 Evasion attacks against NIDS</w:t>
      </w:r>
    </w:p>
    <w:p>
      <w:pPr>
        <w:spacing w:after="140" w:line="276"/>
        <w:jc w:val="both"/>
      </w:pPr>
      <w:r>
        <w:rPr>
          <w:rFonts w:ascii="Times New Roman" w:cs="Times New Roman" w:eastAsia="Times New Roman" w:hAnsi="Times New Roman"/>
          <w:sz w:val="22"/>
          <w:szCs w:val="22"/>
        </w:rPr>
        <w:t xml:space="preserve">Small perturbations that change the output of deep neural networks were widely reported for image classifiers [16]. Adversarial machine learning for NIDS has been surveyed broadly [17]. Vitorino et al. systematize attacks and defenses for intelligent NIDS with a focus on realism, and they define two properties an adversarial example needs in this setting, validity (it follows the structure of network traffic) and coherence (it preserves the functionality of its attack class) [4]. A second way to categorize attacks is by attacker knowledge. In the white-box case the attacker can compute gradients of the detector. The fast gradient sign method (FGSM) takes one step along the sign of the loss gradient [18]. The basic iterative method (BIM) repeats several smaller steps [19], and projected gradient descent (PGD) adds a projection step and, in its usual form, a random start [20]. Gradient-based attacks have been adapted to deep learning NIDS [1], and adversarial examples against NIDS have been studied in their own right [21]. When the attacker sees only the detector's output, decision-based methods apply. Brendel et al. showed that an attack that uses only the final decision of a black-box model can still be reliable [22].</w:t>
      </w:r>
    </w:p>
    <w:p>
      <w:pPr>
        <w:spacing w:after="140" w:line="276"/>
        <w:jc w:val="both"/>
      </w:pPr>
      <w:r>
        <w:rPr>
          <w:rFonts w:ascii="Times New Roman" w:cs="Times New Roman" w:eastAsia="Times New Roman" w:hAnsi="Times New Roman"/>
          <w:sz w:val="22"/>
          <w:szCs w:val="22"/>
        </w:rPr>
        <w:t xml:space="preserve">The present study uses an FGSM-like attack and a five-step BIM-like attack (no random start) as white-box settings, and a randomized search with a per-sample query limit as a hard-label setting. Table 1 places these settings against the categories used in the literature.</w:t>
      </w:r>
    </w:p>
    <w:p>
      <w:pPr>
        <w:keepNext/>
        <w:spacing w:after="120" w:before="120"/>
        <w:jc w:val="left"/>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Attack settings in the literature and in this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000"/>
        <w:gridCol w:w="2960"/>
      </w:tblGrid>
      <w:tr>
        <w:trPr>
          <w:cantSplit/>
          <w:tblHeader/>
        </w:trPr>
        <w:tc>
          <w:tcPr>
            <w:tcW w:type="dxa" w:w="19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Attacker knowledge</w:t>
            </w:r>
          </w:p>
        </w:tc>
        <w:tc>
          <w:tcPr>
            <w:tcW w:type="dxa" w:w="15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Perturbation space</w:t>
            </w:r>
          </w:p>
        </w:tc>
        <w:tc>
          <w:tcPr>
            <w:tcW w:type="dxa" w:w="30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Representative literature</w:t>
            </w:r>
          </w:p>
        </w:tc>
        <w:tc>
          <w:tcPr>
            <w:tcW w:type="dxa" w:w="296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In this study</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White-box (model gradients)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Feature space</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FGSM [18], BIM [19], PGD [20], applied to NIDS in [1], [21]</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FGSM-like and five-step BIM-like attacks on 11 normalized features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Decision-only (hard labels, query limited)</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Feature space</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Decision-based attacks [22]</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Randomized search, at most 50 queries per sample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Any</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Problem space (modified traffic)</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[5], [23], [24]</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Not covered</w:t>
            </w:r>
          </w:p>
        </w:tc>
      </w:tr>
    </w:tbl>
    <w:p>
      <w:pPr>
        <w:spacing w:after="120"/>
      </w:pPr>
    </w:p>
    <w:p>
      <w:pPr>
        <w:spacing w:after="140" w:line="276"/>
        <w:jc w:val="both"/>
      </w:pPr>
      <w:r>
        <w:rPr>
          <w:rFonts w:ascii="Times New Roman" w:cs="Times New Roman" w:eastAsia="Times New Roman" w:hAnsi="Times New Roman"/>
          <w:sz w:val="22"/>
          <w:szCs w:val="22"/>
        </w:rPr>
        <w:t xml:space="preserve">Table 1 shows that every attack in this study sits in the feature-space rows. That choice keeps the attack budget identical across update policies, but it also limits what the results can say, as the next subsection explains.</w:t>
      </w:r>
    </w:p>
    <w:p>
      <w:pPr>
        <w:pStyle w:val="Heading2"/>
        <w:keepNext/>
        <w:spacing w:after="120" w:before="240"/>
      </w:pPr>
      <w:r>
        <w:rPr>
          <w:rFonts w:ascii="Times New Roman" w:cs="Times New Roman" w:eastAsia="Times New Roman" w:hAnsi="Times New Roman"/>
          <w:b/>
          <w:bCs/>
          <w:sz w:val="24"/>
          <w:szCs w:val="24"/>
        </w:rPr>
        <w:t xml:space="preserve">2.2 Feature space versus problem space</w:t>
      </w:r>
    </w:p>
    <w:p>
      <w:pPr>
        <w:spacing w:after="140" w:line="276"/>
        <w:jc w:val="both"/>
      </w:pPr>
      <w:r>
        <w:rPr>
          <w:rFonts w:ascii="Times New Roman" w:cs="Times New Roman" w:eastAsia="Times New Roman" w:hAnsi="Times New Roman"/>
          <w:sz w:val="22"/>
          <w:szCs w:val="22"/>
        </w:rPr>
        <w:t xml:space="preserve">Most gradient-based attacks perturb feature vectors directly. A real attacker can only change traffic, and a perturbed feature vector may not correspond to any valid flow. Apruzzese et al. modeled realistic attacks against NIDS with this constraint in mind [23], and Merzouk et al. examined how practical evasion attacks on NIDS are [24]. Adv-Bot constructs botnet attacks that are designed to remain realistic [5]. The realism requirement is also the organizing theme of the review in [4].</w:t>
      </w:r>
    </w:p>
    <w:p>
      <w:pPr>
        <w:spacing w:after="140" w:line="276"/>
        <w:jc w:val="both"/>
      </w:pPr>
      <w:r>
        <w:rPr>
          <w:rFonts w:ascii="Times New Roman" w:cs="Times New Roman" w:eastAsia="Times New Roman" w:hAnsi="Times New Roman"/>
          <w:sz w:val="22"/>
          <w:szCs w:val="22"/>
        </w:rPr>
        <w:t xml:space="preserve">For this paper the consequence is direct. The attacks here change 11 normalized features and do not check that the result could occur in executable traffic. Reported attack-induced ASR values therefore measure how sensitive each detector is to bounded feature perturbations. They should not be read as the evasion rate a real adversary would achieve.</w:t>
      </w:r>
    </w:p>
    <w:p>
      <w:pPr>
        <w:pStyle w:val="Heading2"/>
        <w:keepNext/>
        <w:spacing w:after="120" w:before="240"/>
      </w:pPr>
      <w:r>
        <w:rPr>
          <w:rFonts w:ascii="Times New Roman" w:cs="Times New Roman" w:eastAsia="Times New Roman" w:hAnsi="Times New Roman"/>
          <w:b/>
          <w:bCs/>
          <w:sz w:val="24"/>
          <w:szCs w:val="24"/>
        </w:rPr>
        <w:t xml:space="preserve">2.3 Defenses for NIDS</w:t>
      </w:r>
    </w:p>
    <w:p>
      <w:pPr>
        <w:spacing w:after="140" w:line="276"/>
        <w:jc w:val="both"/>
      </w:pPr>
      <w:r>
        <w:rPr>
          <w:rFonts w:ascii="Times New Roman" w:cs="Times New Roman" w:eastAsia="Times New Roman" w:hAnsi="Times New Roman"/>
          <w:sz w:val="22"/>
          <w:szCs w:val="22"/>
        </w:rPr>
        <w:t xml:space="preserve">The defenses proposed for NIDS differ in design, so they are better described one by one than as a single group. AIDTF is presented as an adversarial training framework for intrusion detection [6]. Yuan et al. describe a hybrid architecture in which a detector first decides whether an input is adversarial, and a classical machine learning model then makes the final decision for flagged inputs while the deep learning model decides the rest [7]. NIDS-Vis introduces a black-box method that explores the decision boundary around given inputs, and it proposes two training techniques, feature space partitioning and a distributional loss, to improve robustness without substantially reducing performance [8]. Saha et al. combine adversarial training with calibration monitoring and evaluate against FGSM and PGD [9].</w:t>
      </w:r>
    </w:p>
    <w:p>
      <w:pPr>
        <w:spacing w:after="140" w:line="276"/>
        <w:jc w:val="both"/>
      </w:pPr>
      <w:r>
        <w:rPr>
          <w:rFonts w:ascii="Times New Roman" w:cs="Times New Roman" w:eastAsia="Times New Roman" w:hAnsi="Times New Roman"/>
          <w:sz w:val="22"/>
          <w:szCs w:val="22"/>
        </w:rPr>
        <w:t xml:space="preserve">These works address how to build a more robust detector, using training, input screening, or boundary-aware design. The present study asks a different question. Given a detector that has already been deployed and has been evaded, how should it be updated after successful evasions, and does repeated updating offer anything beyond a single round of adversarial training? Several of the works above also report clean-data behavior alongside robustness, for example [7] and [9], and this study follows that practice because a robustness gain obtained by flagging more benign traffic is not a useful gain. The cost of adversarial training for clean accuracy has been documented for image classifiers [25], which is one reason clean-side measures are reported here.</w:t>
      </w:r>
    </w:p>
    <w:p>
      <w:pPr>
        <w:pStyle w:val="Heading2"/>
        <w:keepNext/>
        <w:spacing w:after="120" w:before="240"/>
      </w:pPr>
      <w:r>
        <w:rPr>
          <w:rFonts w:ascii="Times New Roman" w:cs="Times New Roman" w:eastAsia="Times New Roman" w:hAnsi="Times New Roman"/>
          <w:b/>
          <w:bCs/>
          <w:sz w:val="24"/>
          <w:szCs w:val="24"/>
        </w:rPr>
        <w:t xml:space="preserve">2.4 Updating detectors over time</w:t>
      </w:r>
    </w:p>
    <w:p>
      <w:pPr>
        <w:spacing w:after="140" w:line="276"/>
        <w:jc w:val="both"/>
      </w:pPr>
      <w:r>
        <w:rPr>
          <w:rFonts w:ascii="Times New Roman" w:cs="Times New Roman" w:eastAsia="Times New Roman" w:hAnsi="Times New Roman"/>
          <w:sz w:val="22"/>
          <w:szCs w:val="22"/>
        </w:rPr>
        <w:t xml:space="preserve">Neural networks that are updated on new data can lose earlier knowledge, a problem known as catastrophic forgetting [26]. Experience replay, which mixes stored earlier examples into later updates, is a standard remedy [27]. In intrusion detection, replay-based continual learning approaches have been proposed [28], and adaptive memory replay has been applied to data drift and forgetting [11]. Other work addresses performance degradation through meta-learning [10] and compares continual learning methods for intrusion detection [12]. The studies in this group are mainly motivated by drift and new traffic rather than by an adversary who responds to the deployed model.</w:t>
      </w:r>
    </w:p>
    <w:p>
      <w:pPr>
        <w:spacing w:after="140" w:line="276"/>
        <w:jc w:val="both"/>
      </w:pPr>
      <w:r>
        <w:rPr>
          <w:rFonts w:ascii="Times New Roman" w:cs="Times New Roman" w:eastAsia="Times New Roman" w:hAnsi="Times New Roman"/>
          <w:sz w:val="22"/>
          <w:szCs w:val="22"/>
        </w:rPr>
        <w:t xml:space="preserve">The closest prior work we identified on dynamic NIDS under evasion is by elShehaby and Matrawy [13]. It is a preprint (arXiv:2306.05494, current version titled “Evasion Adversarial Attacks Remain Impractical Against ML-based Network Intrusion Detection Systems, Especially Dynamic Ones”) and has not been confirmed as peer reviewed. According to its abstract, it uses an attack-tree threat model to identify practicality barriers to evasion, and it studies how regularly updated, dynamic models respond to such attacks. It reports that continuous retraining can reduce attack effectiveness even without adversarial training [13]. This is directly relevant to our question, and it shows that dynamic NIDS under evasion has been examined.</w:t>
      </w:r>
    </w:p>
    <w:p>
      <w:pPr>
        <w:spacing w:after="140" w:line="276"/>
        <w:jc w:val="both"/>
      </w:pPr>
      <w:r>
        <w:rPr>
          <w:rFonts w:ascii="Times New Roman" w:cs="Times New Roman" w:eastAsia="Times New Roman" w:hAnsi="Times New Roman"/>
          <w:sz w:val="22"/>
          <w:szCs w:val="22"/>
        </w:rPr>
        <w:t xml:space="preserve">The present study differs in its design. It evaluates bounded, feedback-driven updates that use newly successful evasions, compares incremental updating with one-time adversarial training and with a clean-continued control, and applies a common per-round attacker budget to every update policy. The labels used for those updates are simulated from dataset ground truth and are not analyst-confirmed. The two replay-based arms in our design, incremental updating with a clean rehearsal memory and the balanced-replay variant, follow the replay approach in [27]. [26] documents the forgetting problem that the no-rehearsal arm is designed to expose.</w:t>
      </w:r>
    </w:p>
    <w:p>
      <w:pPr>
        <w:pStyle w:val="Heading2"/>
        <w:keepNext/>
        <w:spacing w:after="120" w:before="240"/>
      </w:pPr>
      <w:r>
        <w:rPr>
          <w:rFonts w:ascii="Times New Roman" w:cs="Times New Roman" w:eastAsia="Times New Roman" w:hAnsi="Times New Roman"/>
          <w:b/>
          <w:bCs/>
          <w:sz w:val="24"/>
          <w:szCs w:val="24"/>
        </w:rPr>
        <w:t xml:space="preserve">2.5 Evaluation practice and the dataset</w:t>
      </w:r>
    </w:p>
    <w:p>
      <w:pPr>
        <w:spacing w:after="140" w:line="276"/>
        <w:jc w:val="both"/>
      </w:pPr>
      <w:r>
        <w:rPr>
          <w:rFonts w:ascii="Times New Roman" w:cs="Times New Roman" w:eastAsia="Times New Roman" w:hAnsi="Times New Roman"/>
          <w:sz w:val="22"/>
          <w:szCs w:val="22"/>
        </w:rPr>
        <w:t xml:space="preserve">Arp et al. catalog recurring pitfalls in the evaluation of learning-based security systems, including tuning on test data [29]. Their work supports general caution of this kind. It does not prescribe any particular operating point, and the 5% value used here is this study's own protocol. For each model checkpoint, the threshold is selected on validation data to target at most 5% validation FPR, and the test set is not used for tuning. Test FPR is measured separately and is not constrained to 5%. Section 5.1 reports the resulting test FPR values. We therefore describe the primary analysis as a validation-calibrated threshold comparison, and not as a comparison at equal test-set operating points.</w:t>
      </w:r>
    </w:p>
    <w:p>
      <w:pPr>
        <w:spacing w:after="140" w:line="276"/>
        <w:jc w:val="both"/>
      </w:pPr>
      <w:r>
        <w:rPr>
          <w:rFonts w:ascii="Times New Roman" w:cs="Times New Roman" w:eastAsia="Times New Roman" w:hAnsi="Times New Roman"/>
          <w:sz w:val="22"/>
          <w:szCs w:val="22"/>
        </w:rPr>
        <w:t xml:space="preserve">Robustness estimates can also be optimistic when the attack is weaker than one a defender would face. Carlini and Wagner showed that several proposed defenses could be circumvented by stronger attacks [30], and Tramèr et al. showed that several published defenses, evaluated against non-adaptive attacks, were broken by adaptive ones [31]. This matters here because the attacker in this study is non-adaptive (Section 6.5).</w:t>
      </w:r>
    </w:p>
    <w:p>
      <w:pPr>
        <w:spacing w:after="140" w:line="276"/>
        <w:jc w:val="both"/>
      </w:pPr>
      <w:r>
        <w:rPr>
          <w:rFonts w:ascii="Times New Roman" w:cs="Times New Roman" w:eastAsia="Times New Roman" w:hAnsi="Times New Roman"/>
          <w:sz w:val="22"/>
          <w:szCs w:val="22"/>
        </w:rPr>
        <w:t xml:space="preserve">The evaluation uses UNSW-NB15 [14]. Zoghi and Serpen report class overlap and imbalance in UNSW-NB15 and show that adjusting the decision threshold is one way to handle them [15]. This supports reporting FPR and threshold choice explicitly, and it is one reason a single fixed threshold is not assumed to remain appropriate after a model is updated. Axelsson argued that, because intrusions are rare relative to benign activity, the false-alarm rate is often the limiting factor in intrusion detection performance [32].</w:t>
      </w:r>
    </w:p>
    <w:p>
      <w:pPr>
        <w:pStyle w:val="Heading2"/>
        <w:keepNext/>
        <w:spacing w:after="120" w:before="240"/>
      </w:pPr>
      <w:r>
        <w:rPr>
          <w:rFonts w:ascii="Times New Roman" w:cs="Times New Roman" w:eastAsia="Times New Roman" w:hAnsi="Times New Roman"/>
          <w:b/>
          <w:bCs/>
          <w:sz w:val="24"/>
          <w:szCs w:val="24"/>
        </w:rPr>
        <w:t xml:space="preserve">2.6 Research Gap</w:t>
      </w:r>
    </w:p>
    <w:p>
      <w:pPr>
        <w:spacing w:after="140" w:line="276"/>
        <w:jc w:val="both"/>
      </w:pPr>
      <w:r>
        <w:rPr>
          <w:rFonts w:ascii="Times New Roman" w:cs="Times New Roman" w:eastAsia="Times New Roman" w:hAnsi="Times New Roman"/>
          <w:sz w:val="22"/>
          <w:szCs w:val="22"/>
        </w:rPr>
        <w:t xml:space="preserve">Three points emerge from the reviewed studies. First, adversarial training and related defenses can improve robustness against the attacks used in their own evaluations, and some of them report clean-data behavior alongside robustness [6]–[9]. Second, several of the attacks reviewed perturb feature vectors directly, and whether the perturbed records correspond to valid traffic is a separate question [4], [5], [23], [24]. Third, the continual-learning studies we reviewed are framed mainly around drift and forgetting, and the abstracts we read do not describe updates driven by evasions [10]–[12], [26]–[28].</w:t>
      </w:r>
    </w:p>
    <w:p>
      <w:pPr>
        <w:spacing w:after="140" w:line="276"/>
        <w:jc w:val="both"/>
      </w:pPr>
      <w:r>
        <w:rPr>
          <w:rFonts w:ascii="Times New Roman" w:cs="Times New Roman" w:eastAsia="Times New Roman" w:hAnsi="Times New Roman"/>
          <w:sz w:val="22"/>
          <w:szCs w:val="22"/>
        </w:rPr>
        <w:t xml:space="preserve">Two recent studies come closer in structure to this design than the preprint discussed in Section 2.4 [13]. In the first, a reinforcement learning attacker changes its perturbation strategy across alternating rounds against an XGBoost detector trained on CICIDS-2017 and the ACI IoT 2023 dataset, while a reinforcement learning defender chooses after each data batch among online learning, active learning, continual learning, and pseudo labeling. The active-learning option queries labels [33]. In the second, contrastively trained reinforcement learning attackers, each learning a distinct perturbation strategy on CICIDS-2017 packet features, are deployed in sequence against an XGBoost detector, while a reinforcement learning defender chooses among online learning, active learning, continual learning, and pseudo labeling. The authors report that post-attack accuracy fell to an average of 35% in their runs despite retraining [34]. We read the full texts of both studies. Both model attackers that change strategy across rounds against an updating defender, which the present study does not. Both report accuracy as their main outcome, and neither reports clean false-positive rates, label counts, or query counts for the update policies compared here.</w:t>
      </w:r>
    </w:p>
    <w:p>
      <w:pPr>
        <w:spacing w:after="140" w:line="276"/>
        <w:jc w:val="both"/>
      </w:pPr>
      <w:r>
        <w:rPr>
          <w:rFonts w:ascii="Times New Roman" w:cs="Times New Roman" w:eastAsia="Times New Roman" w:hAnsi="Times New Roman"/>
          <w:sz w:val="22"/>
          <w:szCs w:val="22"/>
        </w:rPr>
        <w:t xml:space="preserve">Against this background, among the studies we reviewed we did not find a direct comparison in which a detector is updated repeatedly from its own successful evasions, against a non-adaptive attacker, and compared with a one-time adversarial training step under a shared dataset, attack schedule, and per-round attacker budget, with clean recall, false-positive rate, label counts, and query counts reported together. The gap is specific to the studies reviewed here. It concerns how repeated, evasion-driven updating compares with one-time training under a common protocol when the attacker does not respond to the defender. It does not concern whether adaptive or dynamic defenses have been studied at all.</w:t>
      </w:r>
    </w:p>
    <w:p>
      <w:pPr>
        <w:spacing w:after="140" w:line="276"/>
        <w:jc w:val="both"/>
      </w:pPr>
      <w:r>
        <w:rPr>
          <w:rFonts w:ascii="Times New Roman" w:cs="Times New Roman" w:eastAsia="Times New Roman" w:hAnsi="Times New Roman"/>
          <w:sz w:val="22"/>
          <w:szCs w:val="22"/>
        </w:rPr>
        <w:t xml:space="preserve">This study addresses that gap in a limited setting, and only for the configurations it tests. It compares five update policies with a clean-continued control on UNSW-NB15 over five rounds. The arms share a per-round attacker budget. Each arm is attacked at its own current model with the same number of flows, the same perturbation bound, and the same query limit for the decision-only attack. The arms do not receive matched amounts of adversarial training data, however. The one-time static arm trains on 500 pre-built adversarial examples. The incremental arms update from the successful evasions of each round, and arms C and E also replay a fixed memory. Labels for successful evasions are simulated from dataset ground truth, and no analyst reviewed them. Because the training-data budgets differ, the comparison describes the configurations tested. It does not isolate the causal effect of the update strategy alone. A 20-seed extension therefore matches the number and source-flow set of attack attempts across one-time and incremental schedules (Section 4.9). Section 3 states the aim, objectives, and research questions.</w:t>
      </w:r>
    </w:p>
    <w:p>
      <w:pPr>
        <w:pStyle w:val="Heading1"/>
        <w:keepNext/>
        <w:spacing w:after="160" w:before="360"/>
      </w:pPr>
      <w:r>
        <w:rPr>
          <w:rFonts w:ascii="Times New Roman" w:cs="Times New Roman" w:eastAsia="Times New Roman" w:hAnsi="Times New Roman"/>
          <w:b/>
          <w:bCs/>
          <w:sz w:val="28"/>
          <w:szCs w:val="28"/>
        </w:rPr>
        <w:t xml:space="preserve">3. Study Aim, Objectives and Research Questions</w:t>
      </w:r>
    </w:p>
    <w:p>
      <w:pPr>
        <w:pStyle w:val="Heading2"/>
        <w:keepNext/>
        <w:spacing w:after="120" w:before="240"/>
      </w:pPr>
      <w:r>
        <w:rPr>
          <w:rFonts w:ascii="Times New Roman" w:cs="Times New Roman" w:eastAsia="Times New Roman" w:hAnsi="Times New Roman"/>
          <w:b/>
          <w:bCs/>
          <w:sz w:val="24"/>
          <w:szCs w:val="24"/>
        </w:rPr>
        <w:t xml:space="preserve">3.1 Aim</w:t>
      </w:r>
    </w:p>
    <w:p>
      <w:pPr>
        <w:spacing w:after="140" w:line="276"/>
        <w:jc w:val="both"/>
      </w:pPr>
      <w:r>
        <w:rPr>
          <w:rFonts w:ascii="Times New Roman" w:cs="Times New Roman" w:eastAsia="Times New Roman" w:hAnsi="Times New Roman"/>
          <w:sz w:val="22"/>
          <w:szCs w:val="22"/>
        </w:rPr>
        <w:t xml:space="preserve">The aim of this study is to compare, round by round, how a network intrusion detector responds under different ways of updating it from its own newly successful evasions. The comparison covers attack outcomes, clean-traffic detection, simulated feedback labels, adaptation-stage queries, and training and attack time. The study is exploratory. It does not assume that incremental updating is better, and its results describe the configurations tested, not deployed robustness.</w:t>
      </w:r>
    </w:p>
    <w:p>
      <w:pPr>
        <w:spacing w:after="140" w:line="276"/>
        <w:jc w:val="both"/>
      </w:pPr>
      <w:r>
        <w:rPr>
          <w:rFonts w:ascii="Times New Roman" w:cs="Times New Roman" w:eastAsia="Times New Roman" w:hAnsi="Times New Roman"/>
          <w:sz w:val="22"/>
          <w:szCs w:val="22"/>
        </w:rPr>
        <w:t xml:space="preserve">The motivating scenario is a contest between an attacker, who adapts to a deployed detector, and a defender, who responds by updating from successful evasions. The experiment does not model that contest. The attacker is non-adaptive. In each round it attacks each policy's current model with the malicious flows drawn from that round's adaptation batch, and it does not learn from earlier rounds or from the defender's updates (Section 4.4).</w:t>
      </w:r>
    </w:p>
    <w:p>
      <w:pPr>
        <w:pStyle w:val="Heading2"/>
        <w:keepNext/>
        <w:spacing w:after="120" w:before="240"/>
      </w:pPr>
      <w:r>
        <w:rPr>
          <w:rFonts w:ascii="Times New Roman" w:cs="Times New Roman" w:eastAsia="Times New Roman" w:hAnsi="Times New Roman"/>
          <w:b/>
          <w:bCs/>
          <w:sz w:val="24"/>
          <w:szCs w:val="24"/>
        </w:rPr>
        <w:t xml:space="preserve">3.2 Objectives</w:t>
      </w:r>
    </w:p>
    <w:p>
      <w:pPr>
        <w:spacing w:after="140" w:line="276"/>
        <w:ind w:left="360"/>
        <w:jc w:val="both"/>
      </w:pPr>
      <w:r>
        <w:rPr>
          <w:rFonts w:ascii="Times New Roman" w:cs="Times New Roman" w:eastAsia="Times New Roman" w:hAnsi="Times New Roman"/>
          <w:b/>
          <w:bCs/>
          <w:sz w:val="22"/>
          <w:szCs w:val="22"/>
        </w:rPr>
        <w:t xml:space="preserve">O1.</w:t>
      </w:r>
      <w:r>
        <w:rPr>
          <w:rFonts w:ascii="Times New Roman" w:cs="Times New Roman" w:eastAsia="Times New Roman" w:hAnsi="Times New Roman"/>
          <w:sz w:val="22"/>
          <w:szCs w:val="22"/>
        </w:rPr>
        <w:t xml:space="preserve"> Review the literature on evasion attacks and defenses for NIDS, and place the study's threat model within it (Section 2).</w:t>
      </w:r>
    </w:p>
    <w:p>
      <w:pPr>
        <w:spacing w:after="140" w:line="276"/>
        <w:ind w:left="360"/>
        <w:jc w:val="both"/>
      </w:pPr>
      <w:r>
        <w:rPr>
          <w:rFonts w:ascii="Times New Roman" w:cs="Times New Roman" w:eastAsia="Times New Roman" w:hAnsi="Times New Roman"/>
          <w:b/>
          <w:bCs/>
          <w:sz w:val="22"/>
          <w:szCs w:val="22"/>
        </w:rPr>
        <w:t xml:space="preserve">O2.</w:t>
      </w:r>
      <w:r>
        <w:rPr>
          <w:rFonts w:ascii="Times New Roman" w:cs="Times New Roman" w:eastAsia="Times New Roman" w:hAnsi="Times New Roman"/>
          <w:sz w:val="22"/>
          <w:szCs w:val="22"/>
        </w:rPr>
        <w:t xml:space="preserve"> Train a baseline multilayer perceptron on the official UNSW-NB15 partitions, and report its clean detection behavior (Sections 4.2, 4.3, and 5.4).</w:t>
      </w:r>
    </w:p>
    <w:p>
      <w:pPr>
        <w:spacing w:after="140" w:line="276"/>
        <w:ind w:left="360"/>
        <w:jc w:val="both"/>
      </w:pPr>
      <w:r>
        <w:rPr>
          <w:rFonts w:ascii="Times New Roman" w:cs="Times New Roman" w:eastAsia="Times New Roman" w:hAnsi="Times New Roman"/>
          <w:b/>
          <w:bCs/>
          <w:sz w:val="22"/>
          <w:szCs w:val="22"/>
        </w:rPr>
        <w:t xml:space="preserve">O3.</w:t>
      </w:r>
      <w:r>
        <w:rPr>
          <w:rFonts w:ascii="Times New Roman" w:cs="Times New Roman" w:eastAsia="Times New Roman" w:hAnsi="Times New Roman"/>
          <w:sz w:val="22"/>
          <w:szCs w:val="22"/>
        </w:rPr>
        <w:t xml:space="preserve"> Attack each update policy over five successive rounds under the same per-round attacker budget, and record in each round the outcome against that policy's current detector (Sections 4.4, 4.7, 5.2, and 5.6).</w:t>
      </w:r>
    </w:p>
    <w:p>
      <w:pPr>
        <w:spacing w:after="140" w:line="276"/>
        <w:ind w:left="360"/>
        <w:jc w:val="both"/>
      </w:pPr>
      <w:r>
        <w:rPr>
          <w:rFonts w:ascii="Times New Roman" w:cs="Times New Roman" w:eastAsia="Times New Roman" w:hAnsi="Times New Roman"/>
          <w:b/>
          <w:bCs/>
          <w:sz w:val="22"/>
          <w:szCs w:val="22"/>
        </w:rPr>
        <w:t xml:space="preserve">O4.</w:t>
      </w:r>
      <w:r>
        <w:rPr>
          <w:rFonts w:ascii="Times New Roman" w:cs="Times New Roman" w:eastAsia="Times New Roman" w:hAnsi="Times New Roman"/>
          <w:sz w:val="22"/>
          <w:szCs w:val="22"/>
        </w:rPr>
        <w:t xml:space="preserve"> Operationalize incremental updating from newly successful evasions. The primary configuration is incremental updating with clean rehearsal (arm C), which is intended to limit forgetting. It is compared with a no-rehearsal ablation (arm D), a balanced-replay variant (arm E), a one-time static adversarial arm (arm B), and a clean-continued control (arm F). These arms operationalize and compare incremental updating and are not presented as validated defenses (Sections 4.5, 5.2, and 5.3).</w:t>
      </w:r>
    </w:p>
    <w:p>
      <w:pPr>
        <w:spacing w:after="140" w:line="276"/>
        <w:ind w:left="360"/>
        <w:jc w:val="both"/>
      </w:pPr>
      <w:r>
        <w:rPr>
          <w:rFonts w:ascii="Times New Roman" w:cs="Times New Roman" w:eastAsia="Times New Roman" w:hAnsi="Times New Roman"/>
          <w:b/>
          <w:bCs/>
          <w:sz w:val="22"/>
          <w:szCs w:val="22"/>
        </w:rPr>
        <w:t xml:space="preserve">O5.</w:t>
      </w:r>
      <w:r>
        <w:rPr>
          <w:rFonts w:ascii="Times New Roman" w:cs="Times New Roman" w:eastAsia="Times New Roman" w:hAnsi="Times New Roman"/>
          <w:sz w:val="22"/>
          <w:szCs w:val="22"/>
        </w:rPr>
        <w:t xml:space="preserve"> Measure the cost of each policy in clean-side detection (clean recall, FPR, F1 score, and the area under the receiver operating characteristic curve, AUC), simulated feedback labels, adaptation-stage queries of the decision-only attacker, and training and attack time (Sections 4.7, 5.4, and 5.7).</w:t>
      </w:r>
    </w:p>
    <w:p>
      <w:pPr>
        <w:spacing w:after="140" w:line="276"/>
        <w:ind w:left="360"/>
        <w:jc w:val="both"/>
      </w:pPr>
      <w:r>
        <w:rPr>
          <w:rFonts w:ascii="Times New Roman" w:cs="Times New Roman" w:eastAsia="Times New Roman" w:hAnsi="Times New Roman"/>
          <w:b/>
          <w:bCs/>
          <w:sz w:val="22"/>
          <w:szCs w:val="22"/>
        </w:rPr>
        <w:t xml:space="preserve">O6.</w:t>
      </w:r>
      <w:r>
        <w:rPr>
          <w:rFonts w:ascii="Times New Roman" w:cs="Times New Roman" w:eastAsia="Times New Roman" w:hAnsi="Times New Roman"/>
          <w:sz w:val="22"/>
          <w:szCs w:val="22"/>
        </w:rPr>
        <w:t xml:space="preserve"> Over 20 seeds, compare one-time and incremental schedules that train on the same number of attack attempts made on the same 500 source flows, under the same rule within each update, including a one-time arm that also matches the incremental schedule's optimizer steps and per-example exposure. In the FGSM-like setting, check how sensitive the comparison is to update epochs, learning rate, and memory size (Sections 4.9, 5.8, and 5.9).</w:t>
      </w:r>
    </w:p>
    <w:p>
      <w:pPr>
        <w:spacing w:after="140" w:line="276"/>
        <w:ind w:left="360"/>
        <w:jc w:val="both"/>
      </w:pPr>
      <w:r>
        <w:rPr>
          <w:rFonts w:ascii="Times New Roman" w:cs="Times New Roman" w:eastAsia="Times New Roman" w:hAnsi="Times New Roman"/>
          <w:b/>
          <w:bCs/>
          <w:sz w:val="22"/>
          <w:szCs w:val="22"/>
        </w:rPr>
        <w:t xml:space="preserve">O7.</w:t>
      </w:r>
      <w:r>
        <w:rPr>
          <w:rFonts w:ascii="Times New Roman" w:cs="Times New Roman" w:eastAsia="Times New Roman" w:hAnsi="Times New Roman"/>
          <w:sz w:val="22"/>
          <w:szCs w:val="22"/>
        </w:rPr>
        <w:t xml:space="preserve"> Measure how far the perturbations move flows in raw feature units and whether perturbed flows keep relations among features that hold in the data (Sections 4.4 and 5.10).</w:t>
      </w:r>
    </w:p>
    <w:p>
      <w:pPr>
        <w:pStyle w:val="Heading2"/>
        <w:keepNext/>
        <w:spacing w:after="120" w:before="240"/>
      </w:pPr>
      <w:r>
        <w:rPr>
          <w:rFonts w:ascii="Times New Roman" w:cs="Times New Roman" w:eastAsia="Times New Roman" w:hAnsi="Times New Roman"/>
          <w:b/>
          <w:bCs/>
          <w:sz w:val="24"/>
          <w:szCs w:val="24"/>
        </w:rPr>
        <w:t xml:space="preserve">3.3 Research Questions</w:t>
      </w:r>
    </w:p>
    <w:p>
      <w:pPr>
        <w:spacing w:after="140" w:line="276"/>
        <w:jc w:val="both"/>
      </w:pPr>
      <w:r>
        <w:rPr>
          <w:rFonts w:ascii="Times New Roman" w:cs="Times New Roman" w:eastAsia="Times New Roman" w:hAnsi="Times New Roman"/>
          <w:sz w:val="22"/>
          <w:szCs w:val="22"/>
        </w:rPr>
        <w:t xml:space="preserve">We address five research questions. RQ1 to RQ4 concern the original five-seed comparison, and RQ5 concerns the matched-attempt extension.</w:t>
      </w:r>
    </w:p>
    <w:p>
      <w:pPr>
        <w:spacing w:after="140" w:line="276"/>
        <w:ind w:left="360"/>
        <w:jc w:val="both"/>
      </w:pPr>
      <w:r>
        <w:rPr>
          <w:rFonts w:ascii="Times New Roman" w:cs="Times New Roman" w:eastAsia="Times New Roman" w:hAnsi="Times New Roman"/>
          <w:b/>
          <w:bCs/>
          <w:sz w:val="22"/>
          <w:szCs w:val="22"/>
        </w:rPr>
        <w:t xml:space="preserve">RQ1.</w:t>
      </w:r>
      <w:r>
        <w:rPr>
          <w:rFonts w:ascii="Times New Roman" w:cs="Times New Roman" w:eastAsia="Times New Roman" w:hAnsi="Times New Roman"/>
          <w:sz w:val="22"/>
          <w:szCs w:val="22"/>
        </w:rPr>
        <w:t xml:space="preserve"> In each round, how does attack-induced ASR against the incremental arms (C, D, and E) compare with that of the frozen arm (A) and the one-time static arm (B), when each arm uses a threshold selected on its own validation data to target at most 5% validation FPR? (Sections 5.2, 5.3, and 5.6)</w:t>
      </w:r>
    </w:p>
    <w:p>
      <w:pPr>
        <w:spacing w:after="140" w:line="276"/>
        <w:ind w:left="360"/>
        <w:jc w:val="both"/>
      </w:pPr>
      <w:r>
        <w:rPr>
          <w:rFonts w:ascii="Times New Roman" w:cs="Times New Roman" w:eastAsia="Times New Roman" w:hAnsi="Times New Roman"/>
          <w:b/>
          <w:bCs/>
          <w:sz w:val="22"/>
          <w:szCs w:val="22"/>
        </w:rPr>
        <w:t xml:space="preserve">RQ2.</w:t>
      </w:r>
      <w:r>
        <w:rPr>
          <w:rFonts w:ascii="Times New Roman" w:cs="Times New Roman" w:eastAsia="Times New Roman" w:hAnsi="Times New Roman"/>
          <w:sz w:val="22"/>
          <w:szCs w:val="22"/>
        </w:rPr>
        <w:t xml:space="preserve"> What clean-traffic costs accompany changes in attack-induced ASR, in recall, false-positive rate, F1, and AUC, and how much of any fixed-threshold difference remains once validation-calibrated thresholds replace the common fixed threshold? (Sections 5.4 and 5.5)</w:t>
      </w:r>
    </w:p>
    <w:p>
      <w:pPr>
        <w:spacing w:after="140" w:line="276"/>
        <w:ind w:left="360"/>
        <w:jc w:val="both"/>
      </w:pPr>
      <w:r>
        <w:rPr>
          <w:rFonts w:ascii="Times New Roman" w:cs="Times New Roman" w:eastAsia="Times New Roman" w:hAnsi="Times New Roman"/>
          <w:b/>
          <w:bCs/>
          <w:sz w:val="22"/>
          <w:szCs w:val="22"/>
        </w:rPr>
        <w:t xml:space="preserve">RQ3.</w:t>
      </w:r>
      <w:r>
        <w:rPr>
          <w:rFonts w:ascii="Times New Roman" w:cs="Times New Roman" w:eastAsia="Times New Roman" w:hAnsi="Times New Roman"/>
          <w:sz w:val="22"/>
          <w:szCs w:val="22"/>
        </w:rPr>
        <w:t xml:space="preserve"> How does the clean-continued control (arm F) compare with the frozen (arm A) and static (arm B) arms in round-wise attack-induced ASR and in clean-side measures? (Sections 5.3 and 5.4)</w:t>
      </w:r>
    </w:p>
    <w:p>
      <w:pPr>
        <w:spacing w:after="140" w:line="276"/>
        <w:ind w:left="360"/>
        <w:jc w:val="both"/>
      </w:pPr>
      <w:r>
        <w:rPr>
          <w:rFonts w:ascii="Times New Roman" w:cs="Times New Roman" w:eastAsia="Times New Roman" w:hAnsi="Times New Roman"/>
          <w:b/>
          <w:bCs/>
          <w:sz w:val="22"/>
          <w:szCs w:val="22"/>
        </w:rPr>
        <w:t xml:space="preserve">RQ4.</w:t>
      </w:r>
      <w:r>
        <w:rPr>
          <w:rFonts w:ascii="Times New Roman" w:cs="Times New Roman" w:eastAsia="Times New Roman" w:hAnsi="Times New Roman"/>
          <w:sz w:val="22"/>
          <w:szCs w:val="22"/>
        </w:rPr>
        <w:t xml:space="preserve"> How do simulated feedback labels, adaptation-stage queries of the decision-only attacker, and training and attack time compare across the update policies? The time measure excludes test-time evaluation. (Section 5.7)</w:t>
      </w:r>
    </w:p>
    <w:p>
      <w:pPr>
        <w:spacing w:after="140" w:line="276"/>
        <w:ind w:left="360"/>
        <w:jc w:val="both"/>
      </w:pPr>
      <w:r>
        <w:rPr>
          <w:rFonts w:ascii="Times New Roman" w:cs="Times New Roman" w:eastAsia="Times New Roman" w:hAnsi="Times New Roman"/>
          <w:b/>
          <w:bCs/>
          <w:sz w:val="22"/>
          <w:szCs w:val="22"/>
        </w:rPr>
        <w:t xml:space="preserve">RQ5.</w:t>
      </w:r>
      <w:r>
        <w:rPr>
          <w:rFonts w:ascii="Times New Roman" w:cs="Times New Roman" w:eastAsia="Times New Roman" w:hAnsi="Times New Roman"/>
          <w:sz w:val="22"/>
          <w:szCs w:val="22"/>
        </w:rPr>
        <w:t xml:space="preserve"> When one-time and incremental schedules train on the same number of attack attempts made on the same source flows, under the same rule within each update, how do their round-5 attack-induced ASR and clean-side measures compare, and how does the comparison change when the one-time update's length or structure is changed to match training exposure? (Sections 5.8 and 5.9)</w:t>
      </w:r>
    </w:p>
    <w:p>
      <w:pPr>
        <w:pStyle w:val="Heading2"/>
        <w:keepNext/>
        <w:spacing w:after="120" w:before="240"/>
      </w:pPr>
      <w:r>
        <w:rPr>
          <w:rFonts w:ascii="Times New Roman" w:cs="Times New Roman" w:eastAsia="Times New Roman" w:hAnsi="Times New Roman"/>
          <w:b/>
          <w:bCs/>
          <w:sz w:val="24"/>
          <w:szCs w:val="24"/>
        </w:rPr>
        <w:t xml:space="preserve">3.4 Scope and Contributions</w:t>
      </w:r>
    </w:p>
    <w:p>
      <w:pPr>
        <w:spacing w:after="140" w:line="276"/>
        <w:jc w:val="both"/>
      </w:pPr>
      <w:r>
        <w:rPr>
          <w:rFonts w:ascii="Times New Roman" w:cs="Times New Roman" w:eastAsia="Times New Roman" w:hAnsi="Times New Roman"/>
          <w:sz w:val="22"/>
          <w:szCs w:val="22"/>
        </w:rPr>
        <w:t xml:space="preserve">The study does not test an attacker that adapts across rounds, the packet-level feasibility of perturbed flows, other datasets or detector architectures, or comparisons with architectural defenses or external benchmarks. The decision-only attacker also makes evaluation-stage queries when it measures attack-induced ASR on the evaluation set. These are recorded in the analysis files and are not compared in this paper, and they are separate from the adaptation-stage queries reported for RQ4. Clean F1 is reported with clean recall, FPR, and AUC (Section 4.7).</w:t>
      </w:r>
    </w:p>
    <w:p>
      <w:pPr>
        <w:spacing w:after="140" w:line="276"/>
        <w:jc w:val="both"/>
      </w:pPr>
      <w:r>
        <w:rPr>
          <w:rFonts w:ascii="Times New Roman" w:cs="Times New Roman" w:eastAsia="Times New Roman" w:hAnsi="Times New Roman"/>
          <w:sz w:val="22"/>
          <w:szCs w:val="22"/>
        </w:rPr>
        <w:t xml:space="preserve">The study makes four contributions. It provides a round-by-round comparison of update policies that includes a clean-continued control, which gives a descriptive comparison of extra clean training. It adds a 20-seed extension that matches the number and source-flow set of attack attempts across one-time and incremental schedules, including one one-time arm that also matches the incremental schedule's optimizer steps and per-example exposure. It reports attack-induced ASR beside the false-positive rate of each policy, at both validation-calibrated and common fixed thresholds, so that attack-induced ASR is not read in isolation. It measures how far the feature-space perturbations move flows in raw units and how often they break relations that hold in the data. The five-seed results are descriptive. The 20-seed results are reported as paired differences with intervals and seed counts, and neither set is used to claim that any policy is generally superior.</w:t>
      </w:r>
    </w:p>
    <w:p>
      <w:pPr>
        <w:pStyle w:val="Heading1"/>
        <w:keepNext/>
        <w:spacing w:after="160" w:before="360"/>
      </w:pPr>
      <w:r>
        <w:rPr>
          <w:rFonts w:ascii="Times New Roman" w:cs="Times New Roman" w:eastAsia="Times New Roman" w:hAnsi="Times New Roman"/>
          <w:b/>
          <w:bCs/>
          <w:sz w:val="28"/>
          <w:szCs w:val="28"/>
        </w:rPr>
        <w:t xml:space="preserve">4. Methodology</w:t>
      </w:r>
    </w:p>
    <w:p>
      <w:pPr>
        <w:spacing w:after="140" w:line="276"/>
        <w:jc w:val="both"/>
      </w:pPr>
      <w:r>
        <w:rPr>
          <w:rFonts w:ascii="Times New Roman" w:cs="Times New Roman" w:eastAsia="Times New Roman" w:hAnsi="Times New Roman"/>
          <w:sz w:val="22"/>
          <w:szCs w:val="22"/>
        </w:rPr>
        <w:t xml:space="preserve">This section describes the experiment whose results are reported in Section 5. Every setting below was taken from the run scripts and run metadata of the completed five-seed experiment (seeds 17 to 21) and of the 20-seed extension (Section 4.9). Nothing is described here that was not run.</w:t>
      </w:r>
    </w:p>
    <w:p>
      <w:pPr>
        <w:pStyle w:val="Heading2"/>
        <w:keepNext/>
        <w:spacing w:after="120" w:before="240"/>
      </w:pPr>
      <w:r>
        <w:rPr>
          <w:rFonts w:ascii="Times New Roman" w:cs="Times New Roman" w:eastAsia="Times New Roman" w:hAnsi="Times New Roman"/>
          <w:b/>
          <w:bCs/>
          <w:sz w:val="24"/>
          <w:szCs w:val="24"/>
        </w:rPr>
        <w:t xml:space="preserve">4.1 Experimental design</w:t>
      </w:r>
    </w:p>
    <w:p>
      <w:pPr>
        <w:spacing w:after="140" w:line="276"/>
        <w:jc w:val="both"/>
      </w:pPr>
      <w:r>
        <w:rPr>
          <w:rFonts w:ascii="Times New Roman" w:cs="Times New Roman" w:eastAsia="Times New Roman" w:hAnsi="Times New Roman"/>
          <w:sz w:val="22"/>
          <w:szCs w:val="22"/>
        </w:rPr>
        <w:t xml:space="preserve">Figure 1 maps the experiment. For each seed, the official training partition is divided into an initial training set, a validation set, and an adaptation stream. Six detectors, called arms and defined in Section 4.5, start from the same data split and the same initial weights and training procedure. Two of them, the static adversarial arm and the clean-continued control, receive extra training before round 1. The experiment then runs for five rounds. In each round, 100 malicious flows are drawn from that round's slice of the adaptation stream, and each arm's current model is attacked. Only the three incremental arms use the successful evasions to update. After every round, each arm is evaluated on the held-out test partition with a fresh attack against its current model.</w:t>
      </w:r>
    </w:p>
    <w:p>
      <w:pPr>
        <w:keepNext/>
        <w:spacing w:after="60" w:before="120"/>
        <w:jc w:val="center"/>
      </w:pPr>
      <w:r>
        <w:drawing>
          <wp:inline distT="0" distB="0" distL="0" distR="0">
            <wp:extent cx="4953000" cy="3848100"/>
            <wp:effectExtent t="0" r="0" b="0" l="0"/>
            <wp:docPr id="1" name="fig1" descr="Round-by-round map of the six arms, five rounds, and evaluati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848100"/>
                    </a:xfrm>
                    <a:prstGeom prst="rect">
                      <a:avLst/>
                    </a:prstGeom>
                  </pic:spPr>
                </pic:pic>
              </a:graphicData>
            </a:graphic>
          </wp:inline>
        </w:drawing>
      </w:r>
    </w:p>
    <w:p>
      <w:pPr>
        <w:keepNext w:val="false"/>
        <w:spacing w:after="120" w:before="120"/>
        <w:jc w:val="left"/>
      </w:pPr>
      <w:r>
        <w:rPr>
          <w:rFonts w:ascii="Times New Roman" w:cs="Times New Roman" w:eastAsia="Times New Roman" w:hAnsi="Times New Roman"/>
          <w:b/>
          <w:bCs/>
          <w:sz w:val="20"/>
          <w:szCs w:val="20"/>
        </w:rPr>
        <w:t xml:space="preserve">Figure 1.</w:t>
      </w:r>
      <w:r>
        <w:rPr>
          <w:rFonts w:ascii="Times New Roman" w:cs="Times New Roman" w:eastAsia="Times New Roman" w:hAnsi="Times New Roman"/>
          <w:sz w:val="20"/>
          <w:szCs w:val="20"/>
        </w:rPr>
        <w:t xml:space="preserve"> Round-by-round map of the experiment. Rows are the six update arms. The columns show the preparation before round 1, the steps repeated in each of rounds 1 to 5, and the evaluation applied after every round. Colors mark the update policy. Each arm is attacked at its own current model, so no arm receives evasions generated against another arm.</w:t>
      </w:r>
    </w:p>
    <w:p>
      <w:pPr>
        <w:spacing w:after="140" w:line="276"/>
        <w:jc w:val="both"/>
      </w:pPr>
      <w:r>
        <w:rPr>
          <w:rFonts w:ascii="Times New Roman" w:cs="Times New Roman" w:eastAsia="Times New Roman" w:hAnsi="Times New Roman"/>
          <w:sz w:val="22"/>
          <w:szCs w:val="22"/>
        </w:rPr>
        <w:t xml:space="preserve">Figure 1 shows what is shared and what differs. The data split, the initial weights, the round schedule, the per-round attack sample, and the evaluation procedure are the same for every arm. The arms differ only in the preparation they receive before round 1 and in whether and how they update during the rounds. Differences in outcome therefore do not come from different attack budgets or evaluation sets. They are not causal estimates of the effect of an update policy either, because the arms also differ in their training data and budgets. The clean-continued control matches the static arm's extra training epochs without adversarial examples, so it gives a descriptive comparison of extra clean training under the tested configuration. Because the two arms also differ in their adversarial examples, the comparison does not isolate the effect of either. The held-out test partition is used only for evaluation. It is never used to fit, to update, or to choose a threshold.</w:t>
      </w:r>
    </w:p>
    <w:p>
      <w:pPr>
        <w:pStyle w:val="Heading2"/>
        <w:keepNext/>
        <w:spacing w:after="120" w:before="240"/>
      </w:pPr>
      <w:r>
        <w:rPr>
          <w:rFonts w:ascii="Times New Roman" w:cs="Times New Roman" w:eastAsia="Times New Roman" w:hAnsi="Times New Roman"/>
          <w:b/>
          <w:bCs/>
          <w:sz w:val="24"/>
          <w:szCs w:val="24"/>
        </w:rPr>
        <w:t xml:space="preserve">4.2 Dataset and partitions</w:t>
      </w:r>
    </w:p>
    <w:p>
      <w:pPr>
        <w:spacing w:after="140" w:line="276"/>
        <w:jc w:val="both"/>
      </w:pPr>
      <w:r>
        <w:rPr>
          <w:rFonts w:ascii="Times New Roman" w:cs="Times New Roman" w:eastAsia="Times New Roman" w:hAnsi="Times New Roman"/>
          <w:sz w:val="22"/>
          <w:szCs w:val="22"/>
        </w:rPr>
        <w:t xml:space="preserve">We used UNSW-NB15 [14], with the pre-partitioned train/test split as redistributed in the Zenodo record [35]. That record lists the two partition files under reversed names. The file named UNSW_NB15_testing-set.csv holds the 175,341 training records, and the file named UNSW_NB15_training-set.csv holds the 82,332 test records. The partitions were identified by these row counts, and the loader assigns them to these roles. The files are tab-separated and have no header row, although their extension is .csv. The loader detects the delimiter from the first 4,096 characters of each file and assigns the 45 column names of the published UNSW-NB15 schema in the published order, from id to attack_cat and label. The Zenodo record is a third-party redistribution, not the official source. For this revision we downloaded both files from the record again. Their MD5 checksums equal the values the record lists and the values in the experiment records. The official UNSW-NB15 page describes a training partition of 175,341 records and a test partition of 82,332 records [36]. We downloaded both official partitions from that source and compared each with the Zenodo file of the same size. All 175,341 training records and all 82,332 test records, matched by record identifier, are identical in all 45 columns, and the class counts agree. The partitions used in this study therefore have the same content as the official files. Only the file format differs, because the official files are comma-separated with a header row. The task is binary classification, with the supplied label coded as benign (0) or malicious (1). The record identifier and the attack category column were not used as inputs or targets.</w:t>
      </w:r>
    </w:p>
    <w:p>
      <w:pPr>
        <w:spacing w:after="140" w:line="276"/>
        <w:jc w:val="both"/>
      </w:pPr>
      <w:r>
        <w:rPr>
          <w:rFonts w:ascii="Times New Roman" w:cs="Times New Roman" w:eastAsia="Times New Roman" w:hAnsi="Times New Roman"/>
          <w:sz w:val="22"/>
          <w:szCs w:val="22"/>
        </w:rPr>
        <w:t xml:space="preserve">For each seed, the training partition was split at the record level into initial training, validation, and adaptation parts, using a 70/15/15 allocation stratified by class. The test partition was never resampled. Table 2 gives the resulting counts, which are the same for every seed because the stratified allocation is deterministic in size.</w:t>
      </w:r>
    </w:p>
    <w:p>
      <w:pPr>
        <w:keepNext/>
        <w:spacing w:after="120" w:before="120"/>
        <w:jc w:val="left"/>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UNSW-NB15 record counts and experimental roles. Partition sizes follow from the split procedure and the file sizes in the experiment records. All counts were checked against the downloaded files for every seed used (17 to 36), and the split sizes are identical across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300"/>
        <w:gridCol w:w="1200"/>
        <w:gridCol w:w="3660"/>
      </w:tblGrid>
      <w:tr>
        <w:trPr>
          <w:cantSplit/>
          <w:tblHeader/>
        </w:trPr>
        <w:tc>
          <w:tcPr>
            <w:tcW w:type="dxa" w:w="20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Partition</w:t>
            </w:r>
          </w:p>
        </w:tc>
        <w:tc>
          <w:tcPr>
            <w:tcW w:type="dxa" w:w="12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Benign</w:t>
            </w:r>
          </w:p>
        </w:tc>
        <w:tc>
          <w:tcPr>
            <w:tcW w:type="dxa" w:w="13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Malicious</w:t>
            </w:r>
          </w:p>
        </w:tc>
        <w:tc>
          <w:tcPr>
            <w:tcW w:type="dxa" w:w="12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Total</w:t>
            </w:r>
          </w:p>
        </w:tc>
        <w:tc>
          <w:tcPr>
            <w:tcW w:type="dxa" w:w="366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Role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Initial training</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39,200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83,538</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122,738</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Fit the preprocessor and the initial detector, source of replay memories and static examples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Validation</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8,400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17,901</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26,301</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Threshold selection only</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Adaptation stream</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8,400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17,902</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26,302</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Source of the 100 malicious flows attacked in each round</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Official test</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37,000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45,332</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82,332</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Evaluation only</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Total</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93,000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164,673</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257,673</w:t>
            </w:r>
          </w:p>
        </w:tc>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Official training plus test partitions</w:t>
            </w:r>
          </w:p>
        </w:tc>
      </w:tr>
    </w:tbl>
    <w:p>
      <w:pPr>
        <w:spacing w:after="120"/>
      </w:pPr>
    </w:p>
    <w:p>
      <w:pPr>
        <w:spacing w:after="140" w:line="276"/>
        <w:jc w:val="both"/>
      </w:pPr>
      <w:r>
        <w:rPr>
          <w:rFonts w:ascii="Times New Roman" w:cs="Times New Roman" w:eastAsia="Times New Roman" w:hAnsi="Times New Roman"/>
          <w:sz w:val="22"/>
          <w:szCs w:val="22"/>
        </w:rPr>
        <w:t xml:space="preserve">Table 2 shows that the validation and adaptation parts are each about 15% of the training partition and that the test partition is kept entirely apart. The split is at the record level and does not group records by capture session, source, or attack campaign. Related records could therefore occur in more than one of the initial-training, validation, and adaptation parts, which is a risk of dependence between partitions and of optimistic measured performance, and not demonstrated leakage. The official test partition was kept apart and was not split in this way. Evaluation designs that do not respect temporal structure can inflate reported performance in malware classification [37]. UNSW-NB15 is also known to contain class overlap and imbalance [15]. For these reasons the experiment is a controlled benchmark comparison and not a claim about deployment performance.</w:t>
      </w:r>
    </w:p>
    <w:p>
      <w:pPr>
        <w:pStyle w:val="Heading2"/>
        <w:keepNext/>
        <w:spacing w:after="120" w:before="240"/>
      </w:pPr>
      <w:r>
        <w:rPr>
          <w:rFonts w:ascii="Times New Roman" w:cs="Times New Roman" w:eastAsia="Times New Roman" w:hAnsi="Times New Roman"/>
          <w:b/>
          <w:bCs/>
          <w:sz w:val="24"/>
          <w:szCs w:val="24"/>
        </w:rPr>
        <w:t xml:space="preserve">4.3 Preprocessing and detector</w:t>
      </w:r>
    </w:p>
    <w:p>
      <w:pPr>
        <w:spacing w:after="140" w:line="276"/>
        <w:jc w:val="both"/>
      </w:pPr>
      <w:r>
        <w:rPr>
          <w:rFonts w:ascii="Times New Roman" w:cs="Times New Roman" w:eastAsia="Times New Roman" w:hAnsi="Times New Roman"/>
          <w:sz w:val="22"/>
          <w:szCs w:val="22"/>
        </w:rPr>
        <w:t xml:space="preserve">The preprocessor was fit on the initial training part only and then applied unchanged to the validation, adaptation, and test data. For numeric fields, infinite values were treated as missing, missing values were replaced by the initial-training median, and values were scaled to the range 0 to 1 with the initial-training minimum and maximum. Values outside that range were clipped, and columns with no range in the initial training part were left unscaled. Categorical (non-numeric) fields were one-hot encoded with the levels observed in the initial training part. Unseen levels map to all zeros, and missing categorical values were coded as a separate level. The input dimension is 194 for seeds 17, 19, 20 and 21 and 193 for seed 18, which reflects the categorical levels present in each seed's initial part.</w:t>
      </w:r>
    </w:p>
    <w:p>
      <w:pPr>
        <w:spacing w:after="140" w:line="276"/>
        <w:jc w:val="both"/>
      </w:pPr>
      <w:r>
        <w:rPr>
          <w:rFonts w:ascii="Times New Roman" w:cs="Times New Roman" w:eastAsia="Times New Roman" w:hAnsi="Times New Roman"/>
          <w:sz w:val="22"/>
          <w:szCs w:val="22"/>
        </w:rPr>
        <w:t xml:space="preserve">The detector is a multilayer perceptron with one hidden layer of 48 ReLU units and a single sigmoid output. It was implemented in NumPy and trained with binary cross-entropy and the Adam optimizer [38] (learning rate 0.001, batch size 256, 5 epochs) on the initial training part. Initial weights were drawn from a normal distribution with variance 2 divided by the layer's fan-in, using a seed set for each run, and the biases started at zero. The Adam moment estimates persist when a model is updated later. The detector is small, and the conclusions of this paper are limited to models of this kind.</w:t>
      </w:r>
    </w:p>
    <w:p>
      <w:pPr>
        <w:pStyle w:val="Heading2"/>
        <w:keepNext/>
        <w:spacing w:after="120" w:before="240"/>
      </w:pPr>
      <w:r>
        <w:rPr>
          <w:rFonts w:ascii="Times New Roman" w:cs="Times New Roman" w:eastAsia="Times New Roman" w:hAnsi="Times New Roman"/>
          <w:b/>
          <w:bCs/>
          <w:sz w:val="24"/>
          <w:szCs w:val="24"/>
        </w:rPr>
        <w:t xml:space="preserve">4.4 Threat model and attack settings</w:t>
      </w:r>
    </w:p>
    <w:p>
      <w:pPr>
        <w:spacing w:after="140" w:line="276"/>
        <w:jc w:val="both"/>
      </w:pPr>
      <w:r>
        <w:rPr>
          <w:rFonts w:ascii="Times New Roman" w:cs="Times New Roman" w:eastAsia="Times New Roman" w:hAnsi="Times New Roman"/>
          <w:sz w:val="22"/>
          <w:szCs w:val="22"/>
        </w:rPr>
        <w:t xml:space="preserve">The attacker's goal is to make a malicious flow be classified as benign. The attacker may change only 11 continuous features (dur, rate, sload, dload, sinpkt, dinpkt, sjit, djit, tcprtt, synack and ackdat). Each may move by at most ε = 0.03 in the normalized space (an L∞ bound, so each feature may change by up to 0.03 independently of the others) and stays within the range 0 to 1. All other features, including the one-hot categorical inputs, are left unchanged. In each round the attacker meets the arm's model as it exists at that moment and has the same budget against every arm. There is no attacker that accumulates knowledge or strategy across rounds. Table 3 summarizes the three attack settings.</w:t>
      </w:r>
    </w:p>
    <w:p>
      <w:pPr>
        <w:keepNext/>
        <w:spacing w:after="120" w:before="120"/>
        <w:jc w:val="left"/>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Attack settings, attacker access, and budgets. All settings perturb the same 11 normalized features with ε = 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700"/>
        <w:gridCol w:w="2100"/>
        <w:gridCol w:w="1460"/>
      </w:tblGrid>
      <w:tr>
        <w:trPr>
          <w:cantSplit/>
          <w:tblHeader/>
        </w:trPr>
        <w:tc>
          <w:tcPr>
            <w:tcW w:type="dxa" w:w="13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Setting</w:t>
            </w:r>
          </w:p>
        </w:tc>
        <w:tc>
          <w:tcPr>
            <w:tcW w:type="dxa" w:w="18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Attacker access</w:t>
            </w:r>
          </w:p>
        </w:tc>
        <w:tc>
          <w:tcPr>
            <w:tcW w:type="dxa" w:w="27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Procedure</w:t>
            </w:r>
          </w:p>
        </w:tc>
        <w:tc>
          <w:tcPr>
            <w:tcW w:type="dxa" w:w="21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Volume per run</w:t>
            </w:r>
          </w:p>
        </w:tc>
        <w:tc>
          <w:tcPr>
            <w:tcW w:type="dxa" w:w="146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Static-arm training examples</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FGSM-like [18]</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Gradients of the arm's current model</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One step of size ε along the sign of the gradient of the loss for the benign label (target 0)</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100 flows per round for updates, 1,000 flows for each evaluation</w:t>
            </w:r>
          </w:p>
        </w:tc>
        <w:tc>
          <w:tcPr>
            <w:tcW w:type="dxa" w:w="14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FGSM-like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BIM-like [19]</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Gradients of the arm's current model</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Five steps of size ε/5, each followed by projection into the ε-ball and clipping, no random start</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Same as FGSM-like</w:t>
            </w:r>
          </w:p>
        </w:tc>
        <w:tc>
          <w:tcPr>
            <w:tcW w:type="dxa" w:w="14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BIM-like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Decision-only</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Hard labels only, no scores or gradients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Random search. The original flow is queried first, then up to 49 random candidates within the ε-box, stopping at the first one labeled benign</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At most 50 queries per flow, so at most 5,000 queries per round for updates and 50,000 for each evaluation</w:t>
            </w:r>
          </w:p>
        </w:tc>
        <w:tc>
          <w:tcPr>
            <w:tcW w:type="dxa" w:w="14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FGSM-like (cross-attack)</w:t>
            </w:r>
          </w:p>
        </w:tc>
      </w:tr>
    </w:tbl>
    <w:p>
      <w:pPr>
        <w:spacing w:after="120"/>
      </w:pPr>
    </w:p>
    <w:p>
      <w:pPr>
        <w:spacing w:after="140" w:line="276"/>
        <w:jc w:val="both"/>
      </w:pPr>
      <w:r>
        <w:rPr>
          <w:rFonts w:ascii="Times New Roman" w:cs="Times New Roman" w:eastAsia="Times New Roman" w:hAnsi="Times New Roman"/>
          <w:sz w:val="22"/>
          <w:szCs w:val="22"/>
        </w:rPr>
        <w:t xml:space="preserve">Table 3 shows that the three settings differ in what the attacker can observe and not in what the attacker may change. The FGSM-like and BIM-like attacks follow the single-step and iterative gradient methods described in [18] and [19]. We call the five-step attack BIM-like and not PGD [20], because it has no random start. The decision-only attack is a plain random search in the hard-label setting studied in [22]. This is a deliberately simple, unoptimized random-search baseline. Its results characterize the configured attack and should not be interpreted as an estimate of the strongest achievable decision-only attack. In the decision-only evaluation, the static arm is trained using FGSM-like examples, so this is a cross-attack comparison rather than a threat-model-matched static baseline.</w:t>
      </w:r>
    </w:p>
    <w:p>
      <w:pPr>
        <w:spacing w:after="140" w:line="276"/>
        <w:jc w:val="both"/>
      </w:pPr>
      <w:r>
        <w:rPr>
          <w:rFonts w:ascii="Times New Roman" w:cs="Times New Roman" w:eastAsia="Times New Roman" w:hAnsi="Times New Roman"/>
          <w:sz w:val="22"/>
          <w:szCs w:val="22"/>
        </w:rPr>
        <w:t xml:space="preserve">All attacks operate on feature vectors. We did not reconstruct packets and did not check that a perturbed vector corresponds to traffic that could be sent while keeping its protocol validity and malicious function, the properties discussed in [4]. Because each feature is min-max scaled on the initial training part, the bound of 0.03 allows a change of at most 3% of that feature's range in the initial training part, and perturbed values are clipped so that they stay within that range. The attack changes each of the 11 features independently and does not enforce any relation among them or with unperturbed fields such as byte and packet counts. Section 5.10 reports how large these perturbations are in raw units and how often they break two relations that hold in the data. Attack-induced ASR therefore describes how sensitive a detector is to bounded feature perturbations.</w:t>
      </w:r>
    </w:p>
    <w:p>
      <w:pPr>
        <w:pStyle w:val="Heading2"/>
        <w:keepNext/>
        <w:spacing w:after="120" w:before="240"/>
      </w:pPr>
      <w:r>
        <w:rPr>
          <w:rFonts w:ascii="Times New Roman" w:cs="Times New Roman" w:eastAsia="Times New Roman" w:hAnsi="Times New Roman"/>
          <w:b/>
          <w:bCs/>
          <w:sz w:val="24"/>
          <w:szCs w:val="24"/>
        </w:rPr>
        <w:t xml:space="preserve">4.5 Update arms and simulated feedback</w:t>
      </w:r>
    </w:p>
    <w:p>
      <w:pPr>
        <w:spacing w:after="140" w:line="276"/>
        <w:jc w:val="both"/>
      </w:pPr>
      <w:r>
        <w:rPr>
          <w:rFonts w:ascii="Times New Roman" w:cs="Times New Roman" w:eastAsia="Times New Roman" w:hAnsi="Times New Roman"/>
          <w:sz w:val="22"/>
          <w:szCs w:val="22"/>
        </w:rPr>
        <w:t xml:space="preserve">Table 4 defines the six arms. Tables and text refer to them by letter and short name, namely frozen (A), static (B), rehearsal (C), no rehearsal (D), balanced (E), and control (F). The arms A, C, D and E receive identical initial training. The static arm (B) and the clean-continued control (F) add a second training phase of five epochs before round 1. For arm B, that phase includes 500 adversarial examples, which are perturbed copies of malicious flows from the initial training part, generated against the clean model fitted on the initial training part and all labeled malicious whether or not the perturbation succeeded. In each setting the examples come from that setting's gradient attack, FGSM-like in the FGSM-like setting and BIM-like in the BIM-like setting, and the decision-only setting uses FGSM-like examples (Section 4.4). For arm F, the phase repeats the clean initial training data with no adversarial examples. The incremental arms (C, D and E) update after each round for two epochs on the evasions found in that round, with or without a replay memory. The rehearsal memory is a random sample of 1,000 clean examples from the initial training part, which follows the replay approach in [27] and is intended to limit forgetting. The balanced memory holds 500 benign and 500 malicious examples from the same part. Arm D is the no-rehearsal ablation, and [26] documents the forgetting problem that this ablation is designed to expose.</w:t>
      </w:r>
    </w:p>
    <w:p>
      <w:pPr>
        <w:keepNext/>
        <w:spacing w:after="120" w:before="120"/>
        <w:jc w:val="left"/>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sz w:val="20"/>
          <w:szCs w:val="20"/>
        </w:rPr>
        <w:t xml:space="preserve"> Update arms. Learning rate is 0.001 unless stated, and all updates use batch size 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00"/>
        <w:gridCol w:w="2960"/>
      </w:tblGrid>
      <w:tr>
        <w:trPr>
          <w:cantSplit/>
          <w:tblHeader/>
        </w:trPr>
        <w:tc>
          <w:tcPr>
            <w:tcW w:type="dxa" w:w="15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Arm</w:t>
            </w:r>
          </w:p>
        </w:tc>
        <w:tc>
          <w:tcPr>
            <w:tcW w:type="dxa" w:w="21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Before round 1</w:t>
            </w:r>
          </w:p>
        </w:tc>
        <w:tc>
          <w:tcPr>
            <w:tcW w:type="dxa" w:w="28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Update after each round</w:t>
            </w:r>
          </w:p>
        </w:tc>
        <w:tc>
          <w:tcPr>
            <w:tcW w:type="dxa" w:w="296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Purpose</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 Frozen clean</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Clean fit, 5 epochs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None</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No-update reference</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 adversarial</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Clean fit, then 5 more epochs on the clean data plus 500 adversarial examples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None</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One-time adversarial preparation</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 Incremental with rehearsal</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Clean fit, 5 epochs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 epochs on new evasions plus a fixed 1,000-example clean memory</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Primary incremental configuration, with a memory intended to limit forgetting</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 Incremental without rehearsal</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Clean fit, 5 epochs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 epochs on new evasions only (all labeled malicious)</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No-rehearsal ablation</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 Balanced replay</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Clean fit, 5 epochs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 epochs on new evasions plus a 500/500 benign and malicious memory, learning rate 0.0002</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Balanced-replay variant</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F. Clean-continued control</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Clean fit, then 5 more epochs on the clean data</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None</w:t>
            </w:r>
          </w:p>
        </w:tc>
        <w:tc>
          <w:tcPr>
            <w:tcW w:type="dxa" w:w="2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Descriptive comparison of extra clean training. Does not isolate causal effects</w:t>
            </w:r>
          </w:p>
        </w:tc>
      </w:tr>
    </w:tbl>
    <w:p>
      <w:pPr>
        <w:spacing w:after="120"/>
      </w:pPr>
    </w:p>
    <w:p>
      <w:pPr>
        <w:spacing w:after="140" w:line="276"/>
        <w:jc w:val="both"/>
      </w:pPr>
      <w:r>
        <w:rPr>
          <w:rFonts w:ascii="Times New Roman" w:cs="Times New Roman" w:eastAsia="Times New Roman" w:hAnsi="Times New Roman"/>
          <w:sz w:val="22"/>
          <w:szCs w:val="22"/>
        </w:rPr>
        <w:t xml:space="preserve">Table 4 shows that the arms form a ladder of interventions. Arm B adds adversarial examples to extra training, arm F receives the extra training without adversarial examples, and arms C to E ask whether repeated feedback adds anything. Because arm D updates only on evasions, every example in its updates is malicious. This update composition may shift the model's scores or operating behavior, and Section 5 evaluates the resulting recall and false-positive rates under both threshold analyses.</w:t>
      </w:r>
    </w:p>
    <w:p>
      <w:pPr>
        <w:spacing w:after="140" w:line="276"/>
        <w:jc w:val="both"/>
      </w:pPr>
      <w:r>
        <w:rPr>
          <w:rFonts w:ascii="Times New Roman" w:cs="Times New Roman" w:eastAsia="Times New Roman" w:hAnsi="Times New Roman"/>
          <w:sz w:val="22"/>
          <w:szCs w:val="22"/>
        </w:rPr>
        <w:t xml:space="preserve">Arm C is the primary incremental configuration because it includes clean rehearsal. Arm D is the no-rehearsal ablation, which uses the same updates as arm C without the clean memory. Arm E is the balanced-replay variant, which replaces the clean memory with a balanced memory and uses a lower learning rate. Rehearsal is intended to mitigate forgetting. In an NIDS evaluation of continual learning strategies, the abstract reports that replay was the most effective way to ameliorate catastrophic forgetting and that regularization strategies were ineffective [12]. The present experiment does not measure forgetting of earlier attacks directly, so it does not establish that rehearsal reduces forgetting here, and arm C is not presented as superior to the other incremental arms.</w:t>
      </w:r>
    </w:p>
    <w:p>
      <w:pPr>
        <w:spacing w:after="140" w:line="276"/>
        <w:jc w:val="both"/>
      </w:pPr>
      <w:r>
        <w:rPr>
          <w:rFonts w:ascii="Times New Roman" w:cs="Times New Roman" w:eastAsia="Times New Roman" w:hAnsi="Times New Roman"/>
          <w:sz w:val="22"/>
          <w:szCs w:val="22"/>
        </w:rPr>
        <w:t xml:space="preserve">The feedback for the incremental arms is simulated. In each round, a flow counts as a successful evasion if its perturbed version is classified as benign at the common fixed threshold described in Section 4.6. Its label is then taken from the dataset ground truth, which acts as an idealized oracle. The labels are not analyst-confirmed, and no analyst delay, disagreement, or labeling error is modeled. The attack-attempt budget is matched across arms, at 100 flows per round. The label budget is not matched. The static arm uses 500 pre-built examples, while the number of labels in each incremental arm depends on how many attempts succeed.</w:t>
      </w:r>
    </w:p>
    <w:p>
      <w:pPr>
        <w:pStyle w:val="Heading2"/>
        <w:keepNext/>
        <w:spacing w:after="120" w:before="240"/>
      </w:pPr>
      <w:r>
        <w:rPr>
          <w:rFonts w:ascii="Times New Roman" w:cs="Times New Roman" w:eastAsia="Times New Roman" w:hAnsi="Times New Roman"/>
          <w:b/>
          <w:bCs/>
          <w:sz w:val="24"/>
          <w:szCs w:val="24"/>
        </w:rPr>
        <w:t xml:space="preserve">4.6 Thresholds and operating points</w:t>
      </w:r>
    </w:p>
    <w:p>
      <w:pPr>
        <w:spacing w:after="140" w:line="276"/>
        <w:jc w:val="both"/>
      </w:pPr>
      <w:r>
        <w:rPr>
          <w:rFonts w:ascii="Times New Roman" w:cs="Times New Roman" w:eastAsia="Times New Roman" w:hAnsi="Times New Roman"/>
          <w:sz w:val="22"/>
          <w:szCs w:val="22"/>
        </w:rPr>
        <w:t xml:space="preserve">Two kinds of threshold are used. The first is a common fixed threshold. For each seed, it is the smallest candidate threshold at which the initial clean model's false-positive rate on the validation set is at most 5%. It ranges from 0.736 to 0.775 across seeds. It is held fixed for all arms and rounds. It defines which test flows are eligible for evaluation, it decides whether an update-stage attack succeeded, and it supports the secondary fixed-threshold analysis.</w:t>
      </w:r>
    </w:p>
    <w:p>
      <w:pPr>
        <w:spacing w:after="140" w:line="276"/>
        <w:jc w:val="both"/>
      </w:pPr>
      <w:r>
        <w:rPr>
          <w:rFonts w:ascii="Times New Roman" w:cs="Times New Roman" w:eastAsia="Times New Roman" w:hAnsi="Times New Roman"/>
          <w:sz w:val="22"/>
          <w:szCs w:val="22"/>
        </w:rPr>
        <w:t xml:space="preserve">The second is an arm-specific threshold. After each round, the same rule is applied to each arm's current model on the same validation data, which gives that checkpoint's own threshold. The observed validation FPR at these thresholds was between 4.99% and 5.00%. The primary analysis uses these thresholds, and we call it a validation-calibrated threshold comparison. The reason is that updating changes how a model scores flows, so one fixed threshold can correspond to different false-positive rates for different models. The test set is never used to choose either threshold, which follows the general caution against tuning on test data in [29]. Test FPR is measured separately. It is not constrained to 5% and it differs between arms, so the comparison is not one at equal test-set operating points.</w:t>
      </w:r>
    </w:p>
    <w:p>
      <w:pPr>
        <w:pStyle w:val="Heading2"/>
        <w:keepNext/>
        <w:spacing w:after="120" w:before="240"/>
      </w:pPr>
      <w:r>
        <w:rPr>
          <w:rFonts w:ascii="Times New Roman" w:cs="Times New Roman" w:eastAsia="Times New Roman" w:hAnsi="Times New Roman"/>
          <w:b/>
          <w:bCs/>
          <w:sz w:val="24"/>
          <w:szCs w:val="24"/>
        </w:rPr>
        <w:t xml:space="preserve">4.7 Outcome measures and analysis</w:t>
      </w:r>
    </w:p>
    <w:p>
      <w:pPr>
        <w:spacing w:after="140" w:line="276"/>
        <w:jc w:val="both"/>
      </w:pPr>
      <w:r>
        <w:rPr>
          <w:rFonts w:ascii="Times New Roman" w:cs="Times New Roman" w:eastAsia="Times New Roman" w:hAnsi="Times New Roman"/>
          <w:sz w:val="22"/>
          <w:szCs w:val="22"/>
        </w:rPr>
        <w:t xml:space="preserve">Table 5 defines the outcome measures. The evaluation set contains, for each seed, up to 1,000 malicious test flows drawn at random from the malicious test flows that the initial clean model detects at the common fixed threshold. It is fixed across arms, rounds, and attack settings, and in all runs it contained 1,000 flows. In each evaluation, every arm's current model is attacked afresh on this set.</w:t>
      </w:r>
    </w:p>
    <w:p>
      <w:pPr>
        <w:keepNext/>
        <w:spacing w:after="120" w:before="120"/>
        <w:jc w:val="left"/>
      </w:pPr>
      <w:r>
        <w:rPr>
          <w:rFonts w:ascii="Times New Roman" w:cs="Times New Roman" w:eastAsia="Times New Roman" w:hAnsi="Times New Roman"/>
          <w:b/>
          <w:bCs/>
          <w:sz w:val="20"/>
          <w:szCs w:val="20"/>
        </w:rPr>
        <w:t xml:space="preserve">Table 5.</w:t>
      </w:r>
      <w:r>
        <w:rPr>
          <w:rFonts w:ascii="Times New Roman" w:cs="Times New Roman" w:eastAsia="Times New Roman" w:hAnsi="Times New Roman"/>
          <w:sz w:val="20"/>
          <w:szCs w:val="20"/>
        </w:rPr>
        <w:t xml:space="preserve"> Outcome measures. All rate measures are reported in percentage points except AUC.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300"/>
        <w:gridCol w:w="1960"/>
      </w:tblGrid>
      <w:tr>
        <w:trPr>
          <w:cantSplit/>
          <w:tblHeader/>
        </w:trPr>
        <w:tc>
          <w:tcPr>
            <w:tcW w:type="dxa" w:w="21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Measure</w:t>
            </w:r>
          </w:p>
        </w:tc>
        <w:tc>
          <w:tcPr>
            <w:tcW w:type="dxa" w:w="53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Definition</w:t>
            </w:r>
          </w:p>
        </w:tc>
        <w:tc>
          <w:tcPr>
            <w:tcW w:type="dxa" w:w="196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Threshold</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Pre-attack detection rate</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Share of the fixed evaluation cohort that the arm's current model detects before any perturbation</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Arm-specific (primary), fixed (secondary)</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Attack-induced ASR (primary)</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Among evaluation flows detected before perturbation, the share classified benign after perturbation</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Arm-specific (primary), fixed (secondary)</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Post-attack benign rate, all evaluation flows (secondary)</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Share of the whole evaluation cohort classified benign after perturbation, including flows the arm already classified as benign before the attack. It is not a count of evasions caused by the attack</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Arm-specific, fixed</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Clean recall and FPR</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Recall on malicious test flows and false-positive rate on benign test flows, measured on the full test partition without perturbation</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Arm-specific (primary), fixed (secondary)</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Clean F1</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F1 score of the malicious class on the full test partition without perturbation, computed from the same confusion matrix as clean recall and FPR, at the same threshold</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Arm-specific (primary), fixed (secondary)</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Clean AUC</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Area under the ROC curve on the full test partition, a threshold-free measure of ranking quality</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Not applicable</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Simulated labels</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Cumulative number of successful evasions used for updates. Static training uses 500 pre-built examples and no post-deployment labels</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Common fixed</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Adaptation-stage queries</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Hard-label queries made by the decision-only attacker on each round's adaptation sample (100 flows per round, at most 50 queries per flow), summed over five rounds (reported in Section 5.7)</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Per setting</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Evaluation-stage queries</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Hard-label queries made by the decision-only attacker when running the decision-only attack against the 1,000-flow evaluation set at each round. They are recorded in the analysis files and are not compared in this paper</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Per setting</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Training and attack time</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Cumulative wall-clock time in one process: initial training, the static arm's example generation and extra training, and, in each round, attack generation and update training for every arm against its own current model. Test-time evaluation is excluded</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Not applicable</w:t>
            </w:r>
          </w:p>
        </w:tc>
      </w:tr>
    </w:tbl>
    <w:p>
      <w:pPr>
        <w:spacing w:after="120"/>
      </w:pPr>
    </w:p>
    <w:p>
      <w:pPr>
        <w:spacing w:after="140" w:line="276"/>
        <w:jc w:val="both"/>
      </w:pPr>
      <w:r>
        <w:rPr>
          <w:rFonts w:ascii="Times New Roman" w:cs="Times New Roman" w:eastAsia="Times New Roman" w:hAnsi="Times New Roman"/>
          <w:sz w:val="22"/>
          <w:szCs w:val="22"/>
        </w:rPr>
        <w:t xml:space="preserve">The primary attack measure is attack-induced ASR at validation-calibrated thresholds, the share of flows an arm detects before perturbation that the attack then moves to the benign side. Table 5 shows why a second, complementary measure, the post-attack benign rate, is reported alongside it. A flow that an arm already classifies as benign before perturbation is counted in the post-attack benign rate whatever the attacker does, so that rate mixes flows the attack moved with flows the arm had already missed, and an arm whose sensitivity falls can show a higher rate for reasons unrelated to the perturbation. It should be read as the share of the cohort that ends up classified benign, and not as a count of attack-induced evasions. The attack-induced measure conditions on flows detected before perturbation, which isolates the effect of the perturbation, but its denominator differs between arms. We therefore report the pre-attack detection rate beside it, together with clean recall, FPR, and AUC, so that a low attack-induced ASR obtained by losing sensitivity or flagging benign traffic is visible.</w:t>
      </w:r>
    </w:p>
    <w:p>
      <w:pPr>
        <w:spacing w:after="140" w:line="276"/>
        <w:jc w:val="both"/>
      </w:pPr>
      <w:r>
        <w:rPr>
          <w:rFonts w:ascii="Times New Roman" w:cs="Times New Roman" w:eastAsia="Times New Roman" w:hAnsi="Times New Roman"/>
          <w:sz w:val="22"/>
          <w:szCs w:val="22"/>
        </w:rPr>
        <w:t xml:space="preserve">Results are reported at round 5 and as round-by-round trajectories. For each arm and attack setting, we report the mean over the five seeds with a 95% Student t interval (4 degrees of freedom). For contrasts between two arms we report the mean of the per-seed differences, its t interval, and the number of seeds in which the first arm was lower. Pairing by seed is natural because arms in the same seed share the split and the initial model. These intervals are descriptive. For the five-seed comparison we run no hypothesis tests, and with five seeds the intervals are wide, so we describe patterns and trade-offs and do not claim statistical superiority. The 20-seed extension (Section 4.9) is analyzed the same way, with 19 degrees of freedom. For it we also compute, as a descriptive check, an exact two-sided sign test on the number of seeds in which the first arm was lower. No multiplicity adjustment is made, and the sign tests are not used to claim that any arm is superior.</w:t>
      </w:r>
    </w:p>
    <w:p>
      <w:pPr>
        <w:pStyle w:val="Heading2"/>
        <w:keepNext/>
        <w:spacing w:after="120" w:before="240"/>
      </w:pPr>
      <w:r>
        <w:rPr>
          <w:rFonts w:ascii="Times New Roman" w:cs="Times New Roman" w:eastAsia="Times New Roman" w:hAnsi="Times New Roman"/>
          <w:b/>
          <w:bCs/>
          <w:sz w:val="24"/>
          <w:szCs w:val="24"/>
        </w:rPr>
        <w:t xml:space="preserve">4.8 Implementation and reproducibility</w:t>
      </w:r>
    </w:p>
    <w:p>
      <w:pPr>
        <w:spacing w:after="140" w:line="276"/>
        <w:jc w:val="both"/>
      </w:pPr>
      <w:r>
        <w:rPr>
          <w:rFonts w:ascii="Times New Roman" w:cs="Times New Roman" w:eastAsia="Times New Roman" w:hAnsi="Times New Roman"/>
          <w:sz w:val="22"/>
          <w:szCs w:val="22"/>
        </w:rPr>
        <w:t xml:space="preserve">The experiment is implemented in Python with NumPy, including the detector and the attacks. The full matrix consists of 15 runs (5 seeds by 3 attack settings), each producing 30 rows (6 arms by 5 rounds), for 450 rows in total. Random streams are seeded per run, and the per-run metadata record the input dimension, partition sizes, common fixed threshold, attack settings, and the number of perturbed features. The reported five-seed outputs were produced before this revision, in an environment that was not recorded. For this revision we re-ran the archived runner on the downloaded data (Python 3.13.17, NumPy 2.5.3, pandas 3.0.5). Five of the 15 runs matched the reported per-run outputs to within float32 rounding (about 10⁻⁷) in every non-timing column, three matched to within 3 × 10⁻⁵, and seven showed small numerical drift. In one seed the initial model's fixed threshold differed slightly, and single round values then differed by up to 3.3 points. The five-seed round-5 means of every rate measure differed from the reported means by at most 0.46 points (0.41 points for calibrated attack-induced ASR). In the seed-paired contrasts of Section 5.3, every seed count was unchanged except rehearsal against frozen in the decision-only setting, which moved from 2 to 3 of 5 seeds with a mean difference near zero. We read this as reproduction with small numerical differences, consistent with the same code running in a different numerical environment, and not as bit-for-bit reproduction. Because the original environment and the exact original code version were not recorded, the rerun does not prove that the archived runner is the code that produced the original outputs. The results in Sections 5.2 to 5.7 report the original outputs. For the five arms shared with the earlier final matrix in the experiment bundle, the clean-side outputs and the fixed-threshold post-attack benign rates match that matrix in every setting, round, and seed compared, on every column that both versions record. The reported runs used all training-file rows, with five rounds and five epochs. The runner's default cap of 30,000 rows and its two-round default are pilot settings and were not used. The attack-induced, pre-attack detection, arm-specific threshold and AUC columns, and the clean-continued control, were added for this study. A random-start PGD variant was not run. Timing values come from in-process wall-clock measurements on one machine and are not normalized across hardware. Each of the 15 runs records a cumulative time for each arm, and Section 5.7 reports the mean over the five seeds for each setting. The initial training of the frozen arm, which follows the same procedure in every run, took between 0.432 and 0.452 seconds across the 15 runs (mean 0.440 seconds, standard deviation 0.006 seconds). Differences of a few hundredths of a second between arms are small relative to these figures and to the attack-generation costs described in Section 5.7, and they are not interpreted as differences in the cost of a policy. The availability of the data and code is described in the Data and Code Availability statement.</w:t>
      </w:r>
    </w:p>
    <w:p>
      <w:pPr>
        <w:pStyle w:val="Heading2"/>
        <w:keepNext/>
        <w:spacing w:after="120" w:before="240"/>
      </w:pPr>
      <w:r>
        <w:rPr>
          <w:rFonts w:ascii="Times New Roman" w:cs="Times New Roman" w:eastAsia="Times New Roman" w:hAnsi="Times New Roman"/>
          <w:b/>
          <w:bCs/>
          <w:sz w:val="24"/>
          <w:szCs w:val="24"/>
        </w:rPr>
        <w:t xml:space="preserve">4.9 Matched-attempt extension and sensitivity analysis</w:t>
      </w:r>
    </w:p>
    <w:p>
      <w:pPr>
        <w:spacing w:after="140" w:line="276"/>
        <w:jc w:val="both"/>
      </w:pPr>
      <w:r>
        <w:rPr>
          <w:rFonts w:ascii="Times New Roman" w:cs="Times New Roman" w:eastAsia="Times New Roman" w:hAnsi="Times New Roman"/>
          <w:sz w:val="22"/>
          <w:szCs w:val="22"/>
        </w:rPr>
        <w:t xml:space="preserve">The extension was designed, and its design written down, before its first runs. It uses seeds 17 to 36 and keeps the data, split, preprocessing, detector, attack settings, per-round attacker budget, evaluation cohort, and threshold rules of the main comparison. The six original arms run unchanged inside the same runs. The extension was run in the reproduction environment of Section 4.8, so for seeds 17 to 21 its values for the shared arms equal the rerun outputs, which differ slightly from the original outputs reported in Sections 5.2 to 5.7.</w:t>
      </w:r>
    </w:p>
    <w:p>
      <w:pPr>
        <w:spacing w:after="140" w:line="276"/>
        <w:jc w:val="both"/>
      </w:pPr>
      <w:r>
        <w:rPr>
          <w:rFonts w:ascii="Times New Roman" w:cs="Times New Roman" w:eastAsia="Times New Roman" w:hAnsi="Times New Roman"/>
          <w:sz w:val="22"/>
          <w:szCs w:val="22"/>
        </w:rPr>
        <w:t xml:space="preserve">The extension matches the number and the source-flow set of attack attempts. It does not match the perturbed feature vectors themselves. One attempt is one attacked malicious flow, labeled malicious from the dataset ground truth and used for training whether or not the perturbation evaded the target model. Rounds 1 to 5 attack the same 100 adaptation flows in every arm, because these flows are chosen by the seed and the adaptation stream and not by any model, so every matched arm trains on attempts made on the same 500 source flows. The vectors can differ, because the one-time arms generate theirs against the initial model before round 1, while the matched all-attempt incremental schedule generates each round's vectors against its model as it changes across rounds. Unlike the original incremental arms C, D, and E, which update only on successful evasions, the matched incremental schedule trains on all 100 attempts in each round, so it is a different update policy from those arms.</w:t>
      </w:r>
    </w:p>
    <w:p>
      <w:pPr>
        <w:spacing w:after="140" w:line="276"/>
        <w:jc w:val="both"/>
      </w:pPr>
      <w:r>
        <w:rPr>
          <w:rFonts w:ascii="Times New Roman" w:cs="Times New Roman" w:eastAsia="Times New Roman" w:hAnsi="Times New Roman"/>
          <w:sz w:val="22"/>
          <w:szCs w:val="22"/>
        </w:rPr>
        <w:t xml:space="preserve">Table 6 lists the matched arms. All use the same rule within each update, namely the attempts plus the 1,000-example clean memory, learning rate 0.001, and batch size 256. They differ in how many updates they make, how long each lasts, and which model the vectors were generated against.</w:t>
      </w:r>
    </w:p>
    <w:p>
      <w:pPr>
        <w:keepNext/>
        <w:spacing w:after="120" w:before="120"/>
        <w:jc w:val="left"/>
      </w:pPr>
      <w:r>
        <w:rPr>
          <w:rFonts w:ascii="Times New Roman" w:cs="Times New Roman" w:eastAsia="Times New Roman" w:hAnsi="Times New Roman"/>
          <w:b/>
          <w:bCs/>
          <w:sz w:val="20"/>
          <w:szCs w:val="20"/>
        </w:rPr>
        <w:t xml:space="preserve">Table 6.</w:t>
      </w:r>
      <w:r>
        <w:rPr>
          <w:rFonts w:ascii="Times New Roman" w:cs="Times New Roman" w:eastAsia="Times New Roman" w:hAnsi="Times New Roman"/>
          <w:sz w:val="20"/>
          <w:szCs w:val="20"/>
        </w:rPr>
        <w:t xml:space="preserve"> Arms of the matched-attempt extension. M1, M1-e10, M1-seq, and M2 train on 500 attempts from the same 500 adaptation flows, labeled malicious. B-dec, like the original static arm, uses 500 flows from the initial training part. Epoch columns give how many epochs each adversarial vector and the clean memory are seen in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50"/>
        <w:gridCol w:w="1100"/>
        <w:gridCol w:w="1550"/>
        <w:gridCol w:w="900"/>
        <w:gridCol w:w="950"/>
        <w:gridCol w:w="1210"/>
      </w:tblGrid>
      <w:tr>
        <w:trPr>
          <w:cantSplit/>
          <w:tblHeader/>
        </w:trPr>
        <w:tc>
          <w:tcPr>
            <w:tcW w:type="dxa" w:w="23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Arm</w:t>
            </w:r>
          </w:p>
        </w:tc>
        <w:tc>
          <w:tcPr>
            <w:tcW w:type="dxa" w:w="135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Updates</w:t>
            </w:r>
          </w:p>
        </w:tc>
        <w:tc>
          <w:tcPr>
            <w:tcW w:type="dxa" w:w="11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Epochs per update</w:t>
            </w:r>
          </w:p>
        </w:tc>
        <w:tc>
          <w:tcPr>
            <w:tcW w:type="dxa" w:w="155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Vectors generated against</w:t>
            </w:r>
          </w:p>
        </w:tc>
        <w:tc>
          <w:tcPr>
            <w:tcW w:type="dxa" w:w="9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Epochs per vector</w:t>
            </w:r>
          </w:p>
        </w:tc>
        <w:tc>
          <w:tcPr>
            <w:tcW w:type="dxa" w:w="95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Clean-memory epochs</w:t>
            </w:r>
          </w:p>
        </w:tc>
        <w:tc>
          <w:tcPr>
            <w:tcW w:type="dxa" w:w="121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Declared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M1, matched one-time</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 before round 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w:t>
            </w:r>
          </w:p>
        </w:tc>
        <w:tc>
          <w:tcPr>
            <w:tcW w:type="dxa" w:w="15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Initial model</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w:t>
            </w:r>
          </w:p>
        </w:tc>
        <w:tc>
          <w:tcPr>
            <w:tcW w:type="dxa" w:w="121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Before any run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M1-e10, matched one-time, 10 epochs</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 before round 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w:t>
            </w:r>
          </w:p>
        </w:tc>
        <w:tc>
          <w:tcPr>
            <w:tcW w:type="dxa" w:w="15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Initial model (M1's vectors)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w:t>
            </w:r>
          </w:p>
        </w:tc>
        <w:tc>
          <w:tcPr>
            <w:tcW w:type="dxa" w:w="121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Before any run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M1-seq, matched one-time, five sequential updates</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 all before round 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w:t>
            </w:r>
          </w:p>
        </w:tc>
        <w:tc>
          <w:tcPr>
            <w:tcW w:type="dxa" w:w="15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Initial model (M1's vectors)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w:t>
            </w:r>
          </w:p>
        </w:tc>
        <w:tc>
          <w:tcPr>
            <w:tcW w:type="dxa" w:w="121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After the first matched results, before its own runs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M2, matched all-attempt incremental</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 one after each round</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w:t>
            </w:r>
          </w:p>
        </w:tc>
        <w:tc>
          <w:tcPr>
            <w:tcW w:type="dxa" w:w="15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M2's current model in each round</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w:t>
            </w:r>
          </w:p>
        </w:tc>
        <w:tc>
          <w:tcPr>
            <w:tcW w:type="dxa" w:w="121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Before any run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B-dec, static with decision-only examples (decision-only setting)</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1, before round 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5, on the initial training part plus the examples</w:t>
            </w:r>
          </w:p>
        </w:tc>
        <w:tc>
          <w:tcPr>
            <w:tcW w:type="dxa" w:w="15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Initial model, decision-only attack</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5</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Not applicable</w:t>
            </w:r>
          </w:p>
        </w:tc>
        <w:tc>
          <w:tcPr>
            <w:tcW w:type="dxa" w:w="121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Before any run</w:t>
            </w:r>
          </w:p>
        </w:tc>
      </w:tr>
    </w:tbl>
    <w:p>
      <w:pPr>
        <w:spacing w:after="120"/>
      </w:pPr>
    </w:p>
    <w:p>
      <w:pPr>
        <w:spacing w:after="140" w:line="276"/>
        <w:jc w:val="both"/>
      </w:pPr>
      <w:r>
        <w:rPr>
          <w:rFonts w:ascii="Times New Roman" w:cs="Times New Roman" w:eastAsia="Times New Roman" w:hAnsi="Times New Roman"/>
          <w:sz w:val="22"/>
          <w:szCs w:val="22"/>
        </w:rPr>
        <w:t xml:space="preserve">M1 and M2 differ in three ways at once, namely when the vectors are generated and which model they target, the number of updates, and the total exposure (one two-epoch update for M1, five for M2). M1-e10 makes one ten-epoch update. It matches M2's total epochs over the clean memory but sees each adversarial vector for ten epochs instead of two. M1 and M1-e10 were declared before any run. M1-seq was added after the results of M1, M1-e10, M2, and the sensitivity analysis were known, in response to review, and its design was written down before any of its runs. It applies M1's 500 vectors in M2's update structure, as five consecutive two-epoch updates before round 1, each on one round's group of 100 vectors plus the clean memory, with the same shuffling seeds as M2's updates. M1-seq and M2 therefore match update calls, optimizer steps, batch sizes, and per-vector and clean-memory exposure, and at round 5 both have completed all five updates. They still differ in two ways. M1-seq makes all five updates before round 1 with vectors generated against the initial model, while M2 makes one update after each round with vectors generated against its changing checkpoints. Their comparison is therefore one between a front-loaded sequence of updates on initial-model vectors and round-by-round updates on checkpoint-generated vectors, and it does not isolate either difference. M1 and M1-seq use the same vectors, but they are not matched in training exposure. M1 makes one two-epoch update on all 500 vectors plus the clean memory (12 optimizer steps), while M1-seq makes five two-epoch updates (50 optimizer steps) and sees the clean memory for ten epochs instead of two. Each vector is seen for two epochs in both. A contrast between M1 and M1-seq therefore reflects update structure and total training exposure together, not update schedule alone. Wall-clock compute was not matched.</w:t>
      </w:r>
    </w:p>
    <w:p>
      <w:pPr>
        <w:spacing w:after="140" w:line="276"/>
        <w:jc w:val="both"/>
      </w:pPr>
      <w:r>
        <w:rPr>
          <w:rFonts w:ascii="Times New Roman" w:cs="Times New Roman" w:eastAsia="Times New Roman" w:hAnsi="Times New Roman"/>
          <w:sz w:val="22"/>
          <w:szCs w:val="22"/>
        </w:rPr>
        <w:t xml:space="preserve">In the decision-only setting, the matched arms use decision-only attempts. A failed decision-only attempt leaves the flow unperturbed, and it still counts as one attempt. A further arm, B-dec, repeats the original static procedure with 500 decision-only attempts generated against the initial model at the common fixed threshold, as the threat-model-matched counterpart of the static arm in that setting.</w:t>
      </w:r>
    </w:p>
    <w:p>
      <w:pPr>
        <w:spacing w:after="140" w:line="276"/>
        <w:jc w:val="both"/>
      </w:pPr>
      <w:r>
        <w:rPr>
          <w:rFonts w:ascii="Times New Roman" w:cs="Times New Roman" w:eastAsia="Times New Roman" w:hAnsi="Times New Roman"/>
          <w:sz w:val="22"/>
          <w:szCs w:val="22"/>
        </w:rPr>
        <w:t xml:space="preserve">The contrasts were listed before the runs: M1 against M2, M1-e10 against M2, the static arm against M1, the static arm against B-dec, and the main comparison's contrasts of Section 5.3, repeated over 20 seeds. The M1-seq contrasts (M1-seq against M2, M1 against M1-seq, and M1-seq against the frozen arm) were listed in the addendum before its runs. All are reported. A separate sensitivity analysis, declared before the extension's runs, varies one update setting at a time over the same 20 seeds, in the FGSM-like setting only. Update epochs take the values 1 and 4 (default 2), the learning rate 0.0005 and 0.002 (default 0.001), and the clean-memory size 500 and 2,000 (default 1,000). These settings apply to arms C, M1, M1-e10, and M2, with M1-e10 using five times the update epochs. M1-seq was not part of the sensitivity analysis. Every configuration is reported, none is selected as best, and thresholds are still chosen on validation data only.</w:t>
      </w:r>
    </w:p>
    <w:p>
      <w:pPr>
        <w:pStyle w:val="Heading1"/>
        <w:keepNext/>
        <w:spacing w:after="160" w:before="360"/>
      </w:pPr>
      <w:r>
        <w:rPr>
          <w:rFonts w:ascii="Times New Roman" w:cs="Times New Roman" w:eastAsia="Times New Roman" w:hAnsi="Times New Roman"/>
          <w:b/>
          <w:bCs/>
          <w:sz w:val="28"/>
          <w:szCs w:val="28"/>
        </w:rPr>
        <w:t xml:space="preserve">5. Results</w:t>
      </w:r>
    </w:p>
    <w:p>
      <w:pPr>
        <w:pStyle w:val="Heading2"/>
        <w:keepNext/>
        <w:spacing w:after="120" w:before="240"/>
      </w:pPr>
      <w:r>
        <w:rPr>
          <w:rFonts w:ascii="Times New Roman" w:cs="Times New Roman" w:eastAsia="Times New Roman" w:hAnsi="Times New Roman"/>
          <w:b/>
          <w:bCs/>
          <w:sz w:val="24"/>
          <w:szCs w:val="24"/>
        </w:rPr>
        <w:t xml:space="preserve">5.1 Reading the results</w:t>
      </w:r>
    </w:p>
    <w:p>
      <w:pPr>
        <w:spacing w:after="140" w:line="276"/>
        <w:jc w:val="both"/>
      </w:pPr>
      <w:r>
        <w:rPr>
          <w:rFonts w:ascii="Times New Roman" w:cs="Times New Roman" w:eastAsia="Times New Roman" w:hAnsi="Times New Roman"/>
          <w:sz w:val="22"/>
          <w:szCs w:val="22"/>
        </w:rPr>
        <w:t xml:space="preserve">Sections 5.2 to 5.7 report the original outputs of the five-seed matrix, produced before this revision (Section 4.8), with five seeds (17 to 21), three attack settings, six arms, and five rounds, which gives 450 rows. Sections 5.8 and 5.9 report the 20-seed extension, run in the reproduction environment, and Section 5.10 reports the perturbation measurements. For seeds 17 to 21, the extension's values for the shared arms come from the rerun and can differ slightly from Sections 5.2 to 5.7, so the two sets are not mixed within any table. In Sections 5.2 to 5.7, unless stated otherwise, numbers are percentages and are means over the five seeds, shown with the half-width of a 95% Student t interval (4 degrees of freedom). Contrasts between arms are seed-paired differences, reported with the same kind of interval and with the number of seeds in which the first arm had the lower value. Because the same five seeds underlie every comparison, and because no hypothesis tests or multiplicity corrections were applied, the intervals describe the spread of this pilot and are not tests of superiority. The primary view uses the arm-specific validation-calibrated thresholds of Section 4.6. Test FPR at those thresholds ranged from 13.22% to 17.02% across the 90 round-5 seed, arm, and attack runs, and validation FPR ranged from 4.99% to 5.00%, so the 5% target holds on validation data and not on the test partition. The common fixed threshold is a secondary view, reported in Section 5.5.</w:t>
      </w:r>
    </w:p>
    <w:p>
      <w:pPr>
        <w:spacing w:after="140" w:line="276"/>
        <w:jc w:val="both"/>
      </w:pPr>
      <w:r>
        <w:rPr>
          <w:rFonts w:ascii="Times New Roman" w:cs="Times New Roman" w:eastAsia="Times New Roman" w:hAnsi="Times New Roman"/>
          <w:sz w:val="22"/>
          <w:szCs w:val="22"/>
        </w:rPr>
        <w:t xml:space="preserve">The BIM-like attack gave round-5 attack-induced ASR within 0.1 percentage points of the FGSM-like attack for every arm (for example, 4.41% against 4.49% for the static arm). Tables 7 and 8 report all three settings. Tables 9 and 10 report the FGSM-like and decision-only settings. The BIM-like clean-side values, including clean F1, are in the analysis files, and they agree with the FGSM-like values to within 0.02 points in every arm mean.</w:t>
      </w:r>
    </w:p>
    <w:p>
      <w:pPr>
        <w:pStyle w:val="Heading2"/>
        <w:keepNext/>
        <w:spacing w:after="120" w:before="240"/>
      </w:pPr>
      <w:r>
        <w:rPr>
          <w:rFonts w:ascii="Times New Roman" w:cs="Times New Roman" w:eastAsia="Times New Roman" w:hAnsi="Times New Roman"/>
          <w:b/>
          <w:bCs/>
          <w:sz w:val="24"/>
          <w:szCs w:val="24"/>
        </w:rPr>
        <w:t xml:space="preserve">5.2 Attack-induced ASR at round 5</w:t>
      </w:r>
    </w:p>
    <w:p>
      <w:pPr>
        <w:spacing w:after="140" w:line="276"/>
        <w:jc w:val="both"/>
      </w:pPr>
      <w:r>
        <w:rPr>
          <w:rFonts w:ascii="Times New Roman" w:cs="Times New Roman" w:eastAsia="Times New Roman" w:hAnsi="Times New Roman"/>
          <w:sz w:val="22"/>
          <w:szCs w:val="22"/>
        </w:rPr>
        <w:t xml:space="preserve">Table 7 reports attack-induced ASR after round 5, which is the share of flows that an arm detects before perturbation and that the attack then moves to the benign side. Figure 2 shows the same quantity with the five individual seed values.</w:t>
      </w:r>
    </w:p>
    <w:p>
      <w:pPr>
        <w:keepNext/>
        <w:spacing w:after="120" w:before="120"/>
        <w:jc w:val="left"/>
      </w:pPr>
      <w:r>
        <w:rPr>
          <w:rFonts w:ascii="Times New Roman" w:cs="Times New Roman" w:eastAsia="Times New Roman" w:hAnsi="Times New Roman"/>
          <w:b/>
          <w:bCs/>
          <w:sz w:val="20"/>
          <w:szCs w:val="20"/>
        </w:rPr>
        <w:t xml:space="preserve">Table 7.</w:t>
      </w:r>
      <w:r>
        <w:rPr>
          <w:rFonts w:ascii="Times New Roman" w:cs="Times New Roman" w:eastAsia="Times New Roman" w:hAnsi="Times New Roman"/>
          <w:sz w:val="20"/>
          <w:szCs w:val="20"/>
        </w:rPr>
        <w:t xml:space="preserve"> Round-5 attack-induced ASR (%) at validation-calibrated thresholds. Mean over five seeds with 95% t interval half-width.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cantSplit/>
          <w:tblHeader/>
        </w:trPr>
        <w:tc>
          <w:tcPr>
            <w:tcW w:type="dxa" w:w="24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Arm</w:t>
            </w:r>
          </w:p>
        </w:tc>
        <w:tc>
          <w:tcPr>
            <w:tcW w:type="dxa" w:w="232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FGSM-like</w:t>
            </w:r>
          </w:p>
        </w:tc>
        <w:tc>
          <w:tcPr>
            <w:tcW w:type="dxa" w:w="232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BIM-like</w:t>
            </w:r>
          </w:p>
        </w:tc>
        <w:tc>
          <w:tcPr>
            <w:tcW w:type="dxa" w:w="232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Decision-only</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 Frozen</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7.80 ± 1.21</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7.84 ± 1.25</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4.48 ± 1.03</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4.49 ± 0.86</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4.41 ± 0.85</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2.27 ± 0.42</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 Rehearsal</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7.49 ± 2.11</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7.49 ± 2.11</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4.46 ± 1.08</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 No rehearsal</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6.08 ± 2.37</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6.06 ± 2.41</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4.18 ± 2.87</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 Balanced</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7.28 ± 1.48</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7.28 ± 1.48</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4.07 ± 0.96</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F Control</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6.84 ± 1.32</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6.84 ± 1.32</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3.53 ± 0.65</w:t>
            </w:r>
          </w:p>
        </w:tc>
      </w:tr>
    </w:tbl>
    <w:p>
      <w:pPr>
        <w:spacing w:after="120"/>
      </w:pPr>
    </w:p>
    <w:p>
      <w:pPr>
        <w:keepNext/>
        <w:spacing w:after="60" w:before="120"/>
        <w:jc w:val="center"/>
      </w:pPr>
      <w:r>
        <w:drawing>
          <wp:inline distT="0" distB="0" distL="0" distR="0">
            <wp:extent cx="5334000" cy="2238375"/>
            <wp:effectExtent t="0" r="0" b="0" l="0"/>
            <wp:docPr id="2" name="Figure 2" descr="Round-5 attack-induced ASR by arm and attack setting, with seed points and 95% interval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38375"/>
                    </a:xfrm>
                    <a:prstGeom prst="rect">
                      <a:avLst/>
                    </a:prstGeom>
                  </pic:spPr>
                </pic:pic>
              </a:graphicData>
            </a:graphic>
          </wp:inline>
        </w:drawing>
      </w:r>
    </w:p>
    <w:p>
      <w:pPr>
        <w:keepNext w:val="false"/>
        <w:spacing w:after="120" w:before="120"/>
        <w:jc w:val="left"/>
      </w:pPr>
      <w:r>
        <w:rPr>
          <w:rFonts w:ascii="Times New Roman" w:cs="Times New Roman" w:eastAsia="Times New Roman" w:hAnsi="Times New Roman"/>
          <w:b/>
          <w:bCs/>
          <w:sz w:val="20"/>
          <w:szCs w:val="20"/>
        </w:rPr>
        <w:t xml:space="preserve">Figure 2.</w:t>
      </w:r>
      <w:r>
        <w:rPr>
          <w:rFonts w:ascii="Times New Roman" w:cs="Times New Roman" w:eastAsia="Times New Roman" w:hAnsi="Times New Roman"/>
          <w:sz w:val="20"/>
          <w:szCs w:val="20"/>
        </w:rPr>
        <w:t xml:space="preserve"> Round-5 attack-induced ASR by arm for each attack setting. Large markers are five-seed means with 95% t intervals, small markers are the five individual seeds, and the dotted line marks the frozen arm's mean. Thresholds are validation-calibrated.</w:t>
      </w:r>
    </w:p>
    <w:p>
      <w:pPr>
        <w:spacing w:after="140" w:line="276"/>
        <w:jc w:val="both"/>
      </w:pPr>
      <w:r>
        <w:rPr>
          <w:rFonts w:ascii="Times New Roman" w:cs="Times New Roman" w:eastAsia="Times New Roman" w:hAnsi="Times New Roman"/>
          <w:sz w:val="22"/>
          <w:szCs w:val="22"/>
        </w:rPr>
        <w:t xml:space="preserve">Table 7 and Figure 2 show that the static arm had the lowest mean in all three settings, at 4.49%, 4.41%, and 2.27% against 7.80%, 7.84%, and 4.48% for the frozen arm. The seed-paired differences in Table 8 describe the comparison directly. Relative to the frozen arm, the static arm was lower by 3.31 points in the FGSM-like setting (interval −4.06 to −2.56), by 3.43 points in the BIM-like setting (−4.15 to −2.71), and by 2.21 points in the decision-only setting (−3.03 to −1.39), and it was lower in all five seeds in each case. The incremental arms with rehearsal (C) and balanced replay (E) have means close to the frozen arm's in every setting, and their paired differences from it (Table 8) have intervals that include zero. The no-rehearsal arm (D) has a lower mean in the gradient settings, which Section 5.4 shows coincides with lower pre-attack detection and clean recall. Its spread across seeds is the widest of all arms, and its paired difference from the frozen arm has an interval that includes zero. The clean-continued control (F) lies between the frozen and static arms. The five seed points in Figure 2 show that the ordering of arm B below arm A held in every seed for all three settings, while the spread among the incremental arms is wide enough that their order is not settled by these data.</w:t>
      </w:r>
    </w:p>
    <w:p>
      <w:pPr>
        <w:pStyle w:val="Heading2"/>
        <w:keepNext/>
        <w:spacing w:after="120" w:before="240"/>
      </w:pPr>
      <w:r>
        <w:rPr>
          <w:rFonts w:ascii="Times New Roman" w:cs="Times New Roman" w:eastAsia="Times New Roman" w:hAnsi="Times New Roman"/>
          <w:b/>
          <w:bCs/>
          <w:sz w:val="24"/>
          <w:szCs w:val="24"/>
        </w:rPr>
        <w:t xml:space="preserve">5.3 Seed-paired contrasts</w:t>
      </w:r>
    </w:p>
    <w:p>
      <w:pPr>
        <w:spacing w:after="140" w:line="276"/>
        <w:jc w:val="both"/>
      </w:pPr>
      <w:r>
        <w:rPr>
          <w:rFonts w:ascii="Times New Roman" w:cs="Times New Roman" w:eastAsia="Times New Roman" w:hAnsi="Times New Roman"/>
          <w:sz w:val="22"/>
          <w:szCs w:val="22"/>
        </w:rPr>
        <w:t xml:space="preserve">Table 8 gives the paired contrasts that bear most directly on the research questions. A negative difference means that the first arm had the lower attack-induced ASR. The last number in each cell is the count of seeds, out of five, in which the first arm was lower.</w:t>
      </w:r>
    </w:p>
    <w:p>
      <w:pPr>
        <w:keepNext/>
        <w:spacing w:after="120" w:before="120"/>
        <w:jc w:val="left"/>
      </w:pPr>
      <w:r>
        <w:rPr>
          <w:rFonts w:ascii="Times New Roman" w:cs="Times New Roman" w:eastAsia="Times New Roman" w:hAnsi="Times New Roman"/>
          <w:b/>
          <w:bCs/>
          <w:sz w:val="20"/>
          <w:szCs w:val="20"/>
        </w:rPr>
        <w:t xml:space="preserve">Table 8.</w:t>
      </w:r>
      <w:r>
        <w:rPr>
          <w:rFonts w:ascii="Times New Roman" w:cs="Times New Roman" w:eastAsia="Times New Roman" w:hAnsi="Times New Roman"/>
          <w:sz w:val="20"/>
          <w:szCs w:val="20"/>
        </w:rPr>
        <w:t xml:space="preserve"> Seed-paired differences in round-5 attack-induced ASR (percentage points), with 95% t interval and the number of seeds (of 5) in which the first arm was lower.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rPr>
          <w:cantSplit/>
          <w:tblHeader/>
        </w:trPr>
        <w:tc>
          <w:tcPr>
            <w:tcW w:type="dxa" w:w="21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First minus second</w:t>
            </w:r>
          </w:p>
        </w:tc>
        <w:tc>
          <w:tcPr>
            <w:tcW w:type="dxa" w:w="242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FGSM-like</w:t>
            </w:r>
          </w:p>
        </w:tc>
        <w:tc>
          <w:tcPr>
            <w:tcW w:type="dxa" w:w="242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BIM-like</w:t>
            </w:r>
          </w:p>
        </w:tc>
        <w:tc>
          <w:tcPr>
            <w:tcW w:type="dxa" w:w="242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Decision-only</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 − A Frozen</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−3.31 [−4.06, −2.56], 5/5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−3.43 [−4.15, −2.71], 5/5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−2.21 [−3.03, −1.39], 5/5</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 Control − A Frozen</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−0.96 [−1.73, −0.19], 5/5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−1.00 [−1.71, −0.29], 5/5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−0.95 [−1.60, −0.29], 5/5</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 − F Control</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−2.35 [−2.89, −1.81], 5/5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−2.43 [−2.92, −1.93], 5/5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−1.27 [−1.76, −0.77], 5/5</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 Rehearsal − A Frozen</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−0.31 [−1.31, 0.69], 4/5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−0.35 [−1.27, 0.57], 4/5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−0.02 [−0.40, 0.37], 2/5</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 Rehearsal − B Static</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3.00 [1.63, 4.37], 0/5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3.08 [1.71, 4.45], 0/5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2.19 [1.41, 2.98], 0/5</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 No rehearsal − A Frozen</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−1.72 [−4.01, 0.57], 4/5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−1.78 [−4.13, 0.56], 4/5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−0.30 [−2.59, 2.00], 4/5</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 Balanced − A Frozen</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−0.52 [−1.29, 0.24], 4/5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−0.56 [−1.39, 0.27], 4/5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−0.41 [−0.86, 0.04], 4/5</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E Balanced − B Static</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2.79 [1.72, 3.85], 0/5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2.87 [1.77, 3.96], 0/5</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1.80 [1.14, 2.46], 0/5</w:t>
            </w:r>
          </w:p>
        </w:tc>
      </w:tr>
    </w:tbl>
    <w:p>
      <w:pPr>
        <w:spacing w:after="120"/>
      </w:pPr>
    </w:p>
    <w:p>
      <w:pPr>
        <w:spacing w:after="140" w:line="276"/>
        <w:jc w:val="both"/>
      </w:pPr>
      <w:r>
        <w:rPr>
          <w:rFonts w:ascii="Times New Roman" w:cs="Times New Roman" w:eastAsia="Times New Roman" w:hAnsi="Times New Roman"/>
          <w:sz w:val="22"/>
          <w:szCs w:val="22"/>
        </w:rPr>
        <w:t xml:space="preserve">Table 8 bears on RQ1 and RQ3. Against the frozen arm, the static arm had lower observed attack-induced ASR in every seed and every setting, and the incremental arms with rehearsal and balanced replay had intervals that include zero in all three settings. In every seed and in all three settings, the static arm had lower attack-induced ASR than the rehearsal arm, which was lower in no seed (0 of 5). Balanced replay compared with static training showed the same pattern. For RQ3, the clean-continued control had lower observed attack-induced ASR than the frozen arm in every seed, so, in the tested configuration, extra clean training was accompanied by a lower measure. The control's difference from the frozen arm was −0.96 points in the FGSM-like setting and −0.95 points in the decision-only setting. The static arm's difference from the control was −2.35 and −1.27 points, lower in every seed. These differences are descriptive. Because the two arms differ in their adversarial examples, they do not divide the static arm's difference between extra training and adversarial examples, and five seeds do not support a finer decomposition. The no-rehearsal arm's contrast has a wide interval that includes zero, and its apparent gain needs the clean-side evidence in Section 5.4 before it can be interpreted.</w:t>
      </w:r>
    </w:p>
    <w:p>
      <w:pPr>
        <w:pStyle w:val="Heading2"/>
        <w:keepNext/>
        <w:spacing w:after="120" w:before="240"/>
      </w:pPr>
      <w:r>
        <w:rPr>
          <w:rFonts w:ascii="Times New Roman" w:cs="Times New Roman" w:eastAsia="Times New Roman" w:hAnsi="Times New Roman"/>
          <w:b/>
          <w:bCs/>
          <w:sz w:val="24"/>
          <w:szCs w:val="24"/>
        </w:rPr>
        <w:t xml:space="preserve">5.4 Clean-traffic behavior at the calibrated thresholds</w:t>
      </w:r>
    </w:p>
    <w:p>
      <w:pPr>
        <w:spacing w:after="140" w:line="276"/>
        <w:jc w:val="both"/>
      </w:pPr>
      <w:r>
        <w:rPr>
          <w:rFonts w:ascii="Times New Roman" w:cs="Times New Roman" w:eastAsia="Times New Roman" w:hAnsi="Times New Roman"/>
          <w:sz w:val="22"/>
          <w:szCs w:val="22"/>
        </w:rPr>
        <w:t xml:space="preserve">Table 9 reports the other measures of Section 4.7 at the same thresholds. It shows what accompanied each change in attack-induced ASR, which is the subject of RQ2. Pre-attack detection and the post-attack benign rate are computed on the fixed evaluation cohort of 1,000 malicious test flows that the initial model detected at the common fixed threshold. Clean recall, FPR, and AUC are computed on the full test partition without perturbation, so pre-attack detection and clean recall are different quantities and are not expected to be equal.</w:t>
      </w:r>
    </w:p>
    <w:p>
      <w:pPr>
        <w:keepNext/>
        <w:spacing w:after="120" w:before="120"/>
        <w:jc w:val="left"/>
      </w:pPr>
      <w:r>
        <w:rPr>
          <w:rFonts w:ascii="Times New Roman" w:cs="Times New Roman" w:eastAsia="Times New Roman" w:hAnsi="Times New Roman"/>
          <w:b/>
          <w:bCs/>
          <w:sz w:val="20"/>
          <w:szCs w:val="20"/>
        </w:rPr>
        <w:t xml:space="preserve">Table 9.</w:t>
      </w:r>
      <w:r>
        <w:rPr>
          <w:rFonts w:ascii="Times New Roman" w:cs="Times New Roman" w:eastAsia="Times New Roman" w:hAnsi="Times New Roman"/>
          <w:sz w:val="20"/>
          <w:szCs w:val="20"/>
        </w:rPr>
        <w:t xml:space="preserve"> Round-5 detection and clean-traffic measures at validation-calibrated thresholds (%, except AUC). Pre-attack detection and post-attack benign rate use the fixed evaluation cohort. Clean recall, FPR, F1, and AUC use the full test partition. Mean ± 95% t interval half-width over five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500"/>
        <w:gridCol w:w="1300"/>
        <w:gridCol w:w="1300"/>
        <w:gridCol w:w="1250"/>
        <w:gridCol w:w="1200"/>
        <w:gridCol w:w="1100"/>
        <w:gridCol w:w="660"/>
      </w:tblGrid>
      <w:tr>
        <w:trPr>
          <w:cantSplit/>
          <w:tblHeader/>
        </w:trPr>
        <w:tc>
          <w:tcPr>
            <w:tcW w:type="dxa" w:w="105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Setting</w:t>
            </w:r>
          </w:p>
        </w:tc>
        <w:tc>
          <w:tcPr>
            <w:tcW w:type="dxa" w:w="15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Arm</w:t>
            </w:r>
          </w:p>
        </w:tc>
        <w:tc>
          <w:tcPr>
            <w:tcW w:type="dxa" w:w="13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Pre-attack detection (cohort)</w:t>
            </w:r>
          </w:p>
        </w:tc>
        <w:tc>
          <w:tcPr>
            <w:tcW w:type="dxa" w:w="13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Post-attack benign rate (cohort)</w:t>
            </w:r>
          </w:p>
        </w:tc>
        <w:tc>
          <w:tcPr>
            <w:tcW w:type="dxa" w:w="125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Clean recall (test set)</w:t>
            </w:r>
          </w:p>
        </w:tc>
        <w:tc>
          <w:tcPr>
            <w:tcW w:type="dxa" w:w="12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Clean FPR</w:t>
            </w:r>
          </w:p>
        </w:tc>
        <w:tc>
          <w:tcPr>
            <w:tcW w:type="dxa" w:w="11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Clean F1 (test set)</w:t>
            </w:r>
          </w:p>
        </w:tc>
        <w:tc>
          <w:tcPr>
            <w:tcW w:type="dxa" w:w="66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AUC</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FGSM-like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 Frozen</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100.00 ± 0.00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7.80 ± 1.21</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89.28 ± 0.19</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15.34 ± 0.67</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88.49 ± 0.25</w:t>
            </w:r>
          </w:p>
        </w:tc>
        <w:tc>
          <w:tcPr>
            <w:tcW w:type="dxa" w:w="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0.961</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99.72 ± 0.18</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4.76 ± 0.74</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90.74 ± 0.37</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15.98 ± 0.72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89.06 ± 0.36</w:t>
            </w:r>
          </w:p>
        </w:tc>
        <w:tc>
          <w:tcPr>
            <w:tcW w:type="dxa" w:w="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0.966</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 Rehearsal</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99.08 ± 0.74</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8.34 ± 2.47</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89.05 ± 0.39</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15.24 ± 0.60</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88.39 ± 0.33</w:t>
            </w:r>
          </w:p>
        </w:tc>
        <w:tc>
          <w:tcPr>
            <w:tcW w:type="dxa" w:w="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0.961</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 No rehearsal</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93.66 ± 1.22</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12.04 ± 1.82</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85.35 ± 1.47</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13.91 ± 0.72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86.78 ± 0.88</w:t>
            </w:r>
          </w:p>
        </w:tc>
        <w:tc>
          <w:tcPr>
            <w:tcW w:type="dxa" w:w="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0.954</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 Balanced</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99.76 ± 0.24</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7.50 ± 1.47</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89.30 ± 0.25</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15.48 ± 0.85</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88.45 ± 0.22</w:t>
            </w:r>
          </w:p>
        </w:tc>
        <w:tc>
          <w:tcPr>
            <w:tcW w:type="dxa" w:w="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0.961</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 Control</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99.68 ± 0.20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7.14 ± 1.26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90.84 ± 0.27</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15.98 ± 0.70</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89.11 ± 0.35</w:t>
            </w:r>
          </w:p>
        </w:tc>
        <w:tc>
          <w:tcPr>
            <w:tcW w:type="dxa" w:w="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0.966</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Decision-only</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 Frozen</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100.00 ± 0.00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4.48 ± 1.03</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89.28 ± 0.19</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15.34 ± 0.67</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88.49 ± 0.25</w:t>
            </w:r>
          </w:p>
        </w:tc>
        <w:tc>
          <w:tcPr>
            <w:tcW w:type="dxa" w:w="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0.961</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99.72 ± 0.18</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2.54 ± 0.39</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90.74 ± 0.37</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15.98 ± 0.72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89.06 ± 0.36</w:t>
            </w:r>
          </w:p>
        </w:tc>
        <w:tc>
          <w:tcPr>
            <w:tcW w:type="dxa" w:w="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0.966</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 Rehearsal</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99.10 ± 0.70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5.32 ± 1.41</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89.04 ± 0.41</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15.24 ± 0.50</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88.39 ± 0.33</w:t>
            </w:r>
          </w:p>
        </w:tc>
        <w:tc>
          <w:tcPr>
            <w:tcW w:type="dxa" w:w="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0.961</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 No rehearsal</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94.78 ± 2.81</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9.22 ± 1.46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86.41 ± 2.27</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14.12 ± 0.81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87.31 ± 1.05</w:t>
            </w:r>
          </w:p>
        </w:tc>
        <w:tc>
          <w:tcPr>
            <w:tcW w:type="dxa" w:w="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0.956</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 Balanced</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99.78 ± 0.24</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4.28 ± 1.02</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89.30 ± 0.27</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15.45 ± 0.89</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88.46 ± 0.24</w:t>
            </w:r>
          </w:p>
        </w:tc>
        <w:tc>
          <w:tcPr>
            <w:tcW w:type="dxa" w:w="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0.961</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F Control</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99.68 ± 0.20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3.84 ± 0.68</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90.84 ± 0.27</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15.98 ± 0.70</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89.11 ± 0.35</w:t>
            </w:r>
          </w:p>
        </w:tc>
        <w:tc>
          <w:tcPr>
            <w:tcW w:type="dxa" w:w="6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0.966</w:t>
            </w:r>
          </w:p>
        </w:tc>
      </w:tr>
    </w:tbl>
    <w:p>
      <w:pPr>
        <w:spacing w:after="120"/>
      </w:pPr>
    </w:p>
    <w:p>
      <w:pPr>
        <w:spacing w:after="140" w:line="276"/>
        <w:jc w:val="both"/>
      </w:pPr>
      <w:r>
        <w:rPr>
          <w:rFonts w:ascii="Times New Roman" w:cs="Times New Roman" w:eastAsia="Times New Roman" w:hAnsi="Times New Roman"/>
          <w:sz w:val="22"/>
          <w:szCs w:val="22"/>
        </w:rPr>
        <w:t xml:space="preserve">Table 9 shows that at the calibrated thresholds the clean-side measures of arms A, B, C, E, and F stay within about 1.6 points of recall and 0.7 points of FPR of the frozen arm. The static arm and the control have almost identical clean-side values (recall 90.74% and 90.84%, FPR 15.98% for both, AUC 0.966), and their paired difference was 0.00 points of FPR (interval −0.50 to 0.50) and −0.09 points of recall (interval −0.36 to 0.18). Compared with the frozen arm, both showed slightly higher recall (static, +1.46 points, interval 1.14 to 1.78) and slightly higher FPR (static, +0.64 points, interval 0.33 to 0.95). This suggests that the clean-side shift of the static arm is shared with the control and is not specific to the adversarial examples.</w:t>
      </w:r>
    </w:p>
    <w:p>
      <w:pPr>
        <w:spacing w:after="140" w:line="276"/>
        <w:jc w:val="both"/>
      </w:pPr>
      <w:r>
        <w:rPr>
          <w:rFonts w:ascii="Times New Roman" w:cs="Times New Roman" w:eastAsia="Times New Roman" w:hAnsi="Times New Roman"/>
          <w:sz w:val="22"/>
          <w:szCs w:val="22"/>
        </w:rPr>
        <w:t xml:space="preserve">Clean F1 is reported in Tables 9 and 10 beside the other clean-side measures (Section 4.7). Its values are identical across the FGSM-like and decision-only settings for arms A and F, whose models do not depend on the attack, and for arm B, because its decision-only evaluation uses the same FGSM-like static examples. For arms C, D, and E the models differ between settings, because each update uses the evasions found in that setting. In the BIM-like setting, the static examples come from the five-step attack, so arm B's clean F1 also differs slightly from its FGSM-like value. Clean F1 depends only on a model and its threshold, so equal models give equal values and differing models give differing values. The stored values were recalculated from clean recall, clean FPR, and the test class counts (45,332 malicious and 37,000 benign), and they agree to rounding in all 450 rows. Their arm means differ by at most 0.53 points at calibrated thresholds, where arm D has 86.78% in the FGSM-like setting and 87.31% in the decision-only setting, and by at most 0.31 points at the fixed threshold. Per-seed differences for arm D reach 1.94 points at calibrated thresholds. The BIM-like clean-side values agree with the FGSM-like values to within 0.02 points in every arm mean, and to within 0.06 points for any single seed. In these runs the round-5 outcomes of the two gradient settings were also nearly identical, and their label counts were identical for every arm and seed. We report this as an observed result, and Section 6.5 discusses it. For its five shared arms, the earlier final matrix in the experiment bundle, run with the same protocol and seeds, matches these values (Section 4.8). At calibrated thresholds, clean F1 is 89.06% for the static arm and 89.11% for the control, against 88.49% for the frozen arm and 86.78% for the no-rehearsal arm, which also has the lowest clean recall.</w:t>
      </w:r>
    </w:p>
    <w:p>
      <w:pPr>
        <w:spacing w:after="140" w:line="276"/>
        <w:jc w:val="both"/>
      </w:pPr>
      <w:r>
        <w:rPr>
          <w:rFonts w:ascii="Times New Roman" w:cs="Times New Roman" w:eastAsia="Times New Roman" w:hAnsi="Times New Roman"/>
          <w:sz w:val="22"/>
          <w:szCs w:val="22"/>
        </w:rPr>
        <w:t xml:space="preserve">The no-rehearsal arm behaves differently. At its calibrated threshold, it detected 93.66% of the evaluation cohort before any perturbation (FGSM-like), against 100% for the frozen arm, and its clean recall on the test set fell by 3.93 points (interval −5.54 to −2.32, lower in all five seeds) while its AUC fell from 0.961 to 0.954. Its attack-induced ASR is computed only over the flows it still detects, so its lower value in Table 7 comes with a smaller denominator and is not by itself a measure of greater robustness. The post-attack benign rate, which covers the whole cohort, was 12.04% for arm D in the FGSM-like setting against 7.80% for the frozen arm, a difference of 4.24 points (interval 2.25 to 6.23, higher in every seed). The same pattern holds in the decision-only setting (9.22% against 4.48%). This rate includes the flows that arm D already classified as benign before the attack, which were about 6.3% of the cohort in the FGSM-like setting, so it does not by itself establish that arm D suffered more attack-induced evasions. What the two measures do show together is that arm D's lower attack-induced ASR coincides with lower pre-attack detection, and that a larger share of the cohort ends up classified benign. Arms C and E had post-attack benign rates close to the frozen arm's (8.34% and 7.50% against 7.80% in the FGSM-like setting), and their intervals include it.</w:t>
      </w:r>
    </w:p>
    <w:p>
      <w:pPr>
        <w:pStyle w:val="Heading2"/>
        <w:keepNext/>
        <w:spacing w:after="120" w:before="240"/>
      </w:pPr>
      <w:r>
        <w:rPr>
          <w:rFonts w:ascii="Times New Roman" w:cs="Times New Roman" w:eastAsia="Times New Roman" w:hAnsi="Times New Roman"/>
          <w:b/>
          <w:bCs/>
          <w:sz w:val="24"/>
          <w:szCs w:val="24"/>
        </w:rPr>
        <w:t xml:space="preserve">5.5 Fixed-threshold view</w:t>
      </w:r>
    </w:p>
    <w:p>
      <w:pPr>
        <w:spacing w:after="140" w:line="276"/>
        <w:jc w:val="both"/>
      </w:pPr>
      <w:r>
        <w:rPr>
          <w:rFonts w:ascii="Times New Roman" w:cs="Times New Roman" w:eastAsia="Times New Roman" w:hAnsi="Times New Roman"/>
          <w:sz w:val="22"/>
          <w:szCs w:val="22"/>
        </w:rPr>
        <w:t xml:space="preserve">Table 10 reports the secondary view, in which all arms use the common fixed threshold. Figure 3 connects the two views for each arm, so the shift from the calibrated to the fixed threshold can be seen as a movement along the FPR and attack-induced ASR axes.</w:t>
      </w:r>
    </w:p>
    <w:p>
      <w:pPr>
        <w:keepNext/>
        <w:spacing w:after="120" w:before="120"/>
        <w:jc w:val="left"/>
      </w:pPr>
      <w:r>
        <w:rPr>
          <w:rFonts w:ascii="Times New Roman" w:cs="Times New Roman" w:eastAsia="Times New Roman" w:hAnsi="Times New Roman"/>
          <w:b/>
          <w:bCs/>
          <w:sz w:val="20"/>
          <w:szCs w:val="20"/>
        </w:rPr>
        <w:t xml:space="preserve">Table 10.</w:t>
      </w:r>
      <w:r>
        <w:rPr>
          <w:rFonts w:ascii="Times New Roman" w:cs="Times New Roman" w:eastAsia="Times New Roman" w:hAnsi="Times New Roman"/>
          <w:sz w:val="20"/>
          <w:szCs w:val="20"/>
        </w:rPr>
        <w:t xml:space="preserve"> Round-5 results at the common fixed threshold (%). Mean ± 95% t half-width over five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640"/>
        <w:gridCol w:w="1640"/>
        <w:gridCol w:w="1640"/>
        <w:gridCol w:w="1440"/>
      </w:tblGrid>
      <w:tr>
        <w:trPr>
          <w:cantSplit/>
          <w:tblHeader/>
        </w:trPr>
        <w:tc>
          <w:tcPr>
            <w:tcW w:type="dxa" w:w="13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Setting</w:t>
            </w:r>
          </w:p>
        </w:tc>
        <w:tc>
          <w:tcPr>
            <w:tcW w:type="dxa" w:w="17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Arm</w:t>
            </w:r>
          </w:p>
        </w:tc>
        <w:tc>
          <w:tcPr>
            <w:tcW w:type="dxa" w:w="164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Attack-induced ASR</w:t>
            </w:r>
          </w:p>
        </w:tc>
        <w:tc>
          <w:tcPr>
            <w:tcW w:type="dxa" w:w="164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Clean recall</w:t>
            </w:r>
          </w:p>
        </w:tc>
        <w:tc>
          <w:tcPr>
            <w:tcW w:type="dxa" w:w="164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Clean FPR</w:t>
            </w:r>
          </w:p>
        </w:tc>
        <w:tc>
          <w:tcPr>
            <w:tcW w:type="dxa" w:w="144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Clean F1</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FGSM-like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 Frozen</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7.80 ± 1.21</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89.28 ± 0.19</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15.34 ± 0.67</w:t>
            </w:r>
          </w:p>
        </w:tc>
        <w:tc>
          <w:tcPr>
            <w:tcW w:type="dxa" w:w="14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88.49 ± 0.25</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4.01 ± 2.60</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90.66 ± 3.02</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16.14 ± 6.06</w:t>
            </w:r>
          </w:p>
        </w:tc>
        <w:tc>
          <w:tcPr>
            <w:tcW w:type="dxa" w:w="14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88.97 ± 0.58</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 Rehearsal</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5.02 ± 2.54</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91.45 ± 1.90</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20.93 ± 4.98</w:t>
            </w:r>
          </w:p>
        </w:tc>
        <w:tc>
          <w:tcPr>
            <w:tcW w:type="dxa" w:w="14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87.72 ± 0.78</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 No rehearsal</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0.00 ± 0.00</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99.98 ± 0.01</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43.70 ± 0.95</w:t>
            </w:r>
          </w:p>
        </w:tc>
        <w:tc>
          <w:tcPr>
            <w:tcW w:type="dxa" w:w="14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84.86 ± 0.28</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 Balanced</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11.66 ± 2.44</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83.85 ± 1.13</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5.50 ± 1.40</w:t>
            </w:r>
          </w:p>
        </w:tc>
        <w:tc>
          <w:tcPr>
            <w:tcW w:type="dxa" w:w="14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89.04 ± 0.29</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 Control</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7.21 ± 1.19</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90.61 ± 0.97</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15.51 ± 2.43</w:t>
            </w:r>
          </w:p>
        </w:tc>
        <w:tc>
          <w:tcPr>
            <w:tcW w:type="dxa" w:w="14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89.15 ± 0.47</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Decision-only</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 Frozen</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4.48 ± 1.03</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89.28 ± 0.19</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15.34 ± 0.67</w:t>
            </w:r>
          </w:p>
        </w:tc>
        <w:tc>
          <w:tcPr>
            <w:tcW w:type="dxa" w:w="14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88.49 ± 0.25</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1.80 ± 1.50</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90.66 ± 3.02</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16.14 ± 6.06</w:t>
            </w:r>
          </w:p>
        </w:tc>
        <w:tc>
          <w:tcPr>
            <w:tcW w:type="dxa" w:w="14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88.97 ± 0.58</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 Rehearsal</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2.27 ± 1.39</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91.36 ± 2.01</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20.66 ± 5.32</w:t>
            </w:r>
          </w:p>
        </w:tc>
        <w:tc>
          <w:tcPr>
            <w:tcW w:type="dxa" w:w="14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87.76 ± 0.84</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 No rehearsal</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0.00 ± 0.00</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99.92 ± 0.16</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42.57 ± 1.39</w:t>
            </w:r>
          </w:p>
        </w:tc>
        <w:tc>
          <w:tcPr>
            <w:tcW w:type="dxa" w:w="14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85.16 ± 0.35</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 Balanced</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7.87 ± 1.48</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83.15 ± 1.19</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4.77 ± 1.32</w:t>
            </w:r>
          </w:p>
        </w:tc>
        <w:tc>
          <w:tcPr>
            <w:tcW w:type="dxa" w:w="14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88.91 ± 0.40</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F Control</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3.50 ± 0.82</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90.61 ± 0.97</w:t>
            </w:r>
          </w:p>
        </w:tc>
        <w:tc>
          <w:tcPr>
            <w:tcW w:type="dxa" w:w="16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15.51 ± 2.43</w:t>
            </w:r>
          </w:p>
        </w:tc>
        <w:tc>
          <w:tcPr>
            <w:tcW w:type="dxa" w:w="144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89.15 ± 0.47</w:t>
            </w:r>
          </w:p>
        </w:tc>
      </w:tr>
    </w:tbl>
    <w:p>
      <w:pPr>
        <w:spacing w:after="120"/>
      </w:pPr>
    </w:p>
    <w:p>
      <w:pPr>
        <w:keepNext/>
        <w:spacing w:after="60" w:before="120"/>
        <w:jc w:val="center"/>
      </w:pPr>
      <w:r>
        <w:drawing>
          <wp:inline distT="0" distB="0" distL="0" distR="0">
            <wp:extent cx="5334000" cy="2447925"/>
            <wp:effectExtent t="0" r="0" b="0" l="0"/>
            <wp:docPr id="3" name="Figure 3" descr="Arrow plot from validation-calibrated to common fixed threshold, FPR against attack-induced ASR"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47925"/>
                    </a:xfrm>
                    <a:prstGeom prst="rect">
                      <a:avLst/>
                    </a:prstGeom>
                  </pic:spPr>
                </pic:pic>
              </a:graphicData>
            </a:graphic>
          </wp:inline>
        </w:drawing>
      </w:r>
    </w:p>
    <w:p>
      <w:pPr>
        <w:keepNext w:val="false"/>
        <w:spacing w:after="120" w:before="120"/>
        <w:jc w:val="left"/>
      </w:pPr>
      <w:r>
        <w:rPr>
          <w:rFonts w:ascii="Times New Roman" w:cs="Times New Roman" w:eastAsia="Times New Roman" w:hAnsi="Times New Roman"/>
          <w:b/>
          <w:bCs/>
          <w:sz w:val="20"/>
          <w:szCs w:val="20"/>
        </w:rPr>
        <w:t xml:space="preserve">Figure 3.</w:t>
      </w:r>
      <w:r>
        <w:rPr>
          <w:rFonts w:ascii="Times New Roman" w:cs="Times New Roman" w:eastAsia="Times New Roman" w:hAnsi="Times New Roman"/>
          <w:sz w:val="20"/>
          <w:szCs w:val="20"/>
        </w:rPr>
        <w:t xml:space="preserve"> Movement of each arm from its validation-calibrated threshold (filled marker) to the common fixed threshold (open marker) in the FGSM-like and decision-only settings, plotted as test-set FPR against attack-induced ASR. Letters mark the arms. Arms A and F barely move, so their markers nearly coincide.</w:t>
      </w:r>
    </w:p>
    <w:p>
      <w:pPr>
        <w:spacing w:after="140" w:line="276"/>
        <w:jc w:val="both"/>
      </w:pPr>
      <w:r>
        <w:rPr>
          <w:rFonts w:ascii="Times New Roman" w:cs="Times New Roman" w:eastAsia="Times New Roman" w:hAnsi="Times New Roman"/>
          <w:sz w:val="22"/>
          <w:szCs w:val="22"/>
        </w:rPr>
        <w:t xml:space="preserve">Table 10 and Figure 3 show why the fixed-threshold view alone can mislead. At the fixed threshold, arm C reached 5.02% attack-induced ASR in the FGSM-like setting, which looks close to the static arm's 4.01%, but its FPR was 20.93% against 15.34% for the frozen arm, an increase of 5.59 points (interval 0.92 to 10.27, higher in every seed). Arm D reached 0.00% attack-induced ASR with an FPR of 43.70%, which means its model flags a large share of benign flows at that threshold. Arm E moved the other way, with FPR of 5.50%, recall of 83.85%, and the highest attack-induced ASR (11.66%). Once each arm receives its own validation threshold (the filled markers), the arms C, D, and E all fall back near the frozen arm's FPR and their attack-induced ASR values move to within a few points of it. This is the pattern that motivated the calibrated analysis. The static arm and the control moved little between thresholds, though the static arm's fixed-threshold FPR varied widely across seeds (half-width 6.06 points), which suggests that its threshold behavior is less stable than its calibrated behavior. The reduced fixed-threshold ASR of arm C is therefore not evidence of robustness at a matched operating point, since part of it comes with more false alarms.</w:t>
      </w:r>
    </w:p>
    <w:p>
      <w:pPr>
        <w:pStyle w:val="Heading2"/>
        <w:keepNext/>
        <w:spacing w:after="120" w:before="240"/>
      </w:pPr>
      <w:r>
        <w:rPr>
          <w:rFonts w:ascii="Times New Roman" w:cs="Times New Roman" w:eastAsia="Times New Roman" w:hAnsi="Times New Roman"/>
          <w:b/>
          <w:bCs/>
          <w:sz w:val="24"/>
          <w:szCs w:val="24"/>
        </w:rPr>
        <w:t xml:space="preserve">5.6 Round-by-round trajectories</w:t>
      </w:r>
    </w:p>
    <w:p>
      <w:pPr>
        <w:spacing w:after="140" w:line="276"/>
        <w:jc w:val="both"/>
      </w:pPr>
      <w:r>
        <w:rPr>
          <w:rFonts w:ascii="Times New Roman" w:cs="Times New Roman" w:eastAsia="Times New Roman" w:hAnsi="Times New Roman"/>
          <w:sz w:val="22"/>
          <w:szCs w:val="22"/>
        </w:rPr>
        <w:t xml:space="preserve">Figure 4 shows round-by-round attack-induced ASR at the calibrated thresholds.</w:t>
      </w:r>
    </w:p>
    <w:p>
      <w:pPr>
        <w:keepNext/>
        <w:spacing w:after="60" w:before="120"/>
        <w:jc w:val="center"/>
      </w:pPr>
      <w:r>
        <w:drawing>
          <wp:inline distT="0" distB="0" distL="0" distR="0">
            <wp:extent cx="5334000" cy="2095500"/>
            <wp:effectExtent t="0" r="0" b="0" l="0"/>
            <wp:docPr id="4" name="Figure 4" descr="Per-round attack-induced ASR by arm for three attack setting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95500"/>
                    </a:xfrm>
                    <a:prstGeom prst="rect">
                      <a:avLst/>
                    </a:prstGeom>
                  </pic:spPr>
                </pic:pic>
              </a:graphicData>
            </a:graphic>
          </wp:inline>
        </w:drawing>
      </w:r>
    </w:p>
    <w:p>
      <w:pPr>
        <w:keepNext w:val="false"/>
        <w:spacing w:after="120" w:before="120"/>
        <w:jc w:val="left"/>
      </w:pPr>
      <w:r>
        <w:rPr>
          <w:rFonts w:ascii="Times New Roman" w:cs="Times New Roman" w:eastAsia="Times New Roman" w:hAnsi="Times New Roman"/>
          <w:b/>
          <w:bCs/>
          <w:sz w:val="20"/>
          <w:szCs w:val="20"/>
        </w:rPr>
        <w:t xml:space="preserve">Figure 4.</w:t>
      </w:r>
      <w:r>
        <w:rPr>
          <w:rFonts w:ascii="Times New Roman" w:cs="Times New Roman" w:eastAsia="Times New Roman" w:hAnsi="Times New Roman"/>
          <w:sz w:val="20"/>
          <w:szCs w:val="20"/>
        </w:rPr>
        <w:t xml:space="preserve"> Attack-induced ASR (five-seed mean, validation-calibrated thresholds) after each round, one panel per attack setting. Arms A, B, and F do not update, so their lines are flat apart from sampling variation in the decision-only attack.</w:t>
      </w:r>
    </w:p>
    <w:p>
      <w:pPr>
        <w:spacing w:after="140" w:line="276"/>
        <w:jc w:val="both"/>
      </w:pPr>
      <w:r>
        <w:rPr>
          <w:rFonts w:ascii="Times New Roman" w:cs="Times New Roman" w:eastAsia="Times New Roman" w:hAnsi="Times New Roman"/>
          <w:sz w:val="22"/>
          <w:szCs w:val="22"/>
        </w:rPr>
        <w:t xml:space="preserve">Figure 4 shows no sustained downward trend for the arms that update from feedback. In the FGSM-like setting, arm C moved from 7.67% in round 1 to 7.49% in round 5 and arm E from 7.52% to 7.28%, both small changes relative to the intervals in Table 7. Arm D moved more, from 8.26% in round 1 and 8.62% in round 2 to 6.08% in round 5, but this change accompanies the loss of sensitivity described in Section 5.4 (its clean recall fell from 89.25% to 85.35% over the same rounds). In the decision-only setting, arm D rose to 6.17% in round 2 and returned to 4.18% by round 5, which reflects the high seed-to-seed variability of its small update sets. The non-updating arms are flat in the gradient settings because their models and the evaluation set do not change, and the small movements in the decision-only panel come from the randomness of the search.</w:t>
      </w:r>
    </w:p>
    <w:p>
      <w:pPr>
        <w:pStyle w:val="Heading2"/>
        <w:keepNext/>
        <w:spacing w:after="120" w:before="240"/>
      </w:pPr>
      <w:r>
        <w:rPr>
          <w:rFonts w:ascii="Times New Roman" w:cs="Times New Roman" w:eastAsia="Times New Roman" w:hAnsi="Times New Roman"/>
          <w:b/>
          <w:bCs/>
          <w:sz w:val="24"/>
          <w:szCs w:val="24"/>
        </w:rPr>
        <w:t xml:space="preserve">5.7 Feedback, queries, and time</w:t>
      </w:r>
    </w:p>
    <w:p>
      <w:pPr>
        <w:spacing w:after="140" w:line="276"/>
        <w:jc w:val="both"/>
      </w:pPr>
      <w:r>
        <w:rPr>
          <w:rFonts w:ascii="Times New Roman" w:cs="Times New Roman" w:eastAsia="Times New Roman" w:hAnsi="Times New Roman"/>
          <w:sz w:val="22"/>
          <w:szCs w:val="22"/>
        </w:rPr>
        <w:t xml:space="preserve">Table 11 reports the cost measures of RQ4. Feedback labels are the cumulative number of successful evasions available for updates over five rounds, and the adaptation-stage queries are the hard-label queries spent by the decision-only attacker on each round's adaptation sample, summed over the five rounds. Evaluation-stage queries are recorded in the analysis files and are not reported or compared in this section. The label counts for the BIM-like setting were identical to those of the FGSM-like setting for every arm and seed, so one column covers both gradient settings. Time is the cumulative wall-clock time for each arm over the five rounds. It covers initial training, the static arm's example generation and extra training, and, in each round, the attack generation and update training against that arm's own model. Test-time evaluation is excluded. Attack generation runs for every arm in every round, whether or not the arm updates, so the frozen arm's time also includes its per-round attack generation. In the decision-only setting, this generation adds about 0.31 seconds to the frozen arm's initial training of about 0.44 seconds, and in the gradient settings the frozen arm's cumulative time (about 0.44 seconds) is close to its initial training time, so the per-round gradient attack cost cannot be separated from run-to-run variation in these records.</w:t>
      </w:r>
    </w:p>
    <w:p>
      <w:pPr>
        <w:keepNext/>
        <w:spacing w:after="120" w:before="120"/>
        <w:jc w:val="left"/>
      </w:pPr>
      <w:r>
        <w:rPr>
          <w:rFonts w:ascii="Times New Roman" w:cs="Times New Roman" w:eastAsia="Times New Roman" w:hAnsi="Times New Roman"/>
          <w:b/>
          <w:bCs/>
          <w:sz w:val="20"/>
          <w:szCs w:val="20"/>
        </w:rPr>
        <w:t xml:space="preserve">Table 11.</w:t>
      </w:r>
      <w:r>
        <w:rPr>
          <w:rFonts w:ascii="Times New Roman" w:cs="Times New Roman" w:eastAsia="Times New Roman" w:hAnsi="Times New Roman"/>
          <w:sz w:val="20"/>
          <w:szCs w:val="20"/>
        </w:rPr>
        <w:t xml:space="preserve"> Cumulative simulated feedback labels, adaptation-stage queries, and training-and-attack time over five rounds. Values are five-seed means, with ranges across seeds for labels. Time excludes test-time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300"/>
        <w:gridCol w:w="1090"/>
        <w:gridCol w:w="1090"/>
        <w:gridCol w:w="1080"/>
      </w:tblGrid>
      <w:tr>
        <w:trPr>
          <w:cantSplit/>
          <w:tblHeader/>
        </w:trPr>
        <w:tc>
          <w:tcPr>
            <w:tcW w:type="dxa" w:w="20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Arm</w:t>
            </w:r>
          </w:p>
        </w:tc>
        <w:tc>
          <w:tcPr>
            <w:tcW w:type="dxa" w:w="14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Labels (FGSM-like and BIM-like)</w:t>
            </w:r>
          </w:p>
        </w:tc>
        <w:tc>
          <w:tcPr>
            <w:tcW w:type="dxa" w:w="14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Labels (decision-only)</w:t>
            </w:r>
          </w:p>
        </w:tc>
        <w:tc>
          <w:tcPr>
            <w:tcW w:type="dxa" w:w="13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Adaptation queries (decision-only)</w:t>
            </w:r>
          </w:p>
        </w:tc>
        <w:tc>
          <w:tcPr>
            <w:tcW w:type="dxa" w:w="109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Time, s (FGSM-like)</w:t>
            </w:r>
          </w:p>
        </w:tc>
        <w:tc>
          <w:tcPr>
            <w:tcW w:type="dxa" w:w="109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Time, s (BIM-like)</w:t>
            </w:r>
          </w:p>
        </w:tc>
        <w:tc>
          <w:tcPr>
            <w:tcW w:type="dxa" w:w="108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Time, s (decision-only)</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 Frozen</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21,700</w:t>
            </w:r>
          </w:p>
        </w:tc>
        <w:tc>
          <w:tcPr>
            <w:tcW w:type="dxa" w:w="109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0.44</w:t>
            </w:r>
          </w:p>
        </w:tc>
        <w:tc>
          <w:tcPr>
            <w:tcW w:type="dxa" w:w="109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0.44</w:t>
            </w:r>
          </w:p>
        </w:tc>
        <w:tc>
          <w:tcPr>
            <w:tcW w:type="dxa" w:w="1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0.75</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 (500 pre-built examples)</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 (500 pre-built examples)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22,090</w:t>
            </w:r>
          </w:p>
        </w:tc>
        <w:tc>
          <w:tcPr>
            <w:tcW w:type="dxa" w:w="109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0.88</w:t>
            </w:r>
          </w:p>
        </w:tc>
        <w:tc>
          <w:tcPr>
            <w:tcW w:type="dxa" w:w="109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0.88</w:t>
            </w:r>
          </w:p>
        </w:tc>
        <w:tc>
          <w:tcPr>
            <w:tcW w:type="dxa" w:w="1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1.20</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 Rehearsal</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77.4 (69 to 90)</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62.8 (56 to 75)</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22,146</w:t>
            </w:r>
          </w:p>
        </w:tc>
        <w:tc>
          <w:tcPr>
            <w:tcW w:type="dxa" w:w="109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0.45</w:t>
            </w:r>
          </w:p>
        </w:tc>
        <w:tc>
          <w:tcPr>
            <w:tcW w:type="dxa" w:w="109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0.45</w:t>
            </w:r>
          </w:p>
        </w:tc>
        <w:tc>
          <w:tcPr>
            <w:tcW w:type="dxa" w:w="1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0.76</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 No rehearsal</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26.4 (21 to 31)</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21.4 (19 to 25)</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24,017</w:t>
            </w:r>
          </w:p>
        </w:tc>
        <w:tc>
          <w:tcPr>
            <w:tcW w:type="dxa" w:w="109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0.44</w:t>
            </w:r>
          </w:p>
        </w:tc>
        <w:tc>
          <w:tcPr>
            <w:tcW w:type="dxa" w:w="109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0.44</w:t>
            </w:r>
          </w:p>
        </w:tc>
        <w:tc>
          <w:tcPr>
            <w:tcW w:type="dxa" w:w="1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0.79</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 Balanced</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111.4 (99 to 121)</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100.0 (90 to 110)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20,324</w:t>
            </w:r>
          </w:p>
        </w:tc>
        <w:tc>
          <w:tcPr>
            <w:tcW w:type="dxa" w:w="109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0.45</w:t>
            </w:r>
          </w:p>
        </w:tc>
        <w:tc>
          <w:tcPr>
            <w:tcW w:type="dxa" w:w="109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0.45</w:t>
            </w:r>
          </w:p>
        </w:tc>
        <w:tc>
          <w:tcPr>
            <w:tcW w:type="dxa" w:w="1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0.74</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F Control</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0</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21,758</w:t>
            </w:r>
          </w:p>
        </w:tc>
        <w:tc>
          <w:tcPr>
            <w:tcW w:type="dxa" w:w="109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0.88</w:t>
            </w:r>
          </w:p>
        </w:tc>
        <w:tc>
          <w:tcPr>
            <w:tcW w:type="dxa" w:w="109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0.89</w:t>
            </w:r>
          </w:p>
        </w:tc>
        <w:tc>
          <w:tcPr>
            <w:tcW w:type="dxa" w:w="1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1.18</w:t>
            </w:r>
          </w:p>
        </w:tc>
      </w:tr>
    </w:tbl>
    <w:p>
      <w:pPr>
        <w:spacing w:after="120"/>
      </w:pPr>
    </w:p>
    <w:p>
      <w:pPr>
        <w:spacing w:after="140" w:line="276"/>
        <w:jc w:val="both"/>
      </w:pPr>
      <w:r>
        <w:rPr>
          <w:rFonts w:ascii="Times New Roman" w:cs="Times New Roman" w:eastAsia="Times New Roman" w:hAnsi="Times New Roman"/>
          <w:sz w:val="22"/>
          <w:szCs w:val="22"/>
        </w:rPr>
        <w:t xml:space="preserve">Table 11 shows three things. First, the incremental arms received few labels, with five-seed means between about 21 and 111 over five rounds, because only a small share of the 100 flows attacked each round evaded at the fixed threshold. Label counts differ across arms because each arm's own model produces its own evasions, so the label budgets are not matched, and the static arm used 500 pre-built examples that are not counted as post-deployment labels. Second, the five-seed mean of adaptation-stage queries, summed over five rounds, ranged from 20,324 (arm E) to 24,017 (arm D) of a possible 25,000, because every arm is attacked each round whether or not it updates, and so queries do not separate the policies. Third, time differs little in absolute terms. The static arm and the control took about twice as long as the frozen arm (0.88 s against 0.44 s in the FGSM-like and BIM-like settings, and 1.20 s against 0.75 s in the decision-only setting), which is consistent with their five extra training epochs. The run metadata record a static-arm update time close to the initial training time in every run. Relative to the frozen arm, the incremental arms differ by between −0.012 and +0.034 seconds in the means over five seeds. The largest difference is arm D in the decision-only setting, at 0.787 seconds against 0.753 seconds. These differences combine update training with attack generation against each arm's model, which the records do not separate, so they are small relative to the attack-generation cost in the decision-only setting and are not read as differences in policy cost. These timings come from a small NumPy model on a single machine and should not be extrapolated to larger detectors or to real analyst effort, which this study did not measure.</w:t>
      </w:r>
    </w:p>
    <w:p>
      <w:pPr>
        <w:pStyle w:val="Heading2"/>
        <w:keepNext/>
        <w:spacing w:after="120" w:before="240"/>
      </w:pPr>
      <w:r>
        <w:rPr>
          <w:rFonts w:ascii="Times New Roman" w:cs="Times New Roman" w:eastAsia="Times New Roman" w:hAnsi="Times New Roman"/>
          <w:b/>
          <w:bCs/>
          <w:sz w:val="24"/>
          <w:szCs w:val="24"/>
        </w:rPr>
        <w:t xml:space="preserve">5.8 Matched-attempt comparison over 20 seeds</w:t>
      </w:r>
    </w:p>
    <w:p>
      <w:pPr>
        <w:spacing w:after="140" w:line="276"/>
        <w:jc w:val="both"/>
      </w:pPr>
      <w:r>
        <w:rPr>
          <w:rFonts w:ascii="Times New Roman" w:cs="Times New Roman" w:eastAsia="Times New Roman" w:hAnsi="Times New Roman"/>
          <w:sz w:val="22"/>
          <w:szCs w:val="22"/>
        </w:rPr>
        <w:t xml:space="preserve">Table 12 gives round-5 attack-induced ASR for every arm over seeds 17 to 36, Table 13 gives the seed-paired contrasts, and Figure 5 shows the per-seed differences. All values in this section come from the extension's runs in the reproduction environment. Over 20 seeds, the pattern of the main comparison held for its shared arms. The static arm had lower observed attack-induced ASR than the frozen, rehearsal, and control arms in every seed of every setting, and the control was lower than the frozen arm in 16, 16, and 19 of 20 seeds in the FGSM-like, BIM-like, and decision-only settings. As in the five-seed runs, the FGSM-like and BIM-like settings gave nearly identical values. This is an observation, and its cause was not tested.</w:t>
      </w:r>
    </w:p>
    <w:p>
      <w:pPr>
        <w:keepNext/>
        <w:spacing w:after="120" w:before="120"/>
        <w:jc w:val="left"/>
      </w:pPr>
      <w:r>
        <w:rPr>
          <w:rFonts w:ascii="Times New Roman" w:cs="Times New Roman" w:eastAsia="Times New Roman" w:hAnsi="Times New Roman"/>
          <w:b/>
          <w:bCs/>
          <w:sz w:val="20"/>
          <w:szCs w:val="20"/>
        </w:rPr>
        <w:t xml:space="preserve">Table 12.</w:t>
      </w:r>
      <w:r>
        <w:rPr>
          <w:rFonts w:ascii="Times New Roman" w:cs="Times New Roman" w:eastAsia="Times New Roman" w:hAnsi="Times New Roman"/>
          <w:sz w:val="20"/>
          <w:szCs w:val="20"/>
        </w:rPr>
        <w:t xml:space="preserve"> Round-5 attack-induced ASR (%) at validation-calibrated thresholds over 20 seeds (17 to 36), extension runs. Mean ± 95% t interval half-width (19 degrees of freedom). Matched arms train on 500 attack attempts from the same 500 source flows (Table 6). B-dec was run only in the decision-only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cantSplit/>
          <w:tblHeader/>
        </w:trPr>
        <w:tc>
          <w:tcPr>
            <w:tcW w:type="dxa" w:w="336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Arm</w:t>
            </w:r>
          </w:p>
        </w:tc>
        <w:tc>
          <w:tcPr>
            <w:tcW w:type="dxa" w:w="20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FGSM-like</w:t>
            </w:r>
          </w:p>
        </w:tc>
        <w:tc>
          <w:tcPr>
            <w:tcW w:type="dxa" w:w="20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BIM-like</w:t>
            </w:r>
          </w:p>
        </w:tc>
        <w:tc>
          <w:tcPr>
            <w:tcW w:type="dxa" w:w="20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Decision-only</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 Frozen</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9.11 ± 0.93</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9.12 ± 0.93</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5.32 ± 0.54</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5.43 ± 0.48</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5.42 ± 0.49</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2.73 ± 0.37</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B-dec Static, decision-only examples</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Not run</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Not run</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4.05 ± 0.45</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 Rehearsal (successful evasions only)</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8.96 ± 0.98</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8.96 ± 0.98</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5.17 ± 0.57</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 No rehearsal</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6.77 ± 0.76</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6.76 ± 0.75</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4.10 ± 0.80</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 Balanced</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8.49 ± 0.93</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8.50 ± 0.94</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4.75 ± 0.61</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 Control</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7.99 ± 0.75</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7.99 ± 0.75</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4.25 ± 0.51</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M1 Matched one-time, 1 × 2 epochs</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9.42 ± 0.98</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9.42 ± 0.98</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5.55 ± 0.82</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M1-e10 Matched one-time, 1 × 10 epochs</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6.67 ± 0.71</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6.67 ± 0.71</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5.07 ± 0.61</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M1-seq Matched one-time, 5 × 2 epochs</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8.26 ± 0.89</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8.27 ± 0.89</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5.16 ± 0.62</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M2 Matched all-attempt incremental, 5 × 2 epochs</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8.25 ± 0.88</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8.26 ± 0.89</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5.18 ± 0.62</w:t>
            </w:r>
          </w:p>
        </w:tc>
      </w:tr>
    </w:tbl>
    <w:p>
      <w:pPr>
        <w:spacing w:after="120"/>
      </w:pPr>
    </w:p>
    <w:p>
      <w:pPr>
        <w:keepNext/>
        <w:spacing w:after="120" w:before="120"/>
        <w:jc w:val="left"/>
      </w:pPr>
      <w:r>
        <w:rPr>
          <w:rFonts w:ascii="Times New Roman" w:cs="Times New Roman" w:eastAsia="Times New Roman" w:hAnsi="Times New Roman"/>
          <w:b/>
          <w:bCs/>
          <w:sz w:val="20"/>
          <w:szCs w:val="20"/>
        </w:rPr>
        <w:t xml:space="preserve">Table 13.</w:t>
      </w:r>
      <w:r>
        <w:rPr>
          <w:rFonts w:ascii="Times New Roman" w:cs="Times New Roman" w:eastAsia="Times New Roman" w:hAnsi="Times New Roman"/>
          <w:sz w:val="20"/>
          <w:szCs w:val="20"/>
        </w:rPr>
        <w:t xml:space="preserve"> Seed-paired differences in round-5 attack-induced ASR (percentage points, first arm minus second) over 20 seeds, extension runs, with 95% t interval, the number of seeds (of 20) in which the first arm was lower, and the number of tied seeds where there were any. The M1-seq contrasts were added in the design addendum.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430"/>
        <w:gridCol w:w="2430"/>
        <w:gridCol w:w="2420"/>
      </w:tblGrid>
      <w:tr>
        <w:trPr>
          <w:cantSplit/>
          <w:tblHeader/>
        </w:trPr>
        <w:tc>
          <w:tcPr>
            <w:tcW w:type="dxa" w:w="208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First minus second</w:t>
            </w:r>
          </w:p>
        </w:tc>
        <w:tc>
          <w:tcPr>
            <w:tcW w:type="dxa" w:w="243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FGSM-like</w:t>
            </w:r>
          </w:p>
        </w:tc>
        <w:tc>
          <w:tcPr>
            <w:tcW w:type="dxa" w:w="243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BIM-like</w:t>
            </w:r>
          </w:p>
        </w:tc>
        <w:tc>
          <w:tcPr>
            <w:tcW w:type="dxa" w:w="242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Decision-only</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M1 − M2</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1.17 [0.80, 1.53], 1/20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1.16 [0.80, 1.53], 1/20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0.37 [−0.13, 0.87], 8/20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M1-e10 − M2</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−1.58 [−1.96, −1.20], 20/20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−1.59 [−1.98, −1.20], 20/20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−0.11 [−0.33, 0.11], 10/20, 1 tied</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M1-seq − M2</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0.01 [−0.02, 0.04], 2/20, 15 tied</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0.01 [−0.01, 0.04], 1/20, 16 tied</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−0.01 [−0.13, 0.11], 4/20, 12 tied</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M1 − M1-seq</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1.16 [0.80, 1.51], 1/20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1.15 [0.79, 1.51], 1/20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0.38 [−0.10, 0.87], 9/20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M2 − A Frozen</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−0.86 [−1.37, −0.35], 15/20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−0.86 [−1.38, −0.35], 15/20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−0.15 [−0.39, 0.10], 14/20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M1 − A Frozen</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0.31 [−0.20, 0.82], 10/20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0.30 [−0.21, 0.81], 10/20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0.22 [−0.28, 0.73], 12/20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M1-e10 − A Frozen</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−2.44 [−2.87, −2.01], 20/20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−2.45 [−2.88, −2.02], 20/20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−0.26 [−0.48, −0.03], 13/20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M1-seq − A Frozen</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−0.85 [−1.36, −0.33], 15/20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−0.85 [−1.36, −0.34], 15/20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−0.16 [−0.38, 0.06], 13/20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M2 − C Rehearsal</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−0.71 [−0.95, −0.47], 18/20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−0.70 [−0.94, −0.46], 18/20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0.01 [−0.12, 0.14], 10/20, 1 tied</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 − M1</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−3.99 [−4.65, −3.34], 20/20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−4.00 [−4.66, −3.34], 20/20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−2.82 [−3.50, −2.14], 20/20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 − B-dec</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Not run</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Not run</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−1.32 [−1.50, −1.14], 20/20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 − A Frozen</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−3.68 [−4.37, −3.00], 20/20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−3.70 [−4.38, −3.02], 20/20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−2.59 [−2.92, −2.27], 20/20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 Control − A Frozen</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−1.12 [−1.71, −0.54], 16/20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−1.13 [−1.71, −0.55], 16/20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−1.08 [−1.38, −0.78], 19/20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 Static − F Control</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−2.56 [−3.02, −2.11], 20/20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−2.57 [−3.03, −2.10], 20/20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−1.51 [−1.76, −1.27], 20/20</w:t>
            </w:r>
          </w:p>
        </w:tc>
      </w:tr>
      <w:tr>
        <w:trPr>
          <w:cantSplit/>
        </w:trPr>
        <w:tc>
          <w:tcPr>
            <w:tcW w:type="dxa" w:w="20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B Static − C Rehearsal</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−3.54 [−4.24, −2.83], 20/20</w:t>
            </w:r>
          </w:p>
        </w:tc>
        <w:tc>
          <w:tcPr>
            <w:tcW w:type="dxa" w:w="243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−3.54 [−4.25, −2.82], 20/20</w:t>
            </w:r>
          </w:p>
        </w:tc>
        <w:tc>
          <w:tcPr>
            <w:tcW w:type="dxa" w:w="242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−2.44 [−2.83, −2.06], 20/20</w:t>
            </w:r>
          </w:p>
        </w:tc>
      </w:tr>
    </w:tbl>
    <w:p>
      <w:pPr>
        <w:spacing w:after="120"/>
      </w:pPr>
    </w:p>
    <w:p>
      <w:pPr>
        <w:keepNext/>
        <w:spacing w:after="60" w:before="120"/>
        <w:jc w:val="center"/>
      </w:pPr>
      <w:r>
        <w:drawing>
          <wp:inline distT="0" distB="0" distL="0" distR="0">
            <wp:extent cx="5334000" cy="2524125"/>
            <wp:effectExtent t="0" r="0" b="0" l="0"/>
            <wp:docPr id="5" name="Figure 5" descr="Seed-paired round-5 differences in attack-induced ASR for the contrasts of the matched-attempt extension, by attack setting"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524125"/>
                    </a:xfrm>
                    <a:prstGeom prst="rect">
                      <a:avLst/>
                    </a:prstGeom>
                  </pic:spPr>
                </pic:pic>
              </a:graphicData>
            </a:graphic>
          </wp:inline>
        </w:drawing>
      </w:r>
    </w:p>
    <w:p>
      <w:pPr>
        <w:keepNext w:val="false"/>
        <w:spacing w:after="120" w:before="120"/>
        <w:jc w:val="left"/>
      </w:pPr>
      <w:r>
        <w:rPr>
          <w:rFonts w:ascii="Times New Roman" w:cs="Times New Roman" w:eastAsia="Times New Roman" w:hAnsi="Times New Roman"/>
          <w:b/>
          <w:bCs/>
          <w:sz w:val="20"/>
          <w:szCs w:val="20"/>
        </w:rPr>
        <w:t xml:space="preserve">Figure 5.</w:t>
      </w:r>
      <w:r>
        <w:rPr>
          <w:rFonts w:ascii="Times New Roman" w:cs="Times New Roman" w:eastAsia="Times New Roman" w:hAnsi="Times New Roman"/>
          <w:sz w:val="20"/>
          <w:szCs w:val="20"/>
        </w:rPr>
        <w:t xml:space="preserve"> Seed-paired round-5 differences in attack-induced ASR (first arm minus second) at validation-calibrated thresholds, for the contrasts of the matched-attempt extension. Small points are the 20 seeds and large markers are means with 95% t intervals. The dotted line marks no difference.</w:t>
      </w:r>
    </w:p>
    <w:p>
      <w:pPr>
        <w:spacing w:after="140" w:line="276"/>
        <w:jc w:val="both"/>
      </w:pPr>
      <w:r>
        <w:rPr>
          <w:rFonts w:ascii="Times New Roman" w:cs="Times New Roman" w:eastAsia="Times New Roman" w:hAnsi="Times New Roman"/>
          <w:sz w:val="22"/>
          <w:szCs w:val="22"/>
        </w:rPr>
        <w:t xml:space="preserve">For RQ5, the comparison between the one-time and incremental schedules depended on how the one-time arm was trained. In both gradient settings, the matched all-attempt incremental schedule (M2) had lower observed attack-induced ASR than the one-time arm with a single two-epoch update (M1) in 19 of 20 seeds, by 1.17 points in the FGSM-like setting (95% interval 0.80 to 1.53). The one-time arm with a single ten-epoch update (M1-e10) had lower observed attack-induced ASR than M2 in all 20 seeds, by 1.58 points (1.20 to 1.96). M1-seq, the front-loaded arm that matched M2's update calls, optimizer steps, and exposure, had round-5 attack-induced ASR within 0.01 points of M2 on average (95% interval −0.02 to 0.04). Its value equalled M2's in 15 of 20 seeds, although the two arms' thresholds and clean-side values differed slightly in every seed, so their models were not identical. M1 was higher than M1-seq, which uses the same vectors with more updates, optimizer steps, and clean-memory exposure, by 1.16 points (M1-seq lower in 19 of 20 seeds), which is almost the whole M1 − M2 difference. In the decision-only setting none of the matched arms separated, and every interval for their differences includes zero.</w:t>
      </w:r>
    </w:p>
    <w:p>
      <w:pPr>
        <w:spacing w:after="140" w:line="276"/>
        <w:jc w:val="both"/>
      </w:pPr>
      <w:r>
        <w:rPr>
          <w:rFonts w:ascii="Times New Roman" w:cs="Times New Roman" w:eastAsia="Times New Roman" w:hAnsi="Times New Roman"/>
          <w:sz w:val="22"/>
          <w:szCs w:val="22"/>
        </w:rPr>
        <w:t xml:space="preserve">The supported interpretation is narrow. In these round-5 runs, no clear separation was observed between M1-seq and M2. Their interval includes zero, which does not show that the two arms are equivalent. Because M1-seq and M2 differ both in update timing and in the model that generated their vectors, their near-equal outcomes cannot be attributed to either factor or used to rule either out. M1 and M1-seq differed, but they differ in update structure and in total training exposure, so their contrast cannot identify which of these factors accounts for the ASR gap. What the runs show is that the M1 − M2 gap was of about the same size as the M1 − M1-seq gap, a contrast in which the vectors are shared and update structure and exposure differ. These observations hold for this detector, this attack budget, and round 5. M1-seq completes all its updates before round 1, so it is not a like-for-like comparison with M2 in earlier rounds, and the extension does not show that either scheduling policy is generally superior.</w:t>
      </w:r>
    </w:p>
    <w:p>
      <w:pPr>
        <w:spacing w:after="140" w:line="276"/>
        <w:jc w:val="both"/>
      </w:pPr>
      <w:r>
        <w:rPr>
          <w:rFonts w:ascii="Times New Roman" w:cs="Times New Roman" w:eastAsia="Times New Roman" w:hAnsi="Times New Roman"/>
          <w:sz w:val="22"/>
          <w:szCs w:val="22"/>
        </w:rPr>
        <w:t xml:space="preserve">The matched arms kept their clean-side behavior. In the FGSM-like setting, M1, M1-e10, M1-seq, and M2 had clean recall between 88.79% and 88.95%, test FPR between 15.02% and 15.08%, AUC of 0.959 to 0.960, and pre-attack detection of 98.9% to 99.0%, against 89.06%, 15.08%, 0.960, and 100% for the frozen arm. Their post-attack benign rates over the whole cohort were 10.37%, 7.60%, 9.14%, and 9.13%. The decision-only setting gave similar clean-side values. Lower attack-induced ASR in the matched arms therefore did not come with a visible loss of sensitivity or a rise in false alarms. M2 also had lower observed attack-induced ASR than the rehearsal arm C in 18 of 20 seeds in both gradient settings, by about 0.7 points. The two arms share the clean memory and the rule within each update, but M2 trains on all 100 attempts in each round, while C trains only on its successful evasions, so they are different update policies.</w:t>
      </w:r>
    </w:p>
    <w:p>
      <w:pPr>
        <w:spacing w:after="140" w:line="276"/>
        <w:jc w:val="both"/>
      </w:pPr>
      <w:r>
        <w:rPr>
          <w:rFonts w:ascii="Times New Roman" w:cs="Times New Roman" w:eastAsia="Times New Roman" w:hAnsi="Times New Roman"/>
          <w:sz w:val="22"/>
          <w:szCs w:val="22"/>
        </w:rPr>
        <w:t xml:space="preserve">The original static arm had lower observed attack-induced ASR than M1, which trains on the same number of attack attempts, in every seed, by 3.99 points in the FGSM-like setting and 2.82 points in the decision-only setting. The two arms differ in their source flows (initial-training flows against adaptation flows), in the clean data trained with them (the full initial training part for five epochs, against a 1,000-example memory for two), and therefore in the total amount of training. The static arm's lower observed ASR is thus associated with its overall training procedure rather than with one-time scheduling alone, and these runs do not identify which part of that procedure matters. In the decision-only setting, the static arm trained on FGSM-like examples had lower observed attack-induced ASR than B-dec, trained on decision-only examples, by 1.32 points (1.14 to 1.50) in all 20 seeds. Replacing the cross-attack baseline with a threat-model-matched one would therefore have raised, not lowered, the static arm's observed ASR in that setting. The cross-attack caveat still applies to the original five-seed comparison. B-dec's clean recall and FPR (90.64% and 15.60%) were close to the static arm's.</w:t>
      </w:r>
    </w:p>
    <w:p>
      <w:pPr>
        <w:pStyle w:val="Heading2"/>
        <w:keepNext/>
        <w:spacing w:after="120" w:before="240"/>
      </w:pPr>
      <w:r>
        <w:rPr>
          <w:rFonts w:ascii="Times New Roman" w:cs="Times New Roman" w:eastAsia="Times New Roman" w:hAnsi="Times New Roman"/>
          <w:b/>
          <w:bCs/>
          <w:sz w:val="24"/>
          <w:szCs w:val="24"/>
        </w:rPr>
        <w:t xml:space="preserve">5.9 Sensitivity to the update settings</w:t>
      </w:r>
    </w:p>
    <w:p>
      <w:pPr>
        <w:spacing w:after="140" w:line="276"/>
        <w:jc w:val="both"/>
      </w:pPr>
      <w:r>
        <w:rPr>
          <w:rFonts w:ascii="Times New Roman" w:cs="Times New Roman" w:eastAsia="Times New Roman" w:hAnsi="Times New Roman"/>
          <w:sz w:val="22"/>
          <w:szCs w:val="22"/>
        </w:rPr>
        <w:t xml:space="preserve">Table 14 reports the pre-declared sensitivity analysis in the FGSM-like setting over the same 20 seeds. Every configuration is shown, and none was selected. Changing the update epochs, learning rate, or clean-memory size moved the round-5 attack-induced ASR of the updating arms (from 7.80% to 8.97% for C, 8.10% to 9.67% for M1, 5.33% to 7.74% for M1-e10, and 7.44% to 8.68% for M2), but it did not change the order of M1, M1-e10, and M2. In all seven configurations, M2 had lower observed attack-induced ASR than M1 in 15 to 19 of 20 seeds (mean differences 0.60 to 2.13 points), and M1-e10 had lower observed attack-induced ASR than M2 in 19 or 20 of 20 seeds (mean differences −0.86 to −2.21 points). The rehearsal arm C was lower than the frozen arm in 11 to 17 of 20 seeds, depending on the configuration, with mean differences from −0.14 to −1.31 points. Across all configurations and these arms, clean recall stayed between 88.52% and 89.07% and test FPR between 14.65% and 15.12%. The analysis covers only the FGSM-like setting, varies one factor at a time, and does not include M1-seq. It shows how stable the ordering of M1, M1-e10, and M2 was around the default settings in that setting. It does not establish that ordering for the BIM-like or decision-only attacks, and it does not identify the best settings.</w:t>
      </w:r>
    </w:p>
    <w:p>
      <w:pPr>
        <w:keepNext/>
        <w:spacing w:after="120" w:before="120"/>
        <w:jc w:val="left"/>
      </w:pPr>
      <w:r>
        <w:rPr>
          <w:rFonts w:ascii="Times New Roman" w:cs="Times New Roman" w:eastAsia="Times New Roman" w:hAnsi="Times New Roman"/>
          <w:b/>
          <w:bCs/>
          <w:sz w:val="20"/>
          <w:szCs w:val="20"/>
        </w:rPr>
        <w:t xml:space="preserve">Table 14.</w:t>
      </w:r>
      <w:r>
        <w:rPr>
          <w:rFonts w:ascii="Times New Roman" w:cs="Times New Roman" w:eastAsia="Times New Roman" w:hAnsi="Times New Roman"/>
          <w:sz w:val="20"/>
          <w:szCs w:val="20"/>
        </w:rPr>
        <w:t xml:space="preserve"> Pre-declared sensitivity of round-5 attack-induced ASR (%) to update settings, FGSM-like setting, 20 seeds, validation-calibrated thresholds. Arm values are mean ± 95% t half-width. The last two columns give the mean seed-paired difference and the number of seeds (of 20) in which M2 was lower than M1, and in which M1-e10 was lower than M2.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150"/>
        <w:gridCol w:w="1150"/>
        <w:gridCol w:w="1150"/>
        <w:gridCol w:w="1150"/>
        <w:gridCol w:w="1300"/>
        <w:gridCol w:w="1300"/>
      </w:tblGrid>
      <w:tr>
        <w:trPr>
          <w:cantSplit/>
          <w:tblHeader/>
        </w:trPr>
        <w:tc>
          <w:tcPr>
            <w:tcW w:type="dxa" w:w="216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Configuration</w:t>
            </w:r>
          </w:p>
        </w:tc>
        <w:tc>
          <w:tcPr>
            <w:tcW w:type="dxa" w:w="115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C</w:t>
            </w:r>
          </w:p>
        </w:tc>
        <w:tc>
          <w:tcPr>
            <w:tcW w:type="dxa" w:w="115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M1</w:t>
            </w:r>
          </w:p>
        </w:tc>
        <w:tc>
          <w:tcPr>
            <w:tcW w:type="dxa" w:w="115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M1-e10</w:t>
            </w:r>
          </w:p>
        </w:tc>
        <w:tc>
          <w:tcPr>
            <w:tcW w:type="dxa" w:w="115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M2</w:t>
            </w:r>
          </w:p>
        </w:tc>
        <w:tc>
          <w:tcPr>
            <w:tcW w:type="dxa" w:w="13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M1 − M2, M2 lower</w:t>
            </w:r>
          </w:p>
        </w:tc>
        <w:tc>
          <w:tcPr>
            <w:tcW w:type="dxa" w:w="13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M1-e10 − M2, M1-e10 lower</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Default (2 epochs, lr 0.001, memory 1,000)</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8.96 ± 0.98</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9.42 ± 0.98</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6.67 ± 0.71</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8.25 ± 0.88</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1.17, 19/20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−1.58, 20/20</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Update epochs 1</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8.97 ± 0.99</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9.57 ± 1.11</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7.53 ± 0.76</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8.68 ± 0.88</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0.88, 15/20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−1.15, 20/20</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Update epochs 4</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8.05 ± 0.92</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8.14 ± 0.92</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5.33 ± 0.57</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7.54 ± 0.90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0.60, 16/20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−2.21, 20/20</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Learning rate 0.0005</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8.80 ± 0.93</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9.67 ± 1.12</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7.74 ± 0.85</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8.60 ± 0.92</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1.07, 18/20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−0.86, 20/20</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Learning rate 0.002</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8.34 ± 0.96</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8.86 ± 0.99</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5.33 ± 0.57</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7.47 ± 0.91</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1.38, 19/20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−2.14, 20/20</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Memory 500</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8.04 ± 0.65</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9.60 ± 0.88</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6.46 ± 0.53</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7.46 ± 0.62</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2.13, 17/20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−1.00, 19/20</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Memory 2,000</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7.80 ± 0.68</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8.10 ± 0.71</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5.79 ± 0.61</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7.44 ± 0.59</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0.66, 15/20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−1.65, 20/20</w:t>
            </w:r>
          </w:p>
        </w:tc>
      </w:tr>
    </w:tbl>
    <w:p>
      <w:pPr>
        <w:spacing w:after="120"/>
      </w:pPr>
    </w:p>
    <w:p>
      <w:pPr>
        <w:pStyle w:val="Heading2"/>
        <w:keepNext/>
        <w:spacing w:after="120" w:before="240"/>
      </w:pPr>
      <w:r>
        <w:rPr>
          <w:rFonts w:ascii="Times New Roman" w:cs="Times New Roman" w:eastAsia="Times New Roman" w:hAnsi="Times New Roman"/>
          <w:b/>
          <w:bCs/>
          <w:sz w:val="24"/>
          <w:szCs w:val="24"/>
        </w:rPr>
        <w:t xml:space="preserve">5.10 Size of the perturbations and relations among features</w:t>
      </w:r>
    </w:p>
    <w:p>
      <w:pPr>
        <w:spacing w:after="140" w:line="276"/>
        <w:jc w:val="both"/>
      </w:pPr>
      <w:r>
        <w:rPr>
          <w:rFonts w:ascii="Times New Roman" w:cs="Times New Roman" w:eastAsia="Times New Roman" w:hAnsi="Times New Roman"/>
          <w:sz w:val="22"/>
          <w:szCs w:val="22"/>
        </w:rPr>
        <w:t xml:space="preserve">Section 4.4 states the attack bound in normalized units. Table 15 translates it into raw units for the initial model of seeds 17 to 21, and compares it with the median value of each feature in the evaluation cohort. Units follow the official feature list [36] where it states them.</w:t>
      </w:r>
    </w:p>
    <w:p>
      <w:pPr>
        <w:keepNext/>
        <w:spacing w:after="120" w:before="120"/>
        <w:jc w:val="left"/>
      </w:pPr>
      <w:r>
        <w:rPr>
          <w:rFonts w:ascii="Times New Roman" w:cs="Times New Roman" w:eastAsia="Times New Roman" w:hAnsi="Times New Roman"/>
          <w:b/>
          <w:bCs/>
          <w:sz w:val="20"/>
          <w:szCs w:val="20"/>
        </w:rPr>
        <w:t xml:space="preserve">Table 15.</w:t>
      </w:r>
      <w:r>
        <w:rPr>
          <w:rFonts w:ascii="Times New Roman" w:cs="Times New Roman" w:eastAsia="Times New Roman" w:hAnsi="Times New Roman"/>
          <w:sz w:val="20"/>
          <w:szCs w:val="20"/>
        </w:rPr>
        <w:t xml:space="preserve"> Largest change allowed by the bound of 0.03 in raw units (3% of each feature's range in the initial training part), against the feature's median in the evaluation cohort. Ranges are over seeds 17 to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cantSplit/>
          <w:tblHeader/>
        </w:trPr>
        <w:tc>
          <w:tcPr>
            <w:tcW w:type="dxa" w:w="22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Feature (unit)</w:t>
            </w:r>
          </w:p>
        </w:tc>
        <w:tc>
          <w:tcPr>
            <w:tcW w:type="dxa" w:w="28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Largest allowed change</w:t>
            </w:r>
          </w:p>
        </w:tc>
        <w:tc>
          <w:tcPr>
            <w:tcW w:type="dxa" w:w="22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Cohort median</w:t>
            </w:r>
          </w:p>
        </w:tc>
        <w:tc>
          <w:tcPr>
            <w:tcW w:type="dxa" w:w="216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Note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dur (as recorded)</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1.8</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0.000009</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Bound is about 200,000 times the median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rate (not in official list)</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30,000</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111,111</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Equals (spkts + dpkts − 1) / dur in the data</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sload (bits per second)</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1.68 × 10⁸ to 1.80 × 10⁸</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5.07 × 10⁷ to 5.70 × 10⁷</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Bound exceeds the median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dload (bits per second)</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6.37 × 10⁵ to 6.73 × 10⁵</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Median flow has no destination load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sinpkt, dinpkt (ms)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1,800 to 2,531, and 1,702</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0.009, and 0</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sjit, djit (ms)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43,810, and 7,796 to 8,682</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0, and 0</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tcprtt, synack, ackdat (as recorded)</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0.069 to 0.076, 0.051 to 0.063, and 0.046</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0, 0, and 0</w:t>
            </w:r>
          </w:p>
        </w:tc>
        <w:tc>
          <w:tcPr>
            <w:tcW w:type="dxa" w:w="2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tcprtt = synack + ackdat by definition [36]</w:t>
            </w:r>
          </w:p>
        </w:tc>
      </w:tr>
    </w:tbl>
    <w:p>
      <w:pPr>
        <w:spacing w:after="120"/>
      </w:pPr>
    </w:p>
    <w:p>
      <w:pPr>
        <w:spacing w:after="140" w:line="276"/>
        <w:jc w:val="both"/>
      </w:pPr>
      <w:r>
        <w:rPr>
          <w:rFonts w:ascii="Times New Roman" w:cs="Times New Roman" w:eastAsia="Times New Roman" w:hAnsi="Times New Roman"/>
          <w:sz w:val="22"/>
          <w:szCs w:val="22"/>
        </w:rPr>
        <w:t xml:space="preserve">Table 15 shows that, for most perturbed features, the bound allows changes far larger than the typical value in the cohort, because each range spans the most extreme values in the initial training part. Two relations hold in the data and the attack does not keep them. The official feature list distributed with the dataset defines tcprtt as the sum of synack and ackdat [36], and this held in every training record and every cohort flow before perturbation. After the FGSM-like and BIM-like attacks it was broken in every perturbed flow, and after the decision-only attack in every flow that the attack changed. The rate feature equals (spkts + dpkts − 1) / dur in every training record with positive duration and in 96.3% to 97.2% of cohort flows. After the gradient attacks it was broken in 75.3% to 98.4% of perturbed flows across seeds, and after the decision-only attack in 85.2% to 92.7% of changed flows. Between 70.1% and 73.7% of each cohort are non-TCP flows, all of which have zero TCP timing values before the attack. Every perturbed non-TCP flow received nonzero TCP timing values. Most perturbed vectors therefore do not describe flows of the kind found in the data, and the attack-induced ASR values in this paper measure sensitivity to unconstrained feature perturbations, not evasion with traffic that could be sent.</w:t>
      </w:r>
    </w:p>
    <w:p>
      <w:pPr>
        <w:pStyle w:val="Heading2"/>
        <w:keepNext/>
        <w:spacing w:after="120" w:before="240"/>
      </w:pPr>
      <w:r>
        <w:rPr>
          <w:rFonts w:ascii="Times New Roman" w:cs="Times New Roman" w:eastAsia="Times New Roman" w:hAnsi="Times New Roman"/>
          <w:b/>
          <w:bCs/>
          <w:sz w:val="24"/>
          <w:szCs w:val="24"/>
        </w:rPr>
        <w:t xml:space="preserve">5.11 Summary against the research questions</w:t>
      </w:r>
    </w:p>
    <w:p>
      <w:pPr>
        <w:spacing w:after="140" w:line="276"/>
        <w:jc w:val="both"/>
      </w:pPr>
      <w:r>
        <w:rPr>
          <w:rFonts w:ascii="Times New Roman" w:cs="Times New Roman" w:eastAsia="Times New Roman" w:hAnsi="Times New Roman"/>
          <w:sz w:val="22"/>
          <w:szCs w:val="22"/>
        </w:rPr>
        <w:t xml:space="preserve">For RQ1, the static arm had lower observed attack-induced ASR than the frozen arm in every seed and all three settings (by 3.31, 3.43, and 2.21 points), while the incremental arms with rehearsal and balanced replay showed differences from the frozen arm whose intervals include zero. Static training also had lower observed attack-induced ASR than incremental training with rehearsal in every seed and every setting. The no-rehearsal arm showed a lower attack-induced ASR but with wide intervals and a loss of sensitivity. For RQ2, the static arm's clean-side shift (slightly higher recall and FPR) was shared with the control. The no-rehearsal arm lost recall and AUC at the calibrated threshold, and the fixed-threshold view exposed large FPR changes for arms C, D, and E that the calibrated view does not show. For RQ3, the control had lower observed attack-induced ASR than the frozen arm in every seed, by 0.96 points in the FGSM-like setting and 0.95 points in the decision-only setting. The static arm had lower observed attack-induced ASR than the control in every seed, by 2.35 and 1.27 points in those two settings. The two arms differ in their adversarial examples, so the comparison is descriptive, and it does not divide the static arm's difference between extra training and adversarial examples. For RQ4, the incremental arms received five-seed means of about 21 to 111 simulated labels over five rounds, and the static arm and the control took about twice the wall-clock time of the frozen arm. Five-seed mean adaptation-stage queries, summed over five rounds, ranged from 20,324 (arm E) to 24,017 (arm D), out of 25,000 possible. These findings are exploratory. They come from five seeds, one dataset, one small model, feature-space attacks, and simulated labels, and in the decision-only evaluation the static arm was trained on FGSM-like examples. They do not show that any policy is superior, and Section 6 discusses how far they can be interpreted.</w:t>
      </w:r>
    </w:p>
    <w:p>
      <w:pPr>
        <w:spacing w:after="140" w:line="276"/>
        <w:jc w:val="both"/>
      </w:pPr>
      <w:r>
        <w:rPr>
          <w:rFonts w:ascii="Times New Roman" w:cs="Times New Roman" w:eastAsia="Times New Roman" w:hAnsi="Times New Roman"/>
          <w:sz w:val="22"/>
          <w:szCs w:val="22"/>
        </w:rPr>
        <w:t xml:space="preserve">Over 20 seeds in the extension runs, the static arm again had lower observed attack-induced ASR than the frozen, rehearsal, and control arms in every seed of every setting. For RQ5, with 500 attack attempts on the same source flows for every matched arm, the result depended on how the one-time arm was trained. In the gradient settings, M2 was lower than M1 (one two-epoch update) in 19 of 20 seeds, M1-e10 (one ten-epoch update) was lower than M2 in all 20 seeds, and M1-seq, which applied M1's initial-model vectors in M2's five-update structure before round 1, showed no clear separation from M2, while M1 and M1-seq differed. In the decision-only setting the matched arms did not separate. In the FGSM-like sensitivity analysis, the order of M1, M1-e10, and M2 was the same in all seven update configurations. The original static arm stayed lower than M1 in every seed, and in the decision-only setting the threat-model-matched static arm had higher observed attack-induced ASR than the FGSM-trained one. Most perturbed flows break relations that hold in the data (Section 5.10).</w:t>
      </w:r>
    </w:p>
    <w:p>
      <w:pPr>
        <w:pStyle w:val="Heading1"/>
        <w:keepNext/>
        <w:spacing w:after="160" w:before="360"/>
      </w:pPr>
      <w:r>
        <w:rPr>
          <w:rFonts w:ascii="Times New Roman" w:cs="Times New Roman" w:eastAsia="Times New Roman" w:hAnsi="Times New Roman"/>
          <w:b/>
          <w:bCs/>
          <w:sz w:val="28"/>
          <w:szCs w:val="28"/>
        </w:rPr>
        <w:t xml:space="preserve">6. Discussion and Limitations</w:t>
      </w:r>
    </w:p>
    <w:p>
      <w:pPr>
        <w:pStyle w:val="Heading2"/>
        <w:keepNext/>
        <w:spacing w:after="120" w:before="240"/>
      </w:pPr>
      <w:r>
        <w:rPr>
          <w:rFonts w:ascii="Times New Roman" w:cs="Times New Roman" w:eastAsia="Times New Roman" w:hAnsi="Times New Roman"/>
          <w:b/>
          <w:bCs/>
          <w:sz w:val="24"/>
          <w:szCs w:val="24"/>
        </w:rPr>
        <w:t xml:space="preserve">6.1 What the results show</w:t>
      </w:r>
    </w:p>
    <w:p>
      <w:pPr>
        <w:spacing w:after="140" w:line="276"/>
        <w:jc w:val="both"/>
      </w:pPr>
      <w:r>
        <w:rPr>
          <w:rFonts w:ascii="Times New Roman" w:cs="Times New Roman" w:eastAsia="Times New Roman" w:hAnsi="Times New Roman"/>
          <w:sz w:val="22"/>
          <w:szCs w:val="22"/>
        </w:rPr>
        <w:t xml:space="preserve">The study asked whether repeated updating from newly observed evasions gives a detector more lasting resistance than a single round of adversarial training. In this pilot, the data did not show that it does. At validation-calibrated thresholds, static adversarial training had lower observed round-5 attack-induced ASR than the frozen model in every seed and every attack setting (RQ1), and its observed ASR was also lower than that of incremental training with rehearsal in every seed and setting. These observed differences are not attributed to the update strategy alone, because the static arm and the incremental arms receive unmatched training-example budgets. The incremental arms with rehearsal and balanced replay stayed close to the frozen model, with paired intervals that include zero, and their per-round trajectories showed no sustained decline (Figure 4). We therefore describe incremental updating as showing no consistent advantage over the frozen model here. This statement is limited to the configuration studied. It is not a finding that incremental updating cannot help.</w:t>
      </w:r>
    </w:p>
    <w:p>
      <w:pPr>
        <w:spacing w:after="140" w:line="276"/>
        <w:jc w:val="both"/>
      </w:pPr>
      <w:r>
        <w:rPr>
          <w:rFonts w:ascii="Times New Roman" w:cs="Times New Roman" w:eastAsia="Times New Roman" w:hAnsi="Times New Roman"/>
          <w:sz w:val="22"/>
          <w:szCs w:val="22"/>
        </w:rPr>
        <w:t xml:space="preserve">The clean-continued control gives context for the static result (RQ3). With extra clean epochs, the control had lower attack-induced ASR than the frozen model in every seed, by 0.96 points in the FGSM-like setting and 0.95 points in the decision-only setting. The static arm was lower than the control in every seed in both settings, by 2.35 and 1.27 points. The two arms differ in their 500 adversarial examples, so this comparison is descriptive. It shows where the two arms differ, but it does not divide the static arm's difference between extra training and adversarial examples. Without the control, the whole static-versus-frozen difference could be read as an effect of the adversarial examples. The control gives a descriptive check on that reading under the tested configuration. Because the arms differ in their training data and budgets, it does not isolate the causal effect of either the adversarial examples or the extra training.</w:t>
      </w:r>
    </w:p>
    <w:p>
      <w:pPr>
        <w:spacing w:after="140" w:line="276"/>
        <w:jc w:val="both"/>
      </w:pPr>
      <w:r>
        <w:rPr>
          <w:rFonts w:ascii="Times New Roman" w:cs="Times New Roman" w:eastAsia="Times New Roman" w:hAnsi="Times New Roman"/>
          <w:sz w:val="22"/>
          <w:szCs w:val="22"/>
        </w:rPr>
        <w:t xml:space="preserve">The matched-attempt extension (RQ5) changes how the main result should be read. When one-time and incremental schedules trained on the same 500 attack attempts from the same source flows, under the same rule within each update, their order depended on how the one-time arm was trained. In the gradient settings, a short one-time update gave higher observed attack-induced ASR than the matched all-attempt incremental schedule, a longer one gave lower, and a front-loaded arm that applied initial-model vectors in the incremental schedule's five-update structure before round 1 was not clearly separated from it. The decision-only setting showed no separation. In these round-5 runs, the differences between the matched arms are associated with update structure, training exposure, and update timing together. Because the front-loaded arm and the incremental schedule differ in both timing and the model that generated their vectors, their near-equal outcomes do not show whether targeting changing checkpoints matters, and the experiment does not establish a causal account. The original static arm, which trains for five more epochs on the full initial training part together with its examples, stayed lower than M1 in every seed. Its lower observed ASR in the main comparison is associated with that overall training procedure, and the evidence does not support reading it as an advantage of one-time over incremental scheduling. In the FGSM-like sensitivity analysis, the order of M1, M1-e10, and M2 did not depend on the default update settings. That analysis did not cover the other attack settings or M1-seq.</w:t>
      </w:r>
    </w:p>
    <w:p>
      <w:pPr>
        <w:pStyle w:val="Heading2"/>
        <w:keepNext/>
        <w:spacing w:after="120" w:before="240"/>
      </w:pPr>
      <w:r>
        <w:rPr>
          <w:rFonts w:ascii="Times New Roman" w:cs="Times New Roman" w:eastAsia="Times New Roman" w:hAnsi="Times New Roman"/>
          <w:b/>
          <w:bCs/>
          <w:sz w:val="24"/>
          <w:szCs w:val="24"/>
        </w:rPr>
        <w:t xml:space="preserve">6.2 Possible explanations</w:t>
      </w:r>
    </w:p>
    <w:p>
      <w:pPr>
        <w:spacing w:after="140" w:line="276"/>
        <w:jc w:val="both"/>
      </w:pPr>
      <w:r>
        <w:rPr>
          <w:rFonts w:ascii="Times New Roman" w:cs="Times New Roman" w:eastAsia="Times New Roman" w:hAnsi="Times New Roman"/>
          <w:sz w:val="22"/>
          <w:szCs w:val="22"/>
        </w:rPr>
        <w:t xml:space="preserve">The main comparison was not designed to isolate why the arms differ. The extension tested one candidate explanation, and the rest remain hypotheses. First, the policies of the main comparison receive very different amounts of adversarial data. The static arm trains on 500 pre-built adversarial examples, whereas the incremental arms accumulated five-seed means of about 21 to 111 simulated labels over five rounds, because only a small share of the 100 flows attacked in each round evaded the current model at the fixed threshold. Second, the five-seed matrix evaluated one configuration per update policy. Its update epochs, learning rates, and memory sizes were not varied, so it cannot show whether its successful-evasion updates were too small to move the model. The extension's sensitivity analysis varied these settings for arms C, M1, M1-e10, and M2 in the FGSM-like setting only (Section 5.9). This differs from the validation-based threshold calibration, which sets operating points on validation data and is not a search over update settings. Third, the static arm receives its adversarial examples in a single batch before evaluation, while the incremental arms receive theirs in small amounts over time, so the policies differ in timing as well as in quantity. The extension matched the number and source-flow set of attack attempts for one-time and incremental arms. The addendum arm M1-seq also matched the incremental schedule's update calls, optimizer steps, and exposure, while front-loading its updates on initial-model vectors. M1-seq and the incremental schedule were not clearly separated at round 5, and M1 and M1-seq, which share vectors but differ in update structure and exposure, differed by about 1.2 points. These contrasts are consistent with update structure or exposure being involved, but they cannot apportion the gap among update structure, exposure, update timing, and the model used to generate the attacks, and no mechanism was tested.</w:t>
      </w:r>
    </w:p>
    <w:p>
      <w:pPr>
        <w:spacing w:after="140" w:line="276"/>
        <w:jc w:val="both"/>
      </w:pPr>
      <w:r>
        <w:rPr>
          <w:rFonts w:ascii="Times New Roman" w:cs="Times New Roman" w:eastAsia="Times New Roman" w:hAnsi="Times New Roman"/>
          <w:sz w:val="22"/>
          <w:szCs w:val="22"/>
        </w:rPr>
        <w:t xml:space="preserve">One explanation for the near-identity of the two gradient settings is untested. At ε = 0.03, the gradient sign may change little along the five steps, in which case five steps of size ε/5 would move each feature by about the same total amount as one step of size ε in the same direction. The experiment did not record gradient signs along the attack path, so this explanation is a hypothesis and not a finding.</w:t>
      </w:r>
    </w:p>
    <w:p>
      <w:pPr>
        <w:spacing w:after="140" w:line="276"/>
        <w:jc w:val="both"/>
      </w:pPr>
      <w:r>
        <w:rPr>
          <w:rFonts w:ascii="Times New Roman" w:cs="Times New Roman" w:eastAsia="Times New Roman" w:hAnsi="Times New Roman"/>
          <w:sz w:val="22"/>
          <w:szCs w:val="22"/>
        </w:rPr>
        <w:t xml:space="preserve">The no-rehearsal arm illustrates the forgetting concern in [26]. Its update batches contain malicious examples only, and it lost sensitivity (clean recall 85.35% and pre-attack detection 93.66% in the FGSM-like setting) while its AUC fell. This is consistent with the argument for rehearsal in [27], but our design does not test the mechanism, and the loss could also reflect the class composition of the update batches. The balanced-replay arm shows a different pattern. At the common fixed threshold, arm E had lower test FPR and lower recall than the frozen arm (FPR 5.50% against 15.34% and recall 83.85% against 89.28% in the FGSM-like setting). At its validation-calibrated threshold, its recall and FPR were close to the frozen arm's (89.30% and 15.48% against 89.28% and 15.34%), and both arms had an AUC of 0.961. These aggregate measures show that the observed classification behavior depends on the threshold. They do not show how the score distributions changed, because they were not analyzed.</w:t>
      </w:r>
    </w:p>
    <w:p>
      <w:pPr>
        <w:pStyle w:val="Heading2"/>
        <w:keepNext/>
        <w:spacing w:after="120" w:before="240"/>
      </w:pPr>
      <w:r>
        <w:rPr>
          <w:rFonts w:ascii="Times New Roman" w:cs="Times New Roman" w:eastAsia="Times New Roman" w:hAnsi="Times New Roman"/>
          <w:b/>
          <w:bCs/>
          <w:sz w:val="24"/>
          <w:szCs w:val="24"/>
        </w:rPr>
        <w:t xml:space="preserve">6.3 Lessons for measurement</w:t>
      </w:r>
    </w:p>
    <w:p>
      <w:pPr>
        <w:spacing w:after="140" w:line="276"/>
        <w:jc w:val="both"/>
      </w:pPr>
      <w:r>
        <w:rPr>
          <w:rFonts w:ascii="Times New Roman" w:cs="Times New Roman" w:eastAsia="Times New Roman" w:hAnsi="Times New Roman"/>
          <w:sz w:val="22"/>
          <w:szCs w:val="22"/>
        </w:rPr>
        <w:t xml:space="preserve">Three measurement points follow from the results and apply beyond this pilot. First, a threshold held fixed across update policies can mislead, because updating changes how a model scores flows. At the common fixed threshold, arm C reached an attack-induced ASR of 5.02%, close to the static arm's 4.01%, but its test FPR was 5.59 points above the frozen model's, and arm D reached 0.00% with an FPR of 43.70% (Table 10, Figure 3). Under validation-calibrated thresholds, these differences largely disappeared. Reporting attack-induced ASR without the matching false-positive rate would have favored arms that simply flagged more traffic. This is consistent with the general caution in [29] that evaluation choices can change the conclusions of security studies.</w:t>
      </w:r>
    </w:p>
    <w:p>
      <w:pPr>
        <w:spacing w:after="140" w:line="276"/>
        <w:jc w:val="both"/>
      </w:pPr>
      <w:r>
        <w:rPr>
          <w:rFonts w:ascii="Times New Roman" w:cs="Times New Roman" w:eastAsia="Times New Roman" w:hAnsi="Times New Roman"/>
          <w:sz w:val="22"/>
          <w:szCs w:val="22"/>
        </w:rPr>
        <w:t xml:space="preserve">Second, attack-induced ASR and the post-attack benign rate answer different questions and should not be merged. The first conditions on flows the arm detected before perturbation. The second covers the whole evaluation cohort and therefore includes flows already classified as benign before the attack. For arm D, the lower attack-induced ASR came with lower pre-attack detection, and we do not interpret the higher post-attack benign rate as evidence of more attack-induced evasions. Third, the calibrated and fixed views differ in what they hold constant. The calibrated view holds validation FPR near 5% and lets test FPR vary (13.22% to 17.02% across the 90 round-5 runs), so it is not an equal-operating-point comparison on the test set. We chose it because it avoids tuning on test data, and we report test FPR so that readers can judge the trade-off.</w:t>
      </w:r>
    </w:p>
    <w:p>
      <w:pPr>
        <w:pStyle w:val="Heading2"/>
        <w:keepNext/>
        <w:spacing w:after="120" w:before="240"/>
      </w:pPr>
      <w:r>
        <w:rPr>
          <w:rFonts w:ascii="Times New Roman" w:cs="Times New Roman" w:eastAsia="Times New Roman" w:hAnsi="Times New Roman"/>
          <w:b/>
          <w:bCs/>
          <w:sz w:val="24"/>
          <w:szCs w:val="24"/>
        </w:rPr>
        <w:t xml:space="preserve">6.4 Relation to prior work</w:t>
      </w:r>
    </w:p>
    <w:p>
      <w:pPr>
        <w:spacing w:after="140" w:line="276"/>
        <w:jc w:val="both"/>
      </w:pPr>
      <w:r>
        <w:rPr>
          <w:rFonts w:ascii="Times New Roman" w:cs="Times New Roman" w:eastAsia="Times New Roman" w:hAnsi="Times New Roman"/>
          <w:sz w:val="22"/>
          <w:szCs w:val="22"/>
        </w:rPr>
        <w:t xml:space="preserve">Our results are not directly comparable with earlier work on dynamic NIDS. Study [13] reports that continuous retraining can reduce attack effectiveness even without adversarial training, whereas in this pilot the incremental arms with rehearsal and balanced replay did not separate from the frozen model. The two settings differ in several ways, including bounded feedback-driven updates, a per-round attacker budget, a one-time adversarial baseline, and a clean-continued control, and this study cannot establish which of these differences accounts for the apparently different outcome. The defenses reviewed in Section 2.3 report robustness gains from adversarial training and related methods, and the static arm's lower attack-induced ASR is consistent in direction with that body of work. The gradient attacks we use follow [18] and [19] and the decision-only search follows the hard-label setting of [22], so the comparison with the literature on those attacks is limited to the feature-space threat model.</w:t>
      </w:r>
    </w:p>
    <w:p>
      <w:pPr>
        <w:pStyle w:val="Heading2"/>
        <w:keepNext/>
        <w:spacing w:after="120" w:before="240"/>
      </w:pPr>
      <w:r>
        <w:rPr>
          <w:rFonts w:ascii="Times New Roman" w:cs="Times New Roman" w:eastAsia="Times New Roman" w:hAnsi="Times New Roman"/>
          <w:b/>
          <w:bCs/>
          <w:sz w:val="24"/>
          <w:szCs w:val="24"/>
        </w:rPr>
        <w:t xml:space="preserve">6.5 Limitations</w:t>
      </w:r>
    </w:p>
    <w:p>
      <w:pPr>
        <w:spacing w:after="140" w:line="276"/>
        <w:jc w:val="both"/>
      </w:pPr>
      <w:r>
        <w:rPr>
          <w:rFonts w:ascii="Times New Roman" w:cs="Times New Roman" w:eastAsia="Times New Roman" w:hAnsi="Times New Roman"/>
          <w:sz w:val="22"/>
          <w:szCs w:val="22"/>
        </w:rPr>
        <w:t xml:space="preserve">Table 16 lists the main limitations and how each affects interpretation. The results should be read within these limits.</w:t>
      </w:r>
    </w:p>
    <w:p>
      <w:pPr>
        <w:keepNext/>
        <w:spacing w:after="120" w:before="120"/>
        <w:jc w:val="left"/>
      </w:pPr>
      <w:r>
        <w:rPr>
          <w:rFonts w:ascii="Times New Roman" w:cs="Times New Roman" w:eastAsia="Times New Roman" w:hAnsi="Times New Roman"/>
          <w:b/>
          <w:bCs/>
          <w:sz w:val="20"/>
          <w:szCs w:val="20"/>
        </w:rPr>
        <w:t xml:space="preserve">Table 16.</w:t>
      </w:r>
      <w:r>
        <w:rPr>
          <w:rFonts w:ascii="Times New Roman" w:cs="Times New Roman" w:eastAsia="Times New Roman" w:hAnsi="Times New Roman"/>
          <w:sz w:val="20"/>
          <w:szCs w:val="20"/>
        </w:rPr>
        <w:t xml:space="preserve"> Main limitations and their effect on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160"/>
      </w:tblGrid>
      <w:tr>
        <w:trPr>
          <w:cantSplit/>
          <w:tblHeader/>
        </w:trPr>
        <w:tc>
          <w:tcPr>
            <w:tcW w:type="dxa" w:w="23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Limitation</w:t>
            </w:r>
          </w:p>
        </w:tc>
        <w:tc>
          <w:tcPr>
            <w:tcW w:type="dxa" w:w="390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What it means here</w:t>
            </w:r>
          </w:p>
        </w:tc>
        <w:tc>
          <w:tcPr>
            <w:tcW w:type="dxa" w:w="3160"/>
            <w:tcBorders>
              <w:top w:val="single" w:color="808080" w:sz="4"/>
              <w:left w:val="single" w:color="808080" w:sz="4"/>
              <w:bottom w:val="single" w:color="808080" w:sz="4"/>
              <w:right w:val="single" w:color="808080" w:sz="4"/>
            </w:tcBorders>
            <w:shd w:fill="E3E8EE" w:color="auto" w:val="clear"/>
            <w:tcMar>
              <w:top w:type="dxa" w:w="60"/>
              <w:left w:type="dxa" w:w="90"/>
              <w:bottom w:type="dxa" w:w="60"/>
              <w:right w:type="dxa" w:w="90"/>
            </w:tcMar>
          </w:tcPr>
          <w:p>
            <w:pPr>
              <w:keepNext/>
              <w:spacing w:after="0"/>
            </w:pPr>
            <w:r>
              <w:rPr>
                <w:rFonts w:ascii="Times New Roman" w:cs="Times New Roman" w:eastAsia="Times New Roman" w:hAnsi="Times New Roman"/>
                <w:b/>
                <w:bCs/>
                <w:sz w:val="18"/>
                <w:szCs w:val="18"/>
              </w:rPr>
              <w:t xml:space="preserve">Effect on interpretation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Single benchmark and small model</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One dataset (UNSW-NB15), one multilayer perceptron with 48 hidden units</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No claim of transfer to other datasets, traffic types, or architectures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Seed counts and inference</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Five seeds in the main comparison (t intervals with 4 degrees of freedom) and 20 in the extension (19 degrees of freedom). Sign tests in the extension are descriptive, with no multiplicity correction</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Patterns and trade-offs are described, and no arm is called generally superior</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Record-level splits</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The official training partition is split by individual record (seeded, stratified 70/15/15) into initial-training, validation, and adaptation parts, with no grouping by capture session, source, or attack campaign. The dataset also has known overlap and imbalance issues [15]</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Related records could occur in more than one of these parts, which is a risk of dependence and of optimistic results and not demonstrated leakage. The official test partition was not split this way</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Feature-space attacks only</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Eleven normalized features are perturbed within a fixed L∞ bound, with no packet reconstruction or protocol checks [4], [23], [24]</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Neither attack-induced ASR nor the post-attack benign rate shows that the perturbed flows could occur in real traffic. Most perturbed flows break the tcprtt and rate relations, and perturbed non-TCP flows receive TCP timing values (Section 5.10)</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Simulated labels</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Evasion labels come from dataset ground truth, as an idealized oracle</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Real analyst delay, error, and workload are not measured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Unmatched budgets in the main comparison</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The static arm uses 500 pre-built examples and the incremental arms use about 21 to 111 successful-evasion labels. The extension matched the number and source-flow set of attack attempts, not the perturbed vectors, and one arm also matched optimizer steps and exposure</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Main-comparison differences cannot be attributed to scheduling. In the extension, the matched arms' order was associated with update structure, exposure, and timing, which the design cannot separate (Section 5.8). The matched incremental schedule trains on all attempts, so it is not the successful-evasion policy of arms C to E, and other matching rules were not tested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Fresh, non-adaptive attacker</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Each round attacks the current model afresh, with no attacker that learns across rounds and no defense-aware attack</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Results do not cover an adaptive adversary</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Cross-attack static baseline</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In the decision-only evaluation of the main comparison, the static arm is trained on FGSM-like examples. The extension adds B-dec, trained on decision-only examples</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B-dec had higher observed attack-induced ASR than the cross-attack static arm, so using the threat-model-matched baseline would not have lowered the static arm's observed ASR in that setting</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Update configuration</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The main comparison used one configuration per policy. The extension varied update epochs, learning rate, and memory size one at a time for arms C, M1, M1-e10, and M2, in the FGSM-like setting only</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In the FGSM-like setting, M2 had lower observed ASR than M1 and higher observed ASR than M1-e10 in most seeds in all seven configurations (Section 5.9). The BIM-like and decision-only settings, M1-seq, other policies, and combinations of settings were not varied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Evaluation cohort and thresholds</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The cohort contains only flows the initial model detected at the fixed threshold, and updates use the fixed threshold while the primary evaluation uses arm-specific thresholds</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Findings apply to that cohort and to this threshold protocol</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Gradient settings gave nearly identical outcomes</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The one-step (FGSM-like) and five-step (BIM-like) gradient settings gave nearly identical round-5 outcomes, and identical label counts for every arm and seed, although their step rules differ. This is an observed result, and its cause was not tested</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The two gradient settings should not be counted as separate evidence of robustness at this bound. A different or stronger gradient attack may give different results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Reproduction and environment</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A rerun from the downloaded data matched 5 of 15 original runs to within float32 rounding and 3 to within 3 × 10⁻⁵, and 7 showed small drift, up to 3.3 points in single round values. The original environment and exact code version are unknown</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Tables 7 to 11 report the original outputs, whose five-seed means differ from the rerun by at most 0.46 points. The extension uses rerun outputs for seeds 17 to 21. Neither bit-for-bit reproduction nor the archived runner's identity with the original code is claimed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Data provenance</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The partitions come from a third-party redistribution in a different file format. Both official partitions were downloaded and compared with them record by record</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after="0"/>
            </w:pPr>
            <w:r>
              <w:rPr>
                <w:rFonts w:ascii="Times New Roman" w:cs="Times New Roman" w:eastAsia="Times New Roman" w:hAnsi="Times New Roman"/>
                <w:sz w:val="18"/>
                <w:szCs w:val="18"/>
              </w:rPr>
              <w:t xml:space="preserve">Both partitions are identical in content to the official files, so the provenance concern is limited to the format and file names of the redistribution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Timing scope</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Wall-clock time from one machine and a small NumPy model, excluding test-time evaluation. Each arm's time includes attack generation against its own model, which depends on the attack, so arm differences combine update and attack costs</w:t>
            </w:r>
          </w:p>
        </w:tc>
        <w:tc>
          <w:tcPr>
            <w:tcW w:type="dxa" w:w="31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after="0"/>
            </w:pPr>
            <w:r>
              <w:rPr>
                <w:rFonts w:ascii="Times New Roman" w:cs="Times New Roman" w:eastAsia="Times New Roman" w:hAnsi="Times New Roman"/>
                <w:sz w:val="18"/>
                <w:szCs w:val="18"/>
              </w:rPr>
              <w:t xml:space="preserve">Costs should not be extrapolated to larger detectors, and small differences are not read as policy costs</w:t>
            </w:r>
          </w:p>
        </w:tc>
      </w:tr>
    </w:tbl>
    <w:p>
      <w:pPr>
        <w:spacing w:after="120"/>
      </w:pPr>
    </w:p>
    <w:p>
      <w:pPr>
        <w:spacing w:after="140" w:line="276"/>
        <w:jc w:val="both"/>
      </w:pPr>
      <w:r>
        <w:rPr>
          <w:rFonts w:ascii="Times New Roman" w:cs="Times New Roman" w:eastAsia="Times New Roman" w:hAnsi="Times New Roman"/>
          <w:sz w:val="22"/>
          <w:szCs w:val="22"/>
        </w:rPr>
        <w:t xml:space="preserve">Table 16 shows that the limits fall into three groups. The first concerns generality (benchmark, model, seeds, and splits), and it restricts how far the findings can be applied. The second concerns realism (feature-space attacks, simulated labels, and a non-adaptive attacker), and it means the results describe a controlled feature-space setting and not deployed performance. The third concerns design choices that affect the comparison itself, namely the budgets, the update configuration, the static baseline, and the threshold protocol. The extension addressed part of this group. It matched the number and source-flow set of attack attempts across one-time and incremental schedules, added an arm that also matched optimizer steps and exposure, added a threat-model-matched static baseline, and varied the update settings in the FGSM-like setting. What remains is that the original static arm's lower attack-induced ASR is a comparison of two training procedures, and that the matched comparison covers one counting rule, one model, one dataset, and round-5 outcomes.</w:t>
      </w:r>
    </w:p>
    <w:p>
      <w:pPr>
        <w:pStyle w:val="Heading2"/>
        <w:keepNext/>
        <w:spacing w:after="120" w:before="240"/>
      </w:pPr>
      <w:r>
        <w:rPr>
          <w:rFonts w:ascii="Times New Roman" w:cs="Times New Roman" w:eastAsia="Times New Roman" w:hAnsi="Times New Roman"/>
          <w:b/>
          <w:bCs/>
          <w:sz w:val="24"/>
          <w:szCs w:val="24"/>
        </w:rPr>
        <w:t xml:space="preserve">6.6 Directions for further work</w:t>
      </w:r>
    </w:p>
    <w:p>
      <w:pPr>
        <w:spacing w:after="140" w:line="276"/>
        <w:jc w:val="both"/>
      </w:pPr>
      <w:r>
        <w:rPr>
          <w:rFonts w:ascii="Times New Roman" w:cs="Times New Roman" w:eastAsia="Times New Roman" w:hAnsi="Times New Roman"/>
          <w:sz w:val="22"/>
          <w:szCs w:val="22"/>
        </w:rPr>
        <w:t xml:space="preserve">The following steps are not part of the completed study. The matched comparison could be extended to other matching rules, such as counting only successful evasions, to exposure-matched comparisons in the BIM-like and decision-only sensitivity settings, and to outcomes in earlier rounds, where M1-seq and M2 are not comparable. Attacks that keep the relations measured in Section 5.10, for example by changing synack and ackdat and recomputing tcprtt, by recomputing rate from duration and packet counts, and by leaving TCP timing fields unchanged for non-TCP flows, would give a more realistic feature-space threat model. Capture-aware or campaign-aware splits would address possible dependence between the partitions. Additional datasets and detector architectures would test generality. Transformations validated at the flow or packet level would address feasibility, in line with the concerns raised in [4], [23], and [24]. Measurements of real analyst feedback, in time and error, would replace the simulated oracle. Finally, an attacker that adapts to the deployed defense and learns across rounds would show whether incremental updating improves resistance over time, which this pilot could not evaluate. The studies cited in [33] and [34] model adaptive attackers, in designs that differ from this one.</w:t>
      </w:r>
    </w:p>
    <w:p>
      <w:pPr>
        <w:pStyle w:val="Heading1"/>
        <w:keepNext/>
        <w:spacing w:after="160" w:before="360"/>
      </w:pPr>
      <w:r>
        <w:rPr>
          <w:rFonts w:ascii="Times New Roman" w:cs="Times New Roman" w:eastAsia="Times New Roman" w:hAnsi="Times New Roman"/>
          <w:b/>
          <w:bCs/>
          <w:sz w:val="28"/>
          <w:szCs w:val="28"/>
        </w:rPr>
        <w:t xml:space="preserve">7. Conclusion</w:t>
      </w:r>
    </w:p>
    <w:p>
      <w:pPr>
        <w:spacing w:after="140" w:line="276"/>
        <w:jc w:val="both"/>
      </w:pPr>
      <w:r>
        <w:rPr>
          <w:rFonts w:ascii="Times New Roman" w:cs="Times New Roman" w:eastAsia="Times New Roman" w:hAnsi="Times New Roman"/>
          <w:sz w:val="22"/>
          <w:szCs w:val="22"/>
        </w:rPr>
        <w:t xml:space="preserve">This paper compared five detector update policies and a clean-continued control on UNSW-NB15 under a shared attack schedule and per-round budget. The question was whether repeated updating from newly observed evasions gives a detector more resistance than a single round of adversarial training. A 20-seed extension then matched the number and source-flow set of attack attempts across one-time and incremental schedules. The study used one small multilayer perceptron, feature-space attacks on 11 normalized features, simulated labels, and a non-adaptive attacker, and its findings are exploratory.</w:t>
      </w:r>
    </w:p>
    <w:p>
      <w:pPr>
        <w:spacing w:after="140" w:line="276"/>
        <w:jc w:val="both"/>
      </w:pPr>
      <w:r>
        <w:rPr>
          <w:rFonts w:ascii="Times New Roman" w:cs="Times New Roman" w:eastAsia="Times New Roman" w:hAnsi="Times New Roman"/>
          <w:sz w:val="22"/>
          <w:szCs w:val="22"/>
        </w:rPr>
        <w:t xml:space="preserve">Under these conditions, the results do not show that incremental updating is more effective than one-time adversarial training. At validation-calibrated thresholds, static adversarial training had lower observed round-5 attack-induced ASR than the frozen model in every seed and in all three attack settings, and its observed ASR was also lower than that of incremental training with rehearsal in every seed and setting. Incremental training with rehearsal and balanced replay stayed close to the frozen model, with paired intervals that include zero, and no sustained decline appeared across rounds. Incremental updating therefore showed no consistent advantage over the frozen model in this pilot. The clean-continued control also had lower observed attack-induced ASR than the frozen model in every seed, by less than the static arm did, and the static arm had lower observed attack-induced ASR than the control in every seed in the FGSM-like and decision-only settings, where the decision-only comparison uses a static arm trained on FGSM-like examples. These comparisons are descriptive. They do not isolate the causal effect of the adversarial examples or of extra training, because the arms differ in their training data and budgets.</w:t>
      </w:r>
    </w:p>
    <w:p>
      <w:pPr>
        <w:spacing w:after="140" w:line="276"/>
        <w:jc w:val="both"/>
      </w:pPr>
      <w:r>
        <w:rPr>
          <w:rFonts w:ascii="Times New Roman" w:cs="Times New Roman" w:eastAsia="Times New Roman" w:hAnsi="Times New Roman"/>
          <w:sz w:val="22"/>
          <w:szCs w:val="22"/>
        </w:rPr>
        <w:t xml:space="preserve">The matched-attempt extension sharpens this conclusion. Over 20 seeds, with 500 attack attempts from the same source flows and the same rule within each update, no schedule had consistently lower observed attack-induced ASR. In the gradient settings, the matched all-attempt incremental schedule was lower than a one-time arm with one two-epoch update in 19 of 20 seeds and higher than a one-time arm with one ten-epoch update in all 20, and it was not clearly separated from a front-loaded arm that applied initial-model vectors in the same five-update structure before round 1. In the decision-only setting the matched arms did not separate. In the FGSM-like sensitivity analysis, which varied one update setting at a time, the order of the two-epoch one-time arm, the ten-epoch one-time arm, and the matched incremental schedule was the same in all seven configurations. The original static arm stayed lower than its attempt-matched counterpart in every seed, so its lower observed ASR in the main comparison is associated with its overall training procedure rather than with one-time scheduling alone. The matched comparison shows associations with update structure, exposure, and timing that it cannot separate, not a general causal result or a general advantage for incremental updating. A static arm trained on decision-only examples had higher observed ASR than the FGSM-trained one in the decision-only setting.</w:t>
      </w:r>
    </w:p>
    <w:p>
      <w:pPr>
        <w:spacing w:after="140" w:line="276"/>
        <w:jc w:val="both"/>
      </w:pPr>
      <w:r>
        <w:rPr>
          <w:rFonts w:ascii="Times New Roman" w:cs="Times New Roman" w:eastAsia="Times New Roman" w:hAnsi="Times New Roman"/>
          <w:sz w:val="22"/>
          <w:szCs w:val="22"/>
        </w:rPr>
        <w:t xml:space="preserve">The clean-side results qualify any reading of attack-induced ASR alone. The static arm and the control showed similar small shifts in clean recall and FPR. The no-rehearsal arm had a lower attack-induced ASR but also lower pre-attack detection and clean recall, so its value does not indicate greater robustness. At the common fixed threshold, several incremental arms moved to different operating points, with test FPR of 20.93% for rehearsal and 43.70% for no rehearsal in the FGSM-like setting, and balanced replay had lower recall. Reporting false-positive rate, recall, and the pre-attack detection rate beside attack-induced ASR is necessary to interpret these comparisons. On cost, the incremental arms received five-seed means of about 21 to 111 simulated labels over five rounds, and the static arm and the control took about twice the wall-clock time of the frozen model in this small implementation. The time differences of the incremental arms from the frozen arm, between −0.012 and +0.034 seconds, are not read as policy costs.</w:t>
      </w:r>
    </w:p>
    <w:p>
      <w:pPr>
        <w:spacing w:after="140" w:line="276"/>
        <w:jc w:val="both"/>
      </w:pPr>
      <w:r>
        <w:rPr>
          <w:rFonts w:ascii="Times New Roman" w:cs="Times New Roman" w:eastAsia="Times New Roman" w:hAnsi="Times New Roman"/>
          <w:sz w:val="22"/>
          <w:szCs w:val="22"/>
        </w:rPr>
        <w:t xml:space="preserve">These conclusions are limited to the configurations studied. The main comparison's arms did not receive matched amounts of adversarial data, and the extension matched attack attempts under one counting rule, with exposure matched for one arm. The attacks perturb normalized features. They break relations that hold in the data in most perturbed flows and give non-TCP flows TCP timing values (Section 5.10), and no perturbed flow was turned into or checked as executable traffic, so the attack-induced ASR values measure sensitivity to unconstrained feature perturbations and not evasion with traffic an attacker could send. The study does not establish that any policy is superior, and it does not show that incremental updating cannot help under other settings. The next steps are other matching rules, attacks that keep the measured feature relations, capture-aware splits, additional datasets and models, an adaptive attacker, and measured analyst feedback.</w:t>
      </w:r>
    </w:p>
    <w:p>
      <w:pPr>
        <w:pStyle w:val="Heading1"/>
        <w:keepNext/>
        <w:spacing w:after="160" w:before="360"/>
      </w:pPr>
      <w:r>
        <w:rPr>
          <w:rFonts w:ascii="Times New Roman" w:cs="Times New Roman" w:eastAsia="Times New Roman" w:hAnsi="Times New Roman"/>
          <w:b/>
          <w:bCs/>
          <w:sz w:val="28"/>
          <w:szCs w:val="28"/>
        </w:rPr>
        <w:t xml:space="preserve">Data and Code Availability</w:t>
      </w:r>
    </w:p>
    <w:p>
      <w:pPr>
        <w:spacing w:after="140" w:line="276"/>
        <w:jc w:val="both"/>
      </w:pPr>
      <w:r>
        <w:rPr>
          <w:rFonts w:ascii="Times New Roman" w:cs="Times New Roman" w:eastAsia="Times New Roman" w:hAnsi="Times New Roman"/>
          <w:sz w:val="22"/>
          <w:szCs w:val="22"/>
        </w:rPr>
        <w:t xml:space="preserve">The UNSW-NB15 partition files used in this study were obtained from the Zenodo record with DOI 10.5281/zenodo.3768048 [35], a third-party redistribution. The official dataset is described and distributed by UNSW Canberra [36]. Section 4.2 reports the checksum and content checks against both sources. The experiment code, per-run result files, and analysis scripts are not publicly deposited at the time of writing. For this revision the experiment was re-run from the downloaded files (Section 4.8). Tables 7 to 11 and Figures 2 to 4 were regenerated from the original per-run result files, Tables 12 to 14 and Figure 5 were generated from the extension's runs, including the addendum runs of M1-seq, and Table 15 from the perturbation measurements. These records are not public, so the statements in this paper about reproduction can be checked only by the authors at present.</w:t>
      </w:r>
    </w:p>
    <w:p>
      <w:pPr>
        <w:pStyle w:val="Heading1"/>
        <w:keepNext/>
        <w:spacing w:after="160" w:before="360"/>
      </w:pPr>
      <w:r>
        <w:rPr>
          <w:rFonts w:ascii="Times New Roman" w:cs="Times New Roman" w:eastAsia="Times New Roman" w:hAnsi="Times New Roman"/>
          <w:b/>
          <w:bCs/>
          <w:sz w:val="28"/>
          <w:szCs w:val="28"/>
        </w:rPr>
        <w:t xml:space="preserve">References</w:t>
      </w:r>
    </w:p>
    <w:p>
      <w:pPr>
        <w:spacing w:after="80"/>
        <w:ind w:left="480" w:hanging="480"/>
      </w:pPr>
      <w:r>
        <w:rPr>
          <w:rFonts w:ascii="Times New Roman" w:cs="Times New Roman" w:eastAsia="Times New Roman" w:hAnsi="Times New Roman"/>
          <w:sz w:val="20"/>
          <w:szCs w:val="20"/>
        </w:rPr>
        <w:t xml:space="preserve">[1] H. Mohammadian, A. A. Ghorbani, and A. H. Lashkari, “A gradient-based approach for adversarial attack on deep learning-based network intrusion detection systems,” </w:t>
      </w:r>
      <w:r>
        <w:rPr>
          <w:rFonts w:ascii="Times New Roman" w:cs="Times New Roman" w:eastAsia="Times New Roman" w:hAnsi="Times New Roman"/>
          <w:i/>
          <w:iCs/>
          <w:sz w:val="20"/>
          <w:szCs w:val="20"/>
        </w:rPr>
        <w:t xml:space="preserve">Appl. Soft Comput.</w:t>
      </w:r>
      <w:r>
        <w:rPr>
          <w:rFonts w:ascii="Times New Roman" w:cs="Times New Roman" w:eastAsia="Times New Roman" w:hAnsi="Times New Roman"/>
          <w:sz w:val="20"/>
          <w:szCs w:val="20"/>
        </w:rPr>
        <w:t xml:space="preserve">, vol. 137, Art. no. 110173, Apr. 2023, doi: 10.1016/j.asoc.2023.110173.</w:t>
      </w:r>
    </w:p>
    <w:p>
      <w:pPr>
        <w:spacing w:after="80"/>
        <w:ind w:left="480" w:hanging="480"/>
      </w:pPr>
      <w:r>
        <w:rPr>
          <w:rFonts w:ascii="Times New Roman" w:cs="Times New Roman" w:eastAsia="Times New Roman" w:hAnsi="Times New Roman"/>
          <w:sz w:val="20"/>
          <w:szCs w:val="20"/>
        </w:rPr>
        <w:t xml:space="preserve">[2] O. Ibitoye, R. Abou-Khamis, M. El-Shehaby, A. Matrawy, and M. O. Shafiq, “The threat of adversarial attacks against machine learning in network security: A survey,” </w:t>
      </w:r>
      <w:r>
        <w:rPr>
          <w:rFonts w:ascii="Times New Roman" w:cs="Times New Roman" w:eastAsia="Times New Roman" w:hAnsi="Times New Roman"/>
          <w:i/>
          <w:iCs/>
          <w:sz w:val="20"/>
          <w:szCs w:val="20"/>
        </w:rPr>
        <w:t xml:space="preserve">J. Electron. Electr. Eng.</w:t>
      </w:r>
      <w:r>
        <w:rPr>
          <w:rFonts w:ascii="Times New Roman" w:cs="Times New Roman" w:eastAsia="Times New Roman" w:hAnsi="Times New Roman"/>
          <w:sz w:val="20"/>
          <w:szCs w:val="20"/>
        </w:rPr>
        <w:t xml:space="preserve">, vol. 4, no. 1, pp. 16–59, Jan. 2025, doi: 10.37256/jeee.4120255738.</w:t>
      </w:r>
    </w:p>
    <w:p>
      <w:pPr>
        <w:spacing w:after="80"/>
        <w:ind w:left="480" w:hanging="480"/>
      </w:pPr>
      <w:r>
        <w:rPr>
          <w:rFonts w:ascii="Times New Roman" w:cs="Times New Roman" w:eastAsia="Times New Roman" w:hAnsi="Times New Roman"/>
          <w:sz w:val="20"/>
          <w:szCs w:val="20"/>
        </w:rPr>
        <w:t xml:space="preserve">[3] S. Ennaji, F. De Gaspari, D. Hitaj, A. Kbidi, and L. V. Mancini, “Adversarial challenges in network intrusion detection systems: Research insights and future prospects,” </w:t>
      </w:r>
      <w:r>
        <w:rPr>
          <w:rFonts w:ascii="Times New Roman" w:cs="Times New Roman" w:eastAsia="Times New Roman" w:hAnsi="Times New Roman"/>
          <w:i/>
          <w:iCs/>
          <w:sz w:val="20"/>
          <w:szCs w:val="20"/>
        </w:rPr>
        <w:t xml:space="preserve">IEEE Access</w:t>
      </w:r>
      <w:r>
        <w:rPr>
          <w:rFonts w:ascii="Times New Roman" w:cs="Times New Roman" w:eastAsia="Times New Roman" w:hAnsi="Times New Roman"/>
          <w:sz w:val="20"/>
          <w:szCs w:val="20"/>
        </w:rPr>
        <w:t xml:space="preserve">, vol. 13, pp. 148613–148645, 2025, doi: 10.1109/ACCESS.2025.3600984.</w:t>
      </w:r>
    </w:p>
    <w:p>
      <w:pPr>
        <w:spacing w:after="80"/>
        <w:ind w:left="480" w:hanging="480"/>
      </w:pPr>
      <w:r>
        <w:rPr>
          <w:rFonts w:ascii="Times New Roman" w:cs="Times New Roman" w:eastAsia="Times New Roman" w:hAnsi="Times New Roman"/>
          <w:sz w:val="20"/>
          <w:szCs w:val="20"/>
        </w:rPr>
        <w:t xml:space="preserve">[4] J. Vitorino, I. Praça, and E. Maia, “SoK: Realistic adversarial attacks and defenses for intelligent network intrusion detection,” </w:t>
      </w:r>
      <w:r>
        <w:rPr>
          <w:rFonts w:ascii="Times New Roman" w:cs="Times New Roman" w:eastAsia="Times New Roman" w:hAnsi="Times New Roman"/>
          <w:i/>
          <w:iCs/>
          <w:sz w:val="20"/>
          <w:szCs w:val="20"/>
        </w:rPr>
        <w:t xml:space="preserve">Comput. Secur.</w:t>
      </w:r>
      <w:r>
        <w:rPr>
          <w:rFonts w:ascii="Times New Roman" w:cs="Times New Roman" w:eastAsia="Times New Roman" w:hAnsi="Times New Roman"/>
          <w:sz w:val="20"/>
          <w:szCs w:val="20"/>
        </w:rPr>
        <w:t xml:space="preserve">, vol. 134, Art. no. 103433, Nov. 2023, doi: 10.1016/j.cose.2023.103433.</w:t>
      </w:r>
    </w:p>
    <w:p>
      <w:pPr>
        <w:spacing w:after="80"/>
        <w:ind w:left="480" w:hanging="480"/>
      </w:pPr>
      <w:r>
        <w:rPr>
          <w:rFonts w:ascii="Times New Roman" w:cs="Times New Roman" w:eastAsia="Times New Roman" w:hAnsi="Times New Roman"/>
          <w:sz w:val="20"/>
          <w:szCs w:val="20"/>
        </w:rPr>
        <w:t xml:space="preserve">[5] I. Debicha, B. Cochez, T. Kenaza, T. Debatty, J.-M. Dricot, and W. Mees, “Adv-Bot: Realistic adversarial botnet attacks against network intrusion detection systems,” </w:t>
      </w:r>
      <w:r>
        <w:rPr>
          <w:rFonts w:ascii="Times New Roman" w:cs="Times New Roman" w:eastAsia="Times New Roman" w:hAnsi="Times New Roman"/>
          <w:i/>
          <w:iCs/>
          <w:sz w:val="20"/>
          <w:szCs w:val="20"/>
        </w:rPr>
        <w:t xml:space="preserve">Comput. Secur.</w:t>
      </w:r>
      <w:r>
        <w:rPr>
          <w:rFonts w:ascii="Times New Roman" w:cs="Times New Roman" w:eastAsia="Times New Roman" w:hAnsi="Times New Roman"/>
          <w:sz w:val="20"/>
          <w:szCs w:val="20"/>
        </w:rPr>
        <w:t xml:space="preserve">, vol. 129, Art. no. 103176, Jun. 2023, doi: 10.1016/j.cose.2023.103176.</w:t>
      </w:r>
    </w:p>
    <w:p>
      <w:pPr>
        <w:spacing w:after="80"/>
        <w:ind w:left="480" w:hanging="480"/>
      </w:pPr>
      <w:r>
        <w:rPr>
          <w:rFonts w:ascii="Times New Roman" w:cs="Times New Roman" w:eastAsia="Times New Roman" w:hAnsi="Times New Roman"/>
          <w:sz w:val="20"/>
          <w:szCs w:val="20"/>
        </w:rPr>
        <w:t xml:space="preserve">[6] W. D. Xiong, K. L. Luo, and R. Li, “AIDTF: Adversarial training framework for network intrusion detection,” </w:t>
      </w:r>
      <w:r>
        <w:rPr>
          <w:rFonts w:ascii="Times New Roman" w:cs="Times New Roman" w:eastAsia="Times New Roman" w:hAnsi="Times New Roman"/>
          <w:i/>
          <w:iCs/>
          <w:sz w:val="20"/>
          <w:szCs w:val="20"/>
        </w:rPr>
        <w:t xml:space="preserve">Comput. Secur.</w:t>
      </w:r>
      <w:r>
        <w:rPr>
          <w:rFonts w:ascii="Times New Roman" w:cs="Times New Roman" w:eastAsia="Times New Roman" w:hAnsi="Times New Roman"/>
          <w:sz w:val="20"/>
          <w:szCs w:val="20"/>
        </w:rPr>
        <w:t xml:space="preserve">, vol. 128, Art. no. 103141, May 2023, doi: 10.1016/j.cose.2023.103141.</w:t>
      </w:r>
    </w:p>
    <w:p>
      <w:pPr>
        <w:spacing w:after="80"/>
        <w:ind w:left="480" w:hanging="480"/>
      </w:pPr>
      <w:r>
        <w:rPr>
          <w:rFonts w:ascii="Times New Roman" w:cs="Times New Roman" w:eastAsia="Times New Roman" w:hAnsi="Times New Roman"/>
          <w:sz w:val="20"/>
          <w:szCs w:val="20"/>
        </w:rPr>
        <w:t xml:space="preserve">[7] X. Yuan, S. Han, W. Huang, H. Ye, X. Kong, and F. Zhang, “A simple framework to enhance the adversarial robustness of deep learning-based intrusion detection system,” </w:t>
      </w:r>
      <w:r>
        <w:rPr>
          <w:rFonts w:ascii="Times New Roman" w:cs="Times New Roman" w:eastAsia="Times New Roman" w:hAnsi="Times New Roman"/>
          <w:i/>
          <w:iCs/>
          <w:sz w:val="20"/>
          <w:szCs w:val="20"/>
        </w:rPr>
        <w:t xml:space="preserve">Comput. Secur.</w:t>
      </w:r>
      <w:r>
        <w:rPr>
          <w:rFonts w:ascii="Times New Roman" w:cs="Times New Roman" w:eastAsia="Times New Roman" w:hAnsi="Times New Roman"/>
          <w:sz w:val="20"/>
          <w:szCs w:val="20"/>
        </w:rPr>
        <w:t xml:space="preserve">, vol. 137, Art. no. 103644, Feb. 2024, doi: 10.1016/j.cose.2023.103644.</w:t>
      </w:r>
    </w:p>
    <w:p>
      <w:pPr>
        <w:spacing w:after="80"/>
        <w:ind w:left="480" w:hanging="480"/>
      </w:pPr>
      <w:r>
        <w:rPr>
          <w:rFonts w:ascii="Times New Roman" w:cs="Times New Roman" w:eastAsia="Times New Roman" w:hAnsi="Times New Roman"/>
          <w:sz w:val="20"/>
          <w:szCs w:val="20"/>
        </w:rPr>
        <w:t xml:space="preserve">[8] K. He, D. D. Kim, and M. R. Asghar, “NIDS-Vis: Improving the generalized adversarial robustness of network intrusion detection system,” </w:t>
      </w:r>
      <w:r>
        <w:rPr>
          <w:rFonts w:ascii="Times New Roman" w:cs="Times New Roman" w:eastAsia="Times New Roman" w:hAnsi="Times New Roman"/>
          <w:i/>
          <w:iCs/>
          <w:sz w:val="20"/>
          <w:szCs w:val="20"/>
        </w:rPr>
        <w:t xml:space="preserve">Comput. Secur.</w:t>
      </w:r>
      <w:r>
        <w:rPr>
          <w:rFonts w:ascii="Times New Roman" w:cs="Times New Roman" w:eastAsia="Times New Roman" w:hAnsi="Times New Roman"/>
          <w:sz w:val="20"/>
          <w:szCs w:val="20"/>
        </w:rPr>
        <w:t xml:space="preserve">, vol. 145, Art. no. 104028, Oct. 2024, doi: 10.1016/j.cose.2024.104028.</w:t>
      </w:r>
    </w:p>
    <w:p>
      <w:pPr>
        <w:spacing w:after="80"/>
        <w:ind w:left="480" w:hanging="480"/>
      </w:pPr>
      <w:r>
        <w:rPr>
          <w:rFonts w:ascii="Times New Roman" w:cs="Times New Roman" w:eastAsia="Times New Roman" w:hAnsi="Times New Roman"/>
          <w:sz w:val="20"/>
          <w:szCs w:val="20"/>
        </w:rPr>
        <w:t xml:space="preserve">[9] S. Saha, M. A. Pervaiz, M. S. Rahman, S. Ahmmed, and J. Maua, “Residual-guided hybrid framework for adversarially robust deep learning-based network intrusion detection,” </w:t>
      </w:r>
      <w:r>
        <w:rPr>
          <w:rFonts w:ascii="Times New Roman" w:cs="Times New Roman" w:eastAsia="Times New Roman" w:hAnsi="Times New Roman"/>
          <w:i/>
          <w:iCs/>
          <w:sz w:val="20"/>
          <w:szCs w:val="20"/>
        </w:rPr>
        <w:t xml:space="preserve">PLoS ONE</w:t>
      </w:r>
      <w:r>
        <w:rPr>
          <w:rFonts w:ascii="Times New Roman" w:cs="Times New Roman" w:eastAsia="Times New Roman" w:hAnsi="Times New Roman"/>
          <w:sz w:val="20"/>
          <w:szCs w:val="20"/>
        </w:rPr>
        <w:t xml:space="preserve">, vol. 21, no. 6, Art. no. e0350737, Jun. 2026, doi: 10.1371/journal.pone.0350737.</w:t>
      </w:r>
    </w:p>
    <w:p>
      <w:pPr>
        <w:spacing w:after="80"/>
        <w:ind w:left="480" w:hanging="480"/>
      </w:pPr>
      <w:r>
        <w:rPr>
          <w:rFonts w:ascii="Times New Roman" w:cs="Times New Roman" w:eastAsia="Times New Roman" w:hAnsi="Times New Roman"/>
          <w:sz w:val="20"/>
          <w:szCs w:val="20"/>
        </w:rPr>
        <w:t xml:space="preserve">[10] G. Ekinci, A. Broggi, L. Fiondella, N. D. Bastian, and G. Kul, “Adaptive network intrusion detection systems against performance degradation via model agnostic meta-learning,” in </w:t>
      </w:r>
      <w:r>
        <w:rPr>
          <w:rFonts w:ascii="Times New Roman" w:cs="Times New Roman" w:eastAsia="Times New Roman" w:hAnsi="Times New Roman"/>
          <w:i/>
          <w:iCs/>
          <w:sz w:val="20"/>
          <w:szCs w:val="20"/>
        </w:rPr>
        <w:t xml:space="preserve">Proc. 11th ACM Workshop Adaptive Auton. Cyber Defense (AACD '24), ACM SIGSAC Conf. Comput. Commun. Secur. (CCS '24)</w:t>
      </w:r>
      <w:r>
        <w:rPr>
          <w:rFonts w:ascii="Times New Roman" w:cs="Times New Roman" w:eastAsia="Times New Roman" w:hAnsi="Times New Roman"/>
          <w:sz w:val="20"/>
          <w:szCs w:val="20"/>
        </w:rPr>
        <w:t xml:space="preserve">, Nov. 2024, pp. 23–26, doi: 10.1145/3689935.3690396.</w:t>
      </w:r>
    </w:p>
    <w:p>
      <w:pPr>
        <w:spacing w:after="80"/>
        <w:ind w:left="480" w:hanging="480"/>
      </w:pPr>
      <w:r>
        <w:rPr>
          <w:rFonts w:ascii="Times New Roman" w:cs="Times New Roman" w:eastAsia="Times New Roman" w:hAnsi="Times New Roman"/>
          <w:sz w:val="20"/>
          <w:szCs w:val="20"/>
        </w:rPr>
        <w:t xml:space="preserve">[11] N. Fathima A. H., A. Khraisat, S. Ibrahim S. P., and G. Li, “Adaptive memory replay for network intrusion detection: Tackling data drift and catastrophic forgetting,” </w:t>
      </w:r>
      <w:r>
        <w:rPr>
          <w:rFonts w:ascii="Times New Roman" w:cs="Times New Roman" w:eastAsia="Times New Roman" w:hAnsi="Times New Roman"/>
          <w:i/>
          <w:iCs/>
          <w:sz w:val="20"/>
          <w:szCs w:val="20"/>
        </w:rPr>
        <w:t xml:space="preserve">Comput. Netw.</w:t>
      </w:r>
      <w:r>
        <w:rPr>
          <w:rFonts w:ascii="Times New Roman" w:cs="Times New Roman" w:eastAsia="Times New Roman" w:hAnsi="Times New Roman"/>
          <w:sz w:val="20"/>
          <w:szCs w:val="20"/>
        </w:rPr>
        <w:t xml:space="preserve">, vol. 272, Art. no. 111712, Nov. 2025, doi: 10.1016/j.comnet.2025.111712.</w:t>
      </w:r>
    </w:p>
    <w:p>
      <w:pPr>
        <w:spacing w:after="80"/>
        <w:ind w:left="480" w:hanging="480"/>
      </w:pPr>
      <w:r>
        <w:rPr>
          <w:rFonts w:ascii="Times New Roman" w:cs="Times New Roman" w:eastAsia="Times New Roman" w:hAnsi="Times New Roman"/>
          <w:sz w:val="20"/>
          <w:szCs w:val="20"/>
        </w:rPr>
        <w:t xml:space="preserve">[12] N. Costagliola, G. Ekinci, N. D. Bastian, L. Fiondella, and G. Kul, “Replay or regret: Evaluating continual learning methods for robust intrusion detection,” in </w:t>
      </w:r>
      <w:r>
        <w:rPr>
          <w:rFonts w:ascii="Times New Roman" w:cs="Times New Roman" w:eastAsia="Times New Roman" w:hAnsi="Times New Roman"/>
          <w:i/>
          <w:iCs/>
          <w:sz w:val="20"/>
          <w:szCs w:val="20"/>
        </w:rPr>
        <w:t xml:space="preserve">Proc. IEEE Military Commun. Conf. (MILCOM)</w:t>
      </w:r>
      <w:r>
        <w:rPr>
          <w:rFonts w:ascii="Times New Roman" w:cs="Times New Roman" w:eastAsia="Times New Roman" w:hAnsi="Times New Roman"/>
          <w:sz w:val="20"/>
          <w:szCs w:val="20"/>
        </w:rPr>
        <w:t xml:space="preserve">, Oct. 2025, doi: 10.1109/MILCOM64451.2025.11310341.</w:t>
      </w:r>
    </w:p>
    <w:p>
      <w:pPr>
        <w:spacing w:after="80"/>
        <w:ind w:left="480" w:hanging="480"/>
      </w:pPr>
      <w:r>
        <w:rPr>
          <w:rFonts w:ascii="Times New Roman" w:cs="Times New Roman" w:eastAsia="Times New Roman" w:hAnsi="Times New Roman"/>
          <w:sz w:val="20"/>
          <w:szCs w:val="20"/>
        </w:rPr>
        <w:t xml:space="preserve">[13] M. elShehaby and A. Matrawy, “Evasion adversarial attacks remain impractical against ML-based network intrusion detection systems, especially dynamic ones,” arXiv:2306.05494, v5, Mar. 2026 (preprint).</w:t>
      </w:r>
    </w:p>
    <w:p>
      <w:pPr>
        <w:spacing w:after="80"/>
        <w:ind w:left="480" w:hanging="480"/>
      </w:pPr>
      <w:r>
        <w:rPr>
          <w:rFonts w:ascii="Times New Roman" w:cs="Times New Roman" w:eastAsia="Times New Roman" w:hAnsi="Times New Roman"/>
          <w:sz w:val="20"/>
          <w:szCs w:val="20"/>
        </w:rPr>
        <w:t xml:space="preserve">[14] N. Moustafa and J. Slay, “UNSW-NB15: A comprehensive data set for network intrusion detection systems (UNSW-NB15 network data set),” in </w:t>
      </w:r>
      <w:r>
        <w:rPr>
          <w:rFonts w:ascii="Times New Roman" w:cs="Times New Roman" w:eastAsia="Times New Roman" w:hAnsi="Times New Roman"/>
          <w:i/>
          <w:iCs/>
          <w:sz w:val="20"/>
          <w:szCs w:val="20"/>
        </w:rPr>
        <w:t xml:space="preserve">Proc. Mil. Commun. Inf. Syst. Conf. (MilCIS)</w:t>
      </w:r>
      <w:r>
        <w:rPr>
          <w:rFonts w:ascii="Times New Roman" w:cs="Times New Roman" w:eastAsia="Times New Roman" w:hAnsi="Times New Roman"/>
          <w:sz w:val="20"/>
          <w:szCs w:val="20"/>
        </w:rPr>
        <w:t xml:space="preserve">, Nov. 2015, doi: 10.1109/MilCIS.2015.7348942.</w:t>
      </w:r>
    </w:p>
    <w:p>
      <w:pPr>
        <w:spacing w:after="80"/>
        <w:ind w:left="480" w:hanging="480"/>
      </w:pPr>
      <w:r>
        <w:rPr>
          <w:rFonts w:ascii="Times New Roman" w:cs="Times New Roman" w:eastAsia="Times New Roman" w:hAnsi="Times New Roman"/>
          <w:sz w:val="20"/>
          <w:szCs w:val="20"/>
        </w:rPr>
        <w:t xml:space="preserve">[15] Z. Zoghi and G. Serpen, “Building an intrusion detection system on UNSW-NB15: Reducing the margin of error to deal with data overlap and imbalance,” </w:t>
      </w:r>
      <w:r>
        <w:rPr>
          <w:rFonts w:ascii="Times New Roman" w:cs="Times New Roman" w:eastAsia="Times New Roman" w:hAnsi="Times New Roman"/>
          <w:i/>
          <w:iCs/>
          <w:sz w:val="20"/>
          <w:szCs w:val="20"/>
        </w:rPr>
        <w:t xml:space="preserve">Concurr. Comput. Pract. Exp.</w:t>
      </w:r>
      <w:r>
        <w:rPr>
          <w:rFonts w:ascii="Times New Roman" w:cs="Times New Roman" w:eastAsia="Times New Roman" w:hAnsi="Times New Roman"/>
          <w:sz w:val="20"/>
          <w:szCs w:val="20"/>
        </w:rPr>
        <w:t xml:space="preserve">, vol. 36, no. 25, Art. no. e8242, 2024, doi: 10.1002/cpe.8242.</w:t>
      </w:r>
    </w:p>
    <w:p>
      <w:pPr>
        <w:spacing w:after="80"/>
        <w:ind w:left="480" w:hanging="480"/>
      </w:pPr>
      <w:r>
        <w:rPr>
          <w:rFonts w:ascii="Times New Roman" w:cs="Times New Roman" w:eastAsia="Times New Roman" w:hAnsi="Times New Roman"/>
          <w:sz w:val="20"/>
          <w:szCs w:val="20"/>
        </w:rPr>
        <w:t xml:space="preserve">[16] C. Szegedy, W. Zaremba, I. Sutskever, J. Bruna, D. Erhan, I. Goodfellow, and R. Fergus, “Intriguing properties of neural networks,” in </w:t>
      </w:r>
      <w:r>
        <w:rPr>
          <w:rFonts w:ascii="Times New Roman" w:cs="Times New Roman" w:eastAsia="Times New Roman" w:hAnsi="Times New Roman"/>
          <w:i/>
          <w:iCs/>
          <w:sz w:val="20"/>
          <w:szCs w:val="20"/>
        </w:rPr>
        <w:t xml:space="preserve">Proc. Int. Conf. Learn. Representations (ICLR)</w:t>
      </w:r>
      <w:r>
        <w:rPr>
          <w:rFonts w:ascii="Times New Roman" w:cs="Times New Roman" w:eastAsia="Times New Roman" w:hAnsi="Times New Roman"/>
          <w:sz w:val="20"/>
          <w:szCs w:val="20"/>
        </w:rPr>
        <w:t xml:space="preserve">, 2014, arXiv:1312.6199.</w:t>
      </w:r>
    </w:p>
    <w:p>
      <w:pPr>
        <w:spacing w:after="80"/>
        <w:ind w:left="480" w:hanging="480"/>
      </w:pPr>
      <w:r>
        <w:rPr>
          <w:rFonts w:ascii="Times New Roman" w:cs="Times New Roman" w:eastAsia="Times New Roman" w:hAnsi="Times New Roman"/>
          <w:sz w:val="20"/>
          <w:szCs w:val="20"/>
        </w:rPr>
        <w:t xml:space="preserve">[17] K. He, D. D. Kim, and M. R. Asghar, “Adversarial machine learning for network intrusion detection systems: A comprehensive survey,” </w:t>
      </w:r>
      <w:r>
        <w:rPr>
          <w:rFonts w:ascii="Times New Roman" w:cs="Times New Roman" w:eastAsia="Times New Roman" w:hAnsi="Times New Roman"/>
          <w:i/>
          <w:iCs/>
          <w:sz w:val="20"/>
          <w:szCs w:val="20"/>
        </w:rPr>
        <w:t xml:space="preserve">IEEE Commun. Surveys Tuts.</w:t>
      </w:r>
      <w:r>
        <w:rPr>
          <w:rFonts w:ascii="Times New Roman" w:cs="Times New Roman" w:eastAsia="Times New Roman" w:hAnsi="Times New Roman"/>
          <w:sz w:val="20"/>
          <w:szCs w:val="20"/>
        </w:rPr>
        <w:t xml:space="preserve">, vol. 25, no. 1, pp. 538–566, 2023, doi: 10.1109/COMST.2022.3233793.</w:t>
      </w:r>
    </w:p>
    <w:p>
      <w:pPr>
        <w:spacing w:after="80"/>
        <w:ind w:left="480" w:hanging="480"/>
      </w:pPr>
      <w:r>
        <w:rPr>
          <w:rFonts w:ascii="Times New Roman" w:cs="Times New Roman" w:eastAsia="Times New Roman" w:hAnsi="Times New Roman"/>
          <w:sz w:val="20"/>
          <w:szCs w:val="20"/>
        </w:rPr>
        <w:t xml:space="preserve">[18] I. J. Goodfellow, J. Shlens, and C. Szegedy, “Explaining and harnessing adversarial examples,” in </w:t>
      </w:r>
      <w:r>
        <w:rPr>
          <w:rFonts w:ascii="Times New Roman" w:cs="Times New Roman" w:eastAsia="Times New Roman" w:hAnsi="Times New Roman"/>
          <w:i/>
          <w:iCs/>
          <w:sz w:val="20"/>
          <w:szCs w:val="20"/>
        </w:rPr>
        <w:t xml:space="preserve">Proc. Int. Conf. Learn. Representations (ICLR)</w:t>
      </w:r>
      <w:r>
        <w:rPr>
          <w:rFonts w:ascii="Times New Roman" w:cs="Times New Roman" w:eastAsia="Times New Roman" w:hAnsi="Times New Roman"/>
          <w:sz w:val="20"/>
          <w:szCs w:val="20"/>
        </w:rPr>
        <w:t xml:space="preserve">, 2015, arXiv:1412.6572.</w:t>
      </w:r>
    </w:p>
    <w:p>
      <w:pPr>
        <w:spacing w:after="80"/>
        <w:ind w:left="480" w:hanging="480"/>
      </w:pPr>
      <w:r>
        <w:rPr>
          <w:rFonts w:ascii="Times New Roman" w:cs="Times New Roman" w:eastAsia="Times New Roman" w:hAnsi="Times New Roman"/>
          <w:sz w:val="20"/>
          <w:szCs w:val="20"/>
        </w:rPr>
        <w:t xml:space="preserve">[19] A. Kurakin, I. Goodfellow, and S. Bengio, “Adversarial examples in the physical world,” in </w:t>
      </w:r>
      <w:r>
        <w:rPr>
          <w:rFonts w:ascii="Times New Roman" w:cs="Times New Roman" w:eastAsia="Times New Roman" w:hAnsi="Times New Roman"/>
          <w:i/>
          <w:iCs/>
          <w:sz w:val="20"/>
          <w:szCs w:val="20"/>
        </w:rPr>
        <w:t xml:space="preserve">Proc. Int. Conf. Learn. Representations (ICLR), Workshop Track</w:t>
      </w:r>
      <w:r>
        <w:rPr>
          <w:rFonts w:ascii="Times New Roman" w:cs="Times New Roman" w:eastAsia="Times New Roman" w:hAnsi="Times New Roman"/>
          <w:sz w:val="20"/>
          <w:szCs w:val="20"/>
        </w:rPr>
        <w:t xml:space="preserve">, 2017, arXiv:1607.02533.</w:t>
      </w:r>
    </w:p>
    <w:p>
      <w:pPr>
        <w:spacing w:after="80"/>
        <w:ind w:left="480" w:hanging="480"/>
      </w:pPr>
      <w:r>
        <w:rPr>
          <w:rFonts w:ascii="Times New Roman" w:cs="Times New Roman" w:eastAsia="Times New Roman" w:hAnsi="Times New Roman"/>
          <w:sz w:val="20"/>
          <w:szCs w:val="20"/>
        </w:rPr>
        <w:t xml:space="preserve">[20] A. Madry, A. Makelov, L. Schmidt, D. Tsipras, and A. Vladu, “Towards deep learning models resistant to adversarial attacks,” in </w:t>
      </w:r>
      <w:r>
        <w:rPr>
          <w:rFonts w:ascii="Times New Roman" w:cs="Times New Roman" w:eastAsia="Times New Roman" w:hAnsi="Times New Roman"/>
          <w:i/>
          <w:iCs/>
          <w:sz w:val="20"/>
          <w:szCs w:val="20"/>
        </w:rPr>
        <w:t xml:space="preserve">Proc. Int. Conf. Learn. Representations (ICLR)</w:t>
      </w:r>
      <w:r>
        <w:rPr>
          <w:rFonts w:ascii="Times New Roman" w:cs="Times New Roman" w:eastAsia="Times New Roman" w:hAnsi="Times New Roman"/>
          <w:sz w:val="20"/>
          <w:szCs w:val="20"/>
        </w:rPr>
        <w:t xml:space="preserve">, 2018, arXiv:1706.06083.</w:t>
      </w:r>
    </w:p>
    <w:p>
      <w:pPr>
        <w:spacing w:after="80"/>
        <w:ind w:left="480" w:hanging="480"/>
      </w:pPr>
      <w:r>
        <w:rPr>
          <w:rFonts w:ascii="Times New Roman" w:cs="Times New Roman" w:eastAsia="Times New Roman" w:hAnsi="Times New Roman"/>
          <w:sz w:val="20"/>
          <w:szCs w:val="20"/>
        </w:rPr>
        <w:t xml:space="preserve">[21] R. Sheatsley, N. Papernot, M. J. Weisman, G. Verma, and P. McDaniel, “Adversarial examples for network intrusion detection systems,” </w:t>
      </w:r>
      <w:r>
        <w:rPr>
          <w:rFonts w:ascii="Times New Roman" w:cs="Times New Roman" w:eastAsia="Times New Roman" w:hAnsi="Times New Roman"/>
          <w:i/>
          <w:iCs/>
          <w:sz w:val="20"/>
          <w:szCs w:val="20"/>
        </w:rPr>
        <w:t xml:space="preserve">J. Comput. Secur.</w:t>
      </w:r>
      <w:r>
        <w:rPr>
          <w:rFonts w:ascii="Times New Roman" w:cs="Times New Roman" w:eastAsia="Times New Roman" w:hAnsi="Times New Roman"/>
          <w:sz w:val="20"/>
          <w:szCs w:val="20"/>
        </w:rPr>
        <w:t xml:space="preserve">, vol. 30, no. 5, pp. 727–752, 2022, doi: 10.3233/JCS-210094.</w:t>
      </w:r>
    </w:p>
    <w:p>
      <w:pPr>
        <w:spacing w:after="80"/>
        <w:ind w:left="480" w:hanging="480"/>
      </w:pPr>
      <w:r>
        <w:rPr>
          <w:rFonts w:ascii="Times New Roman" w:cs="Times New Roman" w:eastAsia="Times New Roman" w:hAnsi="Times New Roman"/>
          <w:sz w:val="20"/>
          <w:szCs w:val="20"/>
        </w:rPr>
        <w:t xml:space="preserve">[22] W. Brendel, J. Rauber, and M. Bethge, “Decision-based adversarial attacks: Reliable attacks against black-box machine learning models,” in </w:t>
      </w:r>
      <w:r>
        <w:rPr>
          <w:rFonts w:ascii="Times New Roman" w:cs="Times New Roman" w:eastAsia="Times New Roman" w:hAnsi="Times New Roman"/>
          <w:i/>
          <w:iCs/>
          <w:sz w:val="20"/>
          <w:szCs w:val="20"/>
        </w:rPr>
        <w:t xml:space="preserve">Proc. Int. Conf. Learn. Representations (ICLR)</w:t>
      </w:r>
      <w:r>
        <w:rPr>
          <w:rFonts w:ascii="Times New Roman" w:cs="Times New Roman" w:eastAsia="Times New Roman" w:hAnsi="Times New Roman"/>
          <w:sz w:val="20"/>
          <w:szCs w:val="20"/>
        </w:rPr>
        <w:t xml:space="preserve">, 2018, arXiv:1712.04248.</w:t>
      </w:r>
    </w:p>
    <w:p>
      <w:pPr>
        <w:spacing w:after="80"/>
        <w:ind w:left="480" w:hanging="480"/>
      </w:pPr>
      <w:r>
        <w:rPr>
          <w:rFonts w:ascii="Times New Roman" w:cs="Times New Roman" w:eastAsia="Times New Roman" w:hAnsi="Times New Roman"/>
          <w:sz w:val="20"/>
          <w:szCs w:val="20"/>
        </w:rPr>
        <w:t xml:space="preserve">[23] G. Apruzzese, M. Andreolini, L. Ferretti, M. Marchetti, and M. Colajanni, “Modeling realistic adversarial attacks against network intrusion detection systems,” </w:t>
      </w:r>
      <w:r>
        <w:rPr>
          <w:rFonts w:ascii="Times New Roman" w:cs="Times New Roman" w:eastAsia="Times New Roman" w:hAnsi="Times New Roman"/>
          <w:i/>
          <w:iCs/>
          <w:sz w:val="20"/>
          <w:szCs w:val="20"/>
        </w:rPr>
        <w:t xml:space="preserve">Digit. Threats Res. Pract.</w:t>
      </w:r>
      <w:r>
        <w:rPr>
          <w:rFonts w:ascii="Times New Roman" w:cs="Times New Roman" w:eastAsia="Times New Roman" w:hAnsi="Times New Roman"/>
          <w:sz w:val="20"/>
          <w:szCs w:val="20"/>
        </w:rPr>
        <w:t xml:space="preserve">, vol. 3, no. 3, pp. 1–19, Sep. 2022, doi: 10.1145/3469659.</w:t>
      </w:r>
    </w:p>
    <w:p>
      <w:pPr>
        <w:spacing w:after="80"/>
        <w:ind w:left="480" w:hanging="480"/>
      </w:pPr>
      <w:r>
        <w:rPr>
          <w:rFonts w:ascii="Times New Roman" w:cs="Times New Roman" w:eastAsia="Times New Roman" w:hAnsi="Times New Roman"/>
          <w:sz w:val="20"/>
          <w:szCs w:val="20"/>
        </w:rPr>
        <w:t xml:space="preserve">[24] M. A. Merzouk, F. Cuppens, N. Boulahia-Cuppens, and R. Yaich, “Investigating the practicality of adversarial evasion attacks on network intrusion detection,” </w:t>
      </w:r>
      <w:r>
        <w:rPr>
          <w:rFonts w:ascii="Times New Roman" w:cs="Times New Roman" w:eastAsia="Times New Roman" w:hAnsi="Times New Roman"/>
          <w:i/>
          <w:iCs/>
          <w:sz w:val="20"/>
          <w:szCs w:val="20"/>
        </w:rPr>
        <w:t xml:space="preserve">Ann. Telecommun.</w:t>
      </w:r>
      <w:r>
        <w:rPr>
          <w:rFonts w:ascii="Times New Roman" w:cs="Times New Roman" w:eastAsia="Times New Roman" w:hAnsi="Times New Roman"/>
          <w:sz w:val="20"/>
          <w:szCs w:val="20"/>
        </w:rPr>
        <w:t xml:space="preserve">, vol. 77, no. 11–12, pp. 763–775, 2022, doi: 10.1007/s12243-022-00910-1.</w:t>
      </w:r>
    </w:p>
    <w:p>
      <w:pPr>
        <w:spacing w:after="80"/>
        <w:ind w:left="480" w:hanging="480"/>
      </w:pPr>
      <w:r>
        <w:rPr>
          <w:rFonts w:ascii="Times New Roman" w:cs="Times New Roman" w:eastAsia="Times New Roman" w:hAnsi="Times New Roman"/>
          <w:sz w:val="20"/>
          <w:szCs w:val="20"/>
        </w:rPr>
        <w:t xml:space="preserve">[25] D. Tsipras, S. Santurkar, L. Engstrom, A. Turner, and A. Madry, “Robustness may be at odds with accuracy,” in </w:t>
      </w:r>
      <w:r>
        <w:rPr>
          <w:rFonts w:ascii="Times New Roman" w:cs="Times New Roman" w:eastAsia="Times New Roman" w:hAnsi="Times New Roman"/>
          <w:i/>
          <w:iCs/>
          <w:sz w:val="20"/>
          <w:szCs w:val="20"/>
        </w:rPr>
        <w:t xml:space="preserve">Proc. Int. Conf. Learn. Representations (ICLR)</w:t>
      </w:r>
      <w:r>
        <w:rPr>
          <w:rFonts w:ascii="Times New Roman" w:cs="Times New Roman" w:eastAsia="Times New Roman" w:hAnsi="Times New Roman"/>
          <w:sz w:val="20"/>
          <w:szCs w:val="20"/>
        </w:rPr>
        <w:t xml:space="preserve">, 2019, arXiv:1805.12152.</w:t>
      </w:r>
    </w:p>
    <w:p>
      <w:pPr>
        <w:spacing w:after="80"/>
        <w:ind w:left="480" w:hanging="480"/>
      </w:pPr>
      <w:r>
        <w:rPr>
          <w:rFonts w:ascii="Times New Roman" w:cs="Times New Roman" w:eastAsia="Times New Roman" w:hAnsi="Times New Roman"/>
          <w:sz w:val="20"/>
          <w:szCs w:val="20"/>
        </w:rPr>
        <w:t xml:space="preserve">[26] J. Kirkpatrick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“Overcoming catastrophic forgetting in neural networks,” </w:t>
      </w:r>
      <w:r>
        <w:rPr>
          <w:rFonts w:ascii="Times New Roman" w:cs="Times New Roman" w:eastAsia="Times New Roman" w:hAnsi="Times New Roman"/>
          <w:i/>
          <w:iCs/>
          <w:sz w:val="20"/>
          <w:szCs w:val="20"/>
        </w:rPr>
        <w:t xml:space="preserve">Proc. Natl. Acad. Sci. U.S.A.</w:t>
      </w:r>
      <w:r>
        <w:rPr>
          <w:rFonts w:ascii="Times New Roman" w:cs="Times New Roman" w:eastAsia="Times New Roman" w:hAnsi="Times New Roman"/>
          <w:sz w:val="20"/>
          <w:szCs w:val="20"/>
        </w:rPr>
        <w:t xml:space="preserve">, vol. 114, no. 13, pp. 3521–3526, Mar. 2017, doi: 10.1073/pnas.1611835114.</w:t>
      </w:r>
    </w:p>
    <w:p>
      <w:pPr>
        <w:spacing w:after="80"/>
        <w:ind w:left="480" w:hanging="480"/>
      </w:pPr>
      <w:r>
        <w:rPr>
          <w:rFonts w:ascii="Times New Roman" w:cs="Times New Roman" w:eastAsia="Times New Roman" w:hAnsi="Times New Roman"/>
          <w:sz w:val="20"/>
          <w:szCs w:val="20"/>
        </w:rPr>
        <w:t xml:space="preserve">[27] D. Rolnick, A. Ahuja, J. Schwarz, T. P. Lillicrap, and G. Wayne, “Experience replay for continual learning,” in </w:t>
      </w:r>
      <w:r>
        <w:rPr>
          <w:rFonts w:ascii="Times New Roman" w:cs="Times New Roman" w:eastAsia="Times New Roman" w:hAnsi="Times New Roman"/>
          <w:i/>
          <w:iCs/>
          <w:sz w:val="20"/>
          <w:szCs w:val="20"/>
        </w:rPr>
        <w:t xml:space="preserve">Adv. Neural Inf. Process. Syst. (NeurIPS)</w:t>
      </w:r>
      <w:r>
        <w:rPr>
          <w:rFonts w:ascii="Times New Roman" w:cs="Times New Roman" w:eastAsia="Times New Roman" w:hAnsi="Times New Roman"/>
          <w:sz w:val="20"/>
          <w:szCs w:val="20"/>
        </w:rPr>
        <w:t xml:space="preserve">, vol. 32, 2019, arXiv:1811.11682.</w:t>
      </w:r>
    </w:p>
    <w:p>
      <w:pPr>
        <w:spacing w:after="80"/>
        <w:ind w:left="480" w:hanging="480"/>
      </w:pPr>
      <w:r>
        <w:rPr>
          <w:rFonts w:ascii="Times New Roman" w:cs="Times New Roman" w:eastAsia="Times New Roman" w:hAnsi="Times New Roman"/>
          <w:sz w:val="20"/>
          <w:szCs w:val="20"/>
        </w:rPr>
        <w:t xml:space="preserve">[28] S. K. Amalapuram, S. Channappayya, and B. R. Tamma, “Augmented memory replay-based continual learning approaches for network intrusion detection,” in </w:t>
      </w:r>
      <w:r>
        <w:rPr>
          <w:rFonts w:ascii="Times New Roman" w:cs="Times New Roman" w:eastAsia="Times New Roman" w:hAnsi="Times New Roman"/>
          <w:i/>
          <w:iCs/>
          <w:sz w:val="20"/>
          <w:szCs w:val="20"/>
        </w:rPr>
        <w:t xml:space="preserve">Adv. Neural Inf. Process. Syst. 36 (NeurIPS 2023), Main Conf. Track</w:t>
      </w:r>
      <w:r>
        <w:rPr>
          <w:rFonts w:ascii="Times New Roman" w:cs="Times New Roman" w:eastAsia="Times New Roman" w:hAnsi="Times New Roman"/>
          <w:sz w:val="20"/>
          <w:szCs w:val="20"/>
        </w:rPr>
        <w:t xml:space="preserve">, 2023, pp. 17156–17169, doi: 10.52202/075280-0750.</w:t>
      </w:r>
    </w:p>
    <w:p>
      <w:pPr>
        <w:spacing w:after="80"/>
        <w:ind w:left="480" w:hanging="480"/>
      </w:pPr>
      <w:r>
        <w:rPr>
          <w:rFonts w:ascii="Times New Roman" w:cs="Times New Roman" w:eastAsia="Times New Roman" w:hAnsi="Times New Roman"/>
          <w:sz w:val="20"/>
          <w:szCs w:val="20"/>
        </w:rPr>
        <w:t xml:space="preserve">[29] D. Arp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“Dos and don'ts of machine learning in computer security,” in </w:t>
      </w:r>
      <w:r>
        <w:rPr>
          <w:rFonts w:ascii="Times New Roman" w:cs="Times New Roman" w:eastAsia="Times New Roman" w:hAnsi="Times New Roman"/>
          <w:i/>
          <w:iCs/>
          <w:sz w:val="20"/>
          <w:szCs w:val="20"/>
        </w:rPr>
        <w:t xml:space="preserve">Proc. 31st USENIX Security Symp.</w:t>
      </w:r>
      <w:r>
        <w:rPr>
          <w:rFonts w:ascii="Times New Roman" w:cs="Times New Roman" w:eastAsia="Times New Roman" w:hAnsi="Times New Roman"/>
          <w:sz w:val="20"/>
          <w:szCs w:val="20"/>
        </w:rPr>
        <w:t xml:space="preserve">, 2022, pp. 3971–3988.</w:t>
      </w:r>
    </w:p>
    <w:p>
      <w:pPr>
        <w:spacing w:after="80"/>
        <w:ind w:left="480" w:hanging="480"/>
      </w:pPr>
      <w:r>
        <w:rPr>
          <w:rFonts w:ascii="Times New Roman" w:cs="Times New Roman" w:eastAsia="Times New Roman" w:hAnsi="Times New Roman"/>
          <w:sz w:val="20"/>
          <w:szCs w:val="20"/>
        </w:rPr>
        <w:t xml:space="preserve">[30] N. Carlini and D. Wagner, “Towards evaluating the robustness of neural networks,” in </w:t>
      </w:r>
      <w:r>
        <w:rPr>
          <w:rFonts w:ascii="Times New Roman" w:cs="Times New Roman" w:eastAsia="Times New Roman" w:hAnsi="Times New Roman"/>
          <w:i/>
          <w:iCs/>
          <w:sz w:val="20"/>
          <w:szCs w:val="20"/>
        </w:rPr>
        <w:t xml:space="preserve">Proc. IEEE Symp. Secur. Privacy (SP)</w:t>
      </w:r>
      <w:r>
        <w:rPr>
          <w:rFonts w:ascii="Times New Roman" w:cs="Times New Roman" w:eastAsia="Times New Roman" w:hAnsi="Times New Roman"/>
          <w:sz w:val="20"/>
          <w:szCs w:val="20"/>
        </w:rPr>
        <w:t xml:space="preserve">, 2017, pp. 39–57, doi: 10.1109/SP.2017.49.</w:t>
      </w:r>
    </w:p>
    <w:p>
      <w:pPr>
        <w:spacing w:after="80"/>
        <w:ind w:left="480" w:hanging="480"/>
      </w:pPr>
      <w:r>
        <w:rPr>
          <w:rFonts w:ascii="Times New Roman" w:cs="Times New Roman" w:eastAsia="Times New Roman" w:hAnsi="Times New Roman"/>
          <w:sz w:val="20"/>
          <w:szCs w:val="20"/>
        </w:rPr>
        <w:t xml:space="preserve">[31] F. Tramèr, N. Carlini, W. Brendel, and A. Madry, “On adaptive attacks to adversarial example defenses,” in </w:t>
      </w:r>
      <w:r>
        <w:rPr>
          <w:rFonts w:ascii="Times New Roman" w:cs="Times New Roman" w:eastAsia="Times New Roman" w:hAnsi="Times New Roman"/>
          <w:i/>
          <w:iCs/>
          <w:sz w:val="20"/>
          <w:szCs w:val="20"/>
        </w:rPr>
        <w:t xml:space="preserve">Adv. Neural Inf. Process. Syst. 33 (NeurIPS 2020)</w:t>
      </w:r>
      <w:r>
        <w:rPr>
          <w:rFonts w:ascii="Times New Roman" w:cs="Times New Roman" w:eastAsia="Times New Roman" w:hAnsi="Times New Roman"/>
          <w:sz w:val="20"/>
          <w:szCs w:val="20"/>
        </w:rPr>
        <w:t xml:space="preserve">, 2020, pp. 1633–1645.</w:t>
      </w:r>
    </w:p>
    <w:p>
      <w:pPr>
        <w:spacing w:after="80"/>
        <w:ind w:left="480" w:hanging="480"/>
      </w:pPr>
      <w:r>
        <w:rPr>
          <w:rFonts w:ascii="Times New Roman" w:cs="Times New Roman" w:eastAsia="Times New Roman" w:hAnsi="Times New Roman"/>
          <w:sz w:val="20"/>
          <w:szCs w:val="20"/>
        </w:rPr>
        <w:t xml:space="preserve">[32] S. Axelsson, “The base-rate fallacy and the difficulty of intrusion detection,” </w:t>
      </w:r>
      <w:r>
        <w:rPr>
          <w:rFonts w:ascii="Times New Roman" w:cs="Times New Roman" w:eastAsia="Times New Roman" w:hAnsi="Times New Roman"/>
          <w:i/>
          <w:iCs/>
          <w:sz w:val="20"/>
          <w:szCs w:val="20"/>
        </w:rPr>
        <w:t xml:space="preserve">ACM Trans. Inf. Syst. Secur.</w:t>
      </w:r>
      <w:r>
        <w:rPr>
          <w:rFonts w:ascii="Times New Roman" w:cs="Times New Roman" w:eastAsia="Times New Roman" w:hAnsi="Times New Roman"/>
          <w:sz w:val="20"/>
          <w:szCs w:val="20"/>
        </w:rPr>
        <w:t xml:space="preserve">, vol. 3, no. 3, pp. 186–205, Aug. 2000, doi: 10.1145/357830.357849.</w:t>
      </w:r>
    </w:p>
    <w:p>
      <w:pPr>
        <w:spacing w:after="80"/>
        <w:ind w:left="480" w:hanging="480"/>
      </w:pPr>
      <w:r>
        <w:rPr>
          <w:rFonts w:ascii="Times New Roman" w:cs="Times New Roman" w:eastAsia="Times New Roman" w:hAnsi="Times New Roman"/>
          <w:sz w:val="20"/>
          <w:szCs w:val="20"/>
        </w:rPr>
        <w:t xml:space="preserve">[33] E. Rivas, S. Saika, A. Bakht, A. Piplai, N. D. Bastian, and A. Shah, “Adapting under fire: Multi-agent reinforcement learning for adversarial drift in network security,” in </w:t>
      </w:r>
      <w:r>
        <w:rPr>
          <w:rFonts w:ascii="Times New Roman" w:cs="Times New Roman" w:eastAsia="Times New Roman" w:hAnsi="Times New Roman"/>
          <w:i/>
          <w:iCs/>
          <w:sz w:val="20"/>
          <w:szCs w:val="20"/>
        </w:rPr>
        <w:t xml:space="preserve">Proc. 22nd Int. Conf. Security and Cryptography (SECRYPT)</w:t>
      </w:r>
      <w:r>
        <w:rPr>
          <w:rFonts w:ascii="Times New Roman" w:cs="Times New Roman" w:eastAsia="Times New Roman" w:hAnsi="Times New Roman"/>
          <w:sz w:val="20"/>
          <w:szCs w:val="20"/>
        </w:rPr>
        <w:t xml:space="preserve">, 2025, pp. 547–554, doi: 10.5220/0013640900003979.</w:t>
      </w:r>
    </w:p>
    <w:p>
      <w:pPr>
        <w:spacing w:after="80"/>
        <w:ind w:left="480" w:hanging="480"/>
      </w:pPr>
      <w:r>
        <w:rPr>
          <w:rFonts w:ascii="Times New Roman" w:cs="Times New Roman" w:eastAsia="Times New Roman" w:hAnsi="Times New Roman"/>
          <w:sz w:val="20"/>
          <w:szCs w:val="20"/>
        </w:rPr>
        <w:t xml:space="preserve">[34] E. Rivas and A. Piplai, “Contrastive adversarial agents for intentional drift induction in network intrusion detection systems,” in </w:t>
      </w:r>
      <w:r>
        <w:rPr>
          <w:rFonts w:ascii="Times New Roman" w:cs="Times New Roman" w:eastAsia="Times New Roman" w:hAnsi="Times New Roman"/>
          <w:i/>
          <w:iCs/>
          <w:sz w:val="20"/>
          <w:szCs w:val="20"/>
        </w:rPr>
        <w:t xml:space="preserve">Proc. AAAI Symp. Ser.</w:t>
      </w:r>
      <w:r>
        <w:rPr>
          <w:rFonts w:ascii="Times New Roman" w:cs="Times New Roman" w:eastAsia="Times New Roman" w:hAnsi="Times New Roman"/>
          <w:sz w:val="20"/>
          <w:szCs w:val="20"/>
        </w:rPr>
        <w:t xml:space="preserve">, vol. 9, no. 1, pp. 309–314, 2026, doi: 10.1609/aaaiss.v9i1.42946.</w:t>
      </w:r>
    </w:p>
    <w:p>
      <w:pPr>
        <w:spacing w:after="80"/>
        <w:ind w:left="480" w:hanging="480"/>
      </w:pPr>
      <w:r>
        <w:rPr>
          <w:rFonts w:ascii="Times New Roman" w:cs="Times New Roman" w:eastAsia="Times New Roman" w:hAnsi="Times New Roman"/>
          <w:sz w:val="20"/>
          <w:szCs w:val="20"/>
        </w:rPr>
        <w:t xml:space="preserve">[35] “Tagged original datasets for ‘Genetically optimized massively parallel binary neural networks for intrusion detection systems’,” Zenodo, v1, Apr. 2020, doi: 10.5281/zenodo.3768048.</w:t>
      </w:r>
    </w:p>
    <w:p>
      <w:pPr>
        <w:spacing w:after="80"/>
        <w:ind w:left="480" w:hanging="480"/>
      </w:pPr>
      <w:r>
        <w:rPr>
          <w:rFonts w:ascii="Times New Roman" w:cs="Times New Roman" w:eastAsia="Times New Roman" w:hAnsi="Times New Roman"/>
          <w:sz w:val="20"/>
          <w:szCs w:val="20"/>
        </w:rPr>
        <w:t xml:space="preserve">[36] UNSW Canberra, “The UNSW-NB15 dataset,” UNSW Research project page. [Online]. Available: https://research.unsw.edu.au/projects/unsw-nb15-dataset (accessed Oct. 26, 2026).</w:t>
      </w:r>
    </w:p>
    <w:p>
      <w:pPr>
        <w:spacing w:after="80"/>
        <w:ind w:left="480" w:hanging="480"/>
      </w:pPr>
      <w:r>
        <w:rPr>
          <w:rFonts w:ascii="Times New Roman" w:cs="Times New Roman" w:eastAsia="Times New Roman" w:hAnsi="Times New Roman"/>
          <w:sz w:val="20"/>
          <w:szCs w:val="20"/>
        </w:rPr>
        <w:t xml:space="preserve">[37] F. Pendlebury, F. Pierazzi, R. Jordaney, J. Kinder, and L. Cavallaro, “TESSERACT: Eliminating experimental bias in malware classification across space and time,” in </w:t>
      </w:r>
      <w:r>
        <w:rPr>
          <w:rFonts w:ascii="Times New Roman" w:cs="Times New Roman" w:eastAsia="Times New Roman" w:hAnsi="Times New Roman"/>
          <w:i/>
          <w:iCs/>
          <w:sz w:val="20"/>
          <w:szCs w:val="20"/>
        </w:rPr>
        <w:t xml:space="preserve">Proc. 28th USENIX Security Symp.</w:t>
      </w:r>
      <w:r>
        <w:rPr>
          <w:rFonts w:ascii="Times New Roman" w:cs="Times New Roman" w:eastAsia="Times New Roman" w:hAnsi="Times New Roman"/>
          <w:sz w:val="20"/>
          <w:szCs w:val="20"/>
        </w:rPr>
        <w:t xml:space="preserve">, 2019, pp. 729–746.</w:t>
      </w:r>
    </w:p>
    <w:p>
      <w:pPr>
        <w:spacing w:after="80"/>
        <w:ind w:left="480" w:hanging="480"/>
      </w:pPr>
      <w:r>
        <w:rPr>
          <w:rFonts w:ascii="Times New Roman" w:cs="Times New Roman" w:eastAsia="Times New Roman" w:hAnsi="Times New Roman"/>
          <w:sz w:val="20"/>
          <w:szCs w:val="20"/>
        </w:rPr>
        <w:t xml:space="preserve">[38] D. P. Kingma and J. Ba, “Adam: A method for stochastic optimization,” in </w:t>
      </w:r>
      <w:r>
        <w:rPr>
          <w:rFonts w:ascii="Times New Roman" w:cs="Times New Roman" w:eastAsia="Times New Roman" w:hAnsi="Times New Roman"/>
          <w:i/>
          <w:iCs/>
          <w:sz w:val="20"/>
          <w:szCs w:val="20"/>
        </w:rPr>
        <w:t xml:space="preserve">Proc. Int. Conf. Learn. Representations (ICLR)</w:t>
      </w:r>
      <w:r>
        <w:rPr>
          <w:rFonts w:ascii="Times New Roman" w:cs="Times New Roman" w:eastAsia="Times New Roman" w:hAnsi="Times New Roman"/>
          <w:sz w:val="20"/>
          <w:szCs w:val="20"/>
        </w:rPr>
        <w:t xml:space="preserve">, 2015, arXiv:1412.6980.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8"/>
        <w:szCs w:val="18"/>
      </w:rPr>
      <w:t xml:space="preserve">One-Time and Incremental Adversarial Updates for NIDS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4cb70594f1dc15cdf1b928ade0b820ac6a0bfdd.png"/><Relationship Id="rId10" Type="http://schemas.openxmlformats.org/officeDocument/2006/relationships/image" Target="media/523a1b401baaeb325c7311bc9e98ec04c2a6b46c.png"/><Relationship Id="rId11" Type="http://schemas.openxmlformats.org/officeDocument/2006/relationships/image" Target="media/5fe759cedca0fb5989c359dd9aac9165cd082b2c.png"/><Relationship Id="rId12" Type="http://schemas.openxmlformats.org/officeDocument/2006/relationships/image" Target="media/5b4a6b3628a90eca9be9eff563d4d8cddb4b2b9b.png"/><Relationship Id="rId13" Type="http://schemas.openxmlformats.org/officeDocument/2006/relationships/image" Target="media/21f09c126937cdd85135bd1dfc75e2d10b5ae04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Exploratory Feature-Space Comparison of One-Time and Incremental Adversarial Updates for Network Intrusion Detection</dc:title>
  <dc:creator>Ajay Kumar</dc:creator>
  <cp:lastModifiedBy>Un-named</cp:lastModifiedBy>
  <cp:revision>1</cp:revision>
  <dcterms:created xsi:type="dcterms:W3CDTF">2026-10-25T22:25:18.133Z</dcterms:created>
  <dcterms:modified xsi:type="dcterms:W3CDTF">2026-10-25T22:25:18.138Z</dcterms:modified>
</cp:coreProperties>
</file>

<file path=docProps/custom.xml><?xml version="1.0" encoding="utf-8"?>
<Properties xmlns="http://schemas.openxmlformats.org/officeDocument/2006/custom-properties" xmlns:vt="http://schemas.openxmlformats.org/officeDocument/2006/docPropsVTypes"/>
</file>