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5671D" w14:textId="77777777" w:rsidR="00FE5313" w:rsidRPr="00FE5313" w:rsidRDefault="00FE5313" w:rsidP="00FE5313">
      <w:pPr>
        <w:rPr>
          <w:b/>
          <w:bCs/>
        </w:rPr>
      </w:pPr>
      <w:r w:rsidRPr="00FE5313">
        <w:rPr>
          <w:b/>
          <w:bCs/>
        </w:rPr>
        <w:t>1. Offshore Energy and Gas Platforms</w:t>
      </w:r>
    </w:p>
    <w:p w14:paraId="081185B3" w14:textId="77777777" w:rsidR="00FE5313" w:rsidRPr="00FE5313" w:rsidRDefault="00FE5313" w:rsidP="00FE5313">
      <w:r w:rsidRPr="00FE5313">
        <w:t>Energy independence is a cornerstone of Romania's strategy, anchored by major offshore natural gas extraction projects:</w:t>
      </w:r>
    </w:p>
    <w:p w14:paraId="2342E66A" w14:textId="77777777" w:rsidR="00FE5313" w:rsidRPr="00FE5313" w:rsidRDefault="00FE5313" w:rsidP="00FE5313">
      <w:pPr>
        <w:numPr>
          <w:ilvl w:val="0"/>
          <w:numId w:val="1"/>
        </w:numPr>
      </w:pPr>
      <w:r w:rsidRPr="00FE5313">
        <w:rPr>
          <w:b/>
          <w:bCs/>
        </w:rPr>
        <w:t>Neptun Deep Project:</w:t>
      </w:r>
      <w:r w:rsidRPr="00FE5313">
        <w:t xml:space="preserve"> As of 2026, this is the largest natural gas project in the Romanian Black Sea, covering a 7,500 square km area located about 160 km off the coast. Operated jointly by OMV Petrom and Romgaz, it includes massive infrastructure such as the Domino and Pelican Sud offshore platforms, ten extraction wells, and automated subsea production systems. </w:t>
      </w:r>
    </w:p>
    <w:p w14:paraId="588E47CC" w14:textId="77777777" w:rsidR="00FE5313" w:rsidRPr="00FE5313" w:rsidRDefault="00FE5313" w:rsidP="00FE5313">
      <w:pPr>
        <w:numPr>
          <w:ilvl w:val="0"/>
          <w:numId w:val="1"/>
        </w:numPr>
      </w:pPr>
      <w:r w:rsidRPr="00FE5313">
        <w:rPr>
          <w:b/>
          <w:bCs/>
        </w:rPr>
        <w:t>Subsea Pipelines:</w:t>
      </w:r>
      <w:r w:rsidRPr="00FE5313">
        <w:t xml:space="preserve"> A 160 km main gas pipeline connects the deep-water Neptun offshore platforms to the landing site in Tuzla on the Romanian coast via an environmentally safe microtunnel. </w:t>
      </w:r>
    </w:p>
    <w:p w14:paraId="65654E66" w14:textId="77777777" w:rsidR="00FE5313" w:rsidRPr="00FE5313" w:rsidRDefault="00FE5313" w:rsidP="00FE5313">
      <w:pPr>
        <w:rPr>
          <w:b/>
          <w:bCs/>
        </w:rPr>
      </w:pPr>
      <w:r w:rsidRPr="00FE5313">
        <w:rPr>
          <w:b/>
          <w:bCs/>
        </w:rPr>
        <w:t>2. Seaports and Naval Defense</w:t>
      </w:r>
    </w:p>
    <w:p w14:paraId="7A7D9178" w14:textId="77777777" w:rsidR="00FE5313" w:rsidRPr="00FE5313" w:rsidRDefault="00FE5313" w:rsidP="00FE5313">
      <w:pPr>
        <w:numPr>
          <w:ilvl w:val="0"/>
          <w:numId w:val="2"/>
        </w:numPr>
      </w:pPr>
      <w:r w:rsidRPr="00FE5313">
        <w:rPr>
          <w:b/>
          <w:bCs/>
        </w:rPr>
        <w:t>Port of Constanța:</w:t>
      </w:r>
      <w:r w:rsidRPr="00FE5313">
        <w:t xml:space="preserve"> The largest port on the Black Sea and a critical logistics node for Central and Eastern Europe. Its specialized oil, chemical, and grain terminals are vital to regional supply chains.</w:t>
      </w:r>
    </w:p>
    <w:p w14:paraId="3E429072" w14:textId="77777777" w:rsidR="00FE5313" w:rsidRPr="00FE5313" w:rsidRDefault="00FE5313" w:rsidP="00FE5313">
      <w:pPr>
        <w:numPr>
          <w:ilvl w:val="0"/>
          <w:numId w:val="2"/>
        </w:numPr>
      </w:pPr>
      <w:r w:rsidRPr="00FE5313">
        <w:rPr>
          <w:b/>
          <w:bCs/>
        </w:rPr>
        <w:t>Maritime Security Hub:</w:t>
      </w:r>
      <w:r w:rsidRPr="00FE5313">
        <w:t xml:space="preserve"> Finalized in design alongside Bulgaria in 2026, this hub in Constanța (alongside Varna) facilitates the monitoring of critical infrastructure, energy exploration operations, and joint regional defense against maritime threats like sea drones. </w:t>
      </w:r>
    </w:p>
    <w:p w14:paraId="1AAC35F7" w14:textId="77777777" w:rsidR="00FE5313" w:rsidRPr="00FE5313" w:rsidRDefault="00FE5313" w:rsidP="00FE5313">
      <w:pPr>
        <w:rPr>
          <w:b/>
          <w:bCs/>
        </w:rPr>
      </w:pPr>
      <w:r w:rsidRPr="00FE5313">
        <w:rPr>
          <w:b/>
          <w:bCs/>
        </w:rPr>
        <w:t>3. Undersea Power and Data Cables</w:t>
      </w:r>
    </w:p>
    <w:p w14:paraId="5B9F0252" w14:textId="77777777" w:rsidR="00FE5313" w:rsidRPr="00FE5313" w:rsidRDefault="00FE5313" w:rsidP="00FE5313">
      <w:pPr>
        <w:numPr>
          <w:ilvl w:val="0"/>
          <w:numId w:val="3"/>
        </w:numPr>
      </w:pPr>
      <w:r w:rsidRPr="00FE5313">
        <w:rPr>
          <w:b/>
          <w:bCs/>
        </w:rPr>
        <w:t>The Black Sea Submarine Cable (BSSC):</w:t>
      </w:r>
      <w:r w:rsidRPr="00FE5313">
        <w:t xml:space="preserve"> A landmark 1,195 km high-voltage direct current (HVDC) power cable connecting the South Caucasus (Anaklia, Georgia) to Constanța. Supported by the EU, this undersea line transmits renewable energy from Azerbaijan and Georgia to Romania and Hungary. </w:t>
      </w:r>
    </w:p>
    <w:p w14:paraId="7E28E977" w14:textId="77777777" w:rsidR="00FE5313" w:rsidRPr="00FE5313" w:rsidRDefault="00FE5313" w:rsidP="00FE5313">
      <w:pPr>
        <w:rPr>
          <w:b/>
          <w:bCs/>
        </w:rPr>
      </w:pPr>
      <w:r w:rsidRPr="00FE5313">
        <w:rPr>
          <w:b/>
          <w:bCs/>
        </w:rPr>
        <w:t>Where Does Romania's Maritime Jurisdiction Stop?</w:t>
      </w:r>
    </w:p>
    <w:p w14:paraId="029166BB" w14:textId="77777777" w:rsidR="00FE5313" w:rsidRPr="00FE5313" w:rsidRDefault="00FE5313" w:rsidP="00FE5313">
      <w:r w:rsidRPr="00FE5313">
        <w:t xml:space="preserve">The protection and development of this critical infrastructure legally stop at the borders of </w:t>
      </w:r>
      <w:r w:rsidRPr="00FE5313">
        <w:rPr>
          <w:b/>
          <w:bCs/>
        </w:rPr>
        <w:t>Romania's Exclusive Economic Zone (EEZ)</w:t>
      </w:r>
      <w:r w:rsidRPr="00FE5313">
        <w:t xml:space="preserve"> and </w:t>
      </w:r>
      <w:r w:rsidRPr="00FE5313">
        <w:rPr>
          <w:b/>
          <w:bCs/>
        </w:rPr>
        <w:t>Continental Shelf</w:t>
      </w:r>
      <w:r w:rsidRPr="00FE5313">
        <w:t xml:space="preserve">, an area spanning roughly </w:t>
      </w:r>
      <w:r w:rsidRPr="00FE5313">
        <w:rPr>
          <w:b/>
          <w:bCs/>
        </w:rPr>
        <w:t>22,485 square kilometers</w:t>
      </w:r>
      <w:r w:rsidRPr="00FE5313">
        <w:t>. Beyond this zone are international waters or the EEZs of neighboring states (Ukraine, Bulgaria, Turkey, etc.).</w:t>
      </w:r>
    </w:p>
    <w:p w14:paraId="1F1EC803" w14:textId="77777777" w:rsidR="00FE5313" w:rsidRPr="00FE5313" w:rsidRDefault="00FE5313" w:rsidP="00FE5313">
      <w:r w:rsidRPr="00FE5313">
        <w:t>While I cannot dynamically draw a customized crossed line on a mapping widget, the "stopping line" of Romania's maritime domain is defined geographically as follows:</w:t>
      </w:r>
    </w:p>
    <w:p w14:paraId="7AEBD7C8" w14:textId="77777777" w:rsidR="00FE5313" w:rsidRPr="00FE5313" w:rsidRDefault="00FE5313" w:rsidP="00FE5313">
      <w:pPr>
        <w:numPr>
          <w:ilvl w:val="0"/>
          <w:numId w:val="4"/>
        </w:numPr>
      </w:pPr>
      <w:r w:rsidRPr="00FE5313">
        <w:rPr>
          <w:b/>
          <w:bCs/>
        </w:rPr>
        <w:lastRenderedPageBreak/>
        <w:t>The Northern and Eastern "Crossed Line" (Ukraine Border):</w:t>
      </w:r>
      <w:r w:rsidRPr="00FE5313">
        <w:t xml:space="preserve"> The definitive boundary line where Romania’s CMI jurisdiction ends in the north and east was drawn by a historic </w:t>
      </w:r>
      <w:r w:rsidRPr="00FE5313">
        <w:rPr>
          <w:b/>
          <w:bCs/>
        </w:rPr>
        <w:t>2009 ruling by the International Court of Justice (ICJ)</w:t>
      </w:r>
      <w:r w:rsidRPr="00FE5313">
        <w:t>. This line starts 12 nautical miles offshore from the Sulina dyke, curves around the strategically contested Snake Island (leaving it in Ukraine's territorial waters but denying it full EEZ rights), and extends outward into the Black Sea until it meets the maritime claims of third states.</w:t>
      </w:r>
    </w:p>
    <w:p w14:paraId="44C20972" w14:textId="77777777" w:rsidR="00FE5313" w:rsidRPr="00FE5313" w:rsidRDefault="00FE5313" w:rsidP="00FE5313">
      <w:pPr>
        <w:numPr>
          <w:ilvl w:val="0"/>
          <w:numId w:val="4"/>
        </w:numPr>
      </w:pPr>
      <w:r w:rsidRPr="00FE5313">
        <w:rPr>
          <w:b/>
          <w:bCs/>
        </w:rPr>
        <w:t>The Southern Line (Bulgarian Border):</w:t>
      </w:r>
      <w:r w:rsidRPr="00FE5313">
        <w:t xml:space="preserve"> To the south, Romania's maritime CMI stops at the lateral maritime boundary with Bulgaria, stretching eastward from their shared land border at Vama Veche.</w:t>
      </w:r>
    </w:p>
    <w:p w14:paraId="62F12291" w14:textId="77777777" w:rsidR="00FE5313" w:rsidRPr="00FE5313" w:rsidRDefault="00FE5313" w:rsidP="00FE5313">
      <w:pPr>
        <w:numPr>
          <w:ilvl w:val="0"/>
          <w:numId w:val="4"/>
        </w:numPr>
      </w:pPr>
      <w:r w:rsidRPr="00FE5313">
        <w:rPr>
          <w:b/>
          <w:bCs/>
        </w:rPr>
        <w:t>The Outer Limits:</w:t>
      </w:r>
      <w:r w:rsidRPr="00FE5313">
        <w:t xml:space="preserve"> The absolute furthest extent of Romania's EEZ pushes out to coordinates around 44° 14' N and 30° 4' E in the Black Sea, which is the ultimate edge where Romanian offshore jurisdiction ends.</w:t>
      </w:r>
    </w:p>
    <w:p w14:paraId="0E10A61D" w14:textId="77777777" w:rsidR="001B7A03" w:rsidRDefault="001B7A03"/>
    <w:sectPr w:rsidR="001B7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433B7"/>
    <w:multiLevelType w:val="multilevel"/>
    <w:tmpl w:val="7C1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46C95"/>
    <w:multiLevelType w:val="multilevel"/>
    <w:tmpl w:val="BF3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C3507"/>
    <w:multiLevelType w:val="multilevel"/>
    <w:tmpl w:val="F37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C63F0"/>
    <w:multiLevelType w:val="multilevel"/>
    <w:tmpl w:val="51F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070621">
    <w:abstractNumId w:val="3"/>
  </w:num>
  <w:num w:numId="2" w16cid:durableId="1941526966">
    <w:abstractNumId w:val="1"/>
  </w:num>
  <w:num w:numId="3" w16cid:durableId="1101267748">
    <w:abstractNumId w:val="2"/>
  </w:num>
  <w:num w:numId="4" w16cid:durableId="153716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69"/>
    <w:rsid w:val="001B7A03"/>
    <w:rsid w:val="008B5C18"/>
    <w:rsid w:val="00C12A69"/>
    <w:rsid w:val="00DE65B7"/>
    <w:rsid w:val="00FE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AE6B88-7A10-49E5-BE56-1D216ABC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A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69"/>
    <w:rPr>
      <w:rFonts w:eastAsiaTheme="majorEastAsia" w:cstheme="majorBidi"/>
      <w:color w:val="272727" w:themeColor="text1" w:themeTint="D8"/>
    </w:rPr>
  </w:style>
  <w:style w:type="paragraph" w:styleId="Title">
    <w:name w:val="Title"/>
    <w:basedOn w:val="Normal"/>
    <w:next w:val="Normal"/>
    <w:link w:val="TitleChar"/>
    <w:uiPriority w:val="10"/>
    <w:qFormat/>
    <w:rsid w:val="00C1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69"/>
    <w:pPr>
      <w:spacing w:before="160"/>
      <w:jc w:val="center"/>
    </w:pPr>
    <w:rPr>
      <w:i/>
      <w:iCs/>
      <w:color w:val="404040" w:themeColor="text1" w:themeTint="BF"/>
    </w:rPr>
  </w:style>
  <w:style w:type="character" w:customStyle="1" w:styleId="QuoteChar">
    <w:name w:val="Quote Char"/>
    <w:basedOn w:val="DefaultParagraphFont"/>
    <w:link w:val="Quote"/>
    <w:uiPriority w:val="29"/>
    <w:rsid w:val="00C12A69"/>
    <w:rPr>
      <w:i/>
      <w:iCs/>
      <w:color w:val="404040" w:themeColor="text1" w:themeTint="BF"/>
    </w:rPr>
  </w:style>
  <w:style w:type="paragraph" w:styleId="ListParagraph">
    <w:name w:val="List Paragraph"/>
    <w:basedOn w:val="Normal"/>
    <w:uiPriority w:val="34"/>
    <w:qFormat/>
    <w:rsid w:val="00C12A69"/>
    <w:pPr>
      <w:ind w:left="720"/>
      <w:contextualSpacing/>
    </w:pPr>
  </w:style>
  <w:style w:type="character" w:styleId="IntenseEmphasis">
    <w:name w:val="Intense Emphasis"/>
    <w:basedOn w:val="DefaultParagraphFont"/>
    <w:uiPriority w:val="21"/>
    <w:qFormat/>
    <w:rsid w:val="00C12A69"/>
    <w:rPr>
      <w:i/>
      <w:iCs/>
      <w:color w:val="2F5496" w:themeColor="accent1" w:themeShade="BF"/>
    </w:rPr>
  </w:style>
  <w:style w:type="paragraph" w:styleId="IntenseQuote">
    <w:name w:val="Intense Quote"/>
    <w:basedOn w:val="Normal"/>
    <w:next w:val="Normal"/>
    <w:link w:val="IntenseQuoteChar"/>
    <w:uiPriority w:val="30"/>
    <w:qFormat/>
    <w:rsid w:val="00C12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A69"/>
    <w:rPr>
      <w:i/>
      <w:iCs/>
      <w:color w:val="2F5496" w:themeColor="accent1" w:themeShade="BF"/>
    </w:rPr>
  </w:style>
  <w:style w:type="character" w:styleId="IntenseReference">
    <w:name w:val="Intense Reference"/>
    <w:basedOn w:val="DefaultParagraphFont"/>
    <w:uiPriority w:val="32"/>
    <w:qFormat/>
    <w:rsid w:val="00C12A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Ratatamagiu' Mare</dc:creator>
  <cp:keywords/>
  <dc:description/>
  <cp:lastModifiedBy>Ratatamagiu' Mare</cp:lastModifiedBy>
  <cp:revision>2</cp:revision>
  <dcterms:created xsi:type="dcterms:W3CDTF">2026-10-10T11:22:00Z</dcterms:created>
  <dcterms:modified xsi:type="dcterms:W3CDTF">2026-10-10T11:22:00Z</dcterms:modified>
</cp:coreProperties>
</file>