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8111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基于DGX Spark的多模态AI智能评估与成长系统</w:t>
      </w:r>
    </w:p>
    <w:p w14:paraId="3192952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——DGX Spark Hackathon项目报告书</w:t>
      </w:r>
    </w:p>
    <w:p w14:paraId="087524C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一、项目概述</w:t>
      </w:r>
    </w:p>
    <w:p w14:paraId="15B7550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本项目构建了一个基于DGX Spark与本地多模态大模型（Qwen2.5-VLInstruct）的图片作品智能理解与评估系统。系统打通了“自定义标准输入-视觉内容解析-五维结构化评分-可视化反馈”的全链路，将大模型的非结构化自然语言输出转化为可量化、可解释的结构化评估数据，在校园美术与设计类课程场景中形成完整的前后端产品闭环。</w:t>
      </w:r>
    </w:p>
    <w:p w14:paraId="0509F56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二、技术创新性本项目突破了单纯调用大模型生成宽泛文本的局限，突破传统思路并解决技术痛点，核心创新点在于：</w:t>
      </w:r>
    </w:p>
    <w:p w14:paraId="33BC28A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“先理解，后量化”的认知防幻觉机制</w:t>
      </w:r>
      <w:r>
        <w:rPr>
          <w:rFonts w:hint="eastAsia" w:ascii="黑体" w:hAnsi="黑体" w:eastAsia="黑体" w:cs="黑体"/>
          <w:color w:val="1F1F1F"/>
        </w:rPr>
        <w:t>：在执行评分前，强制模型优先对图片进行像素级的视觉解析与自然语言描述。通过“看懂图”这一前置步骤锚定上下文，避免了传统模型“盲目套用模板打分”的劣势，极大增强了评分的逻辑自洽与可解释性。</w:t>
      </w:r>
    </w:p>
    <w:p w14:paraId="03CEA23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非结构化数据向结构化系统的降维重构</w:t>
      </w:r>
      <w:r>
        <w:rPr>
          <w:rFonts w:hint="eastAsia" w:ascii="黑体" w:hAnsi="黑体" w:eastAsia="黑体" w:cs="黑体"/>
          <w:color w:val="1F1F1F"/>
        </w:rPr>
        <w:t>：系统在推理层引入严格的输出约束，将多模态大模型的泛化输出精准拆解为五维评分（Composition,Color,Creativity,Completeness,Theme）、优势/待提升点、综合建议等JSON结构化字段。这一设计使得大模型算力能够直接驱动前端雷达图（Chart.js）渲染与数据库（history.json）沉淀。</w:t>
      </w:r>
    </w:p>
    <w:p w14:paraId="024698D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三、 场景落地性</w:t>
      </w:r>
    </w:p>
    <w:p w14:paraId="5DD7D18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商业化叙事需要从“能用”向“能卖”和“能降本”转变，建议将落地场景升级为以下三个维度的变现与闭环路径：</w:t>
      </w:r>
    </w:p>
    <w:p w14:paraId="531A83B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1. 软硬一体化的“私有化教育一体机”模式</w:t>
      </w:r>
    </w:p>
    <w:p w14:paraId="429E3A4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痛点：大型艺术培训机构和高校设计学院若调用公有云多模态大模型（如 GPT-4V），长期面临高昂的 Token 计费成本以及学生创意作品（核心资产）外泄风险。</w:t>
      </w:r>
    </w:p>
    <w:p w14:paraId="0ACBD98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落地：将本系统与 DGX Spark 打包，作为“开箱即用”的私有化教学辅助基站售卖或租赁。在局域网内部署，一次性买断算力，实现零边际成本的无限次作品评估，形成极高的数据护城河。</w:t>
      </w:r>
    </w:p>
    <w:p w14:paraId="6BBCE40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2. B 端数字资产（游戏/广告外包）自动质检流水线</w:t>
      </w:r>
    </w:p>
    <w:p w14:paraId="46BAA07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痛点：游戏公司和广告创意团队在验收外包美术资产时，资深主美需耗费大量时间进行基础的透视、色彩、完整度审查。</w:t>
      </w:r>
    </w:p>
    <w:p w14:paraId="34BA3C6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落地：将系统作为自动化 QA（质量保证）节点接入企业现有的审批工作流。通过定制化的 Rubric 拦截不达标的底层素材，生成结构化修改建议退回给外包方，大幅降低主美的人力审核成本，实现降本增效。</w:t>
      </w:r>
    </w:p>
    <w:p w14:paraId="2D8792E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3. API 租赁与微服务分发生态</w:t>
      </w:r>
    </w:p>
    <w:p w14:paraId="2719C6B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落地：将 DGX Spark 作为算力中枢，4060 本地环境作为边缘开发与接入节点。通过系统后端的 FastAPI 封装标准接口，按次或按月向校内其他非技术院系（如新媒体运营、校报排版）提供自动化配图审核与评估 API 服务，实现算力与架构的商业变现。</w:t>
      </w:r>
    </w:p>
    <w:p w14:paraId="5D2F53F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四、技术完整性本项目功能完整、运行稳定，已构建高内聚、低耦合的全栈产品闭环：</w:t>
      </w:r>
    </w:p>
    <w:p w14:paraId="1095DF8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前端展示层</w:t>
      </w:r>
      <w:r>
        <w:rPr>
          <w:rFonts w:hint="eastAsia" w:ascii="黑体" w:hAnsi="黑体" w:eastAsia="黑体" w:cs="黑体"/>
          <w:color w:val="1F1F1F"/>
        </w:rPr>
        <w:t>：基于HTML/JS与Chart.js库，实现无刷新图片预览、评分标准动态下发及五维雷达图的实时渲染。</w:t>
      </w:r>
    </w:p>
    <w:p w14:paraId="36969A4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后端逻辑层</w:t>
      </w:r>
      <w:r>
        <w:rPr>
          <w:rFonts w:hint="eastAsia" w:ascii="黑体" w:hAnsi="黑体" w:eastAsia="黑体" w:cs="黑体"/>
          <w:color w:val="1F1F1F"/>
        </w:rPr>
        <w:t>：采用FastAPI+Uvicorn+Pydantic构建高并发异步服务，负责路由分发、历史记录落盘（Local JSON）及模型调度。</w:t>
      </w:r>
    </w:p>
    <w:p w14:paraId="6E44F5A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工程化结构</w:t>
      </w:r>
      <w:r>
        <w:rPr>
          <w:rFonts w:hint="eastAsia" w:ascii="黑体" w:hAnsi="黑体" w:eastAsia="黑体" w:cs="黑体"/>
          <w:color w:val="1F1F1F"/>
        </w:rPr>
        <w:t>：项目结构清晰规范，包含完整的环境依赖（requirements.txt）、启动/停止脚本（start_local.sh/stop.sh）及日志管理目录（logs/），实现逻辑清晰，可顺利完成演示。</w:t>
      </w:r>
    </w:p>
    <w:p w14:paraId="6DA10D7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五、平台适配性充分发挥DGX Spark平台的全栈能力，深度压榨硬件底座特性：</w:t>
      </w:r>
    </w:p>
    <w:p w14:paraId="114D031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显存红利转化</w:t>
      </w:r>
      <w:r>
        <w:rPr>
          <w:rFonts w:hint="eastAsia" w:ascii="黑体" w:hAnsi="黑体" w:eastAsia="黑体" w:cs="黑体"/>
          <w:color w:val="1F1F1F"/>
        </w:rPr>
        <w:t>：充分利用DGX Spark Large unified memory–128GB的统一内存架构，系统能够以极低的硬件门槛和零显存溢出风险，常驻运行并处理高分辨率图像的Qwen2.5-VL</w:t>
      </w:r>
      <w:bookmarkStart w:id="0" w:name="_GoBack"/>
      <w:bookmarkEnd w:id="0"/>
      <w:r>
        <w:rPr>
          <w:rFonts w:hint="eastAsia" w:ascii="黑体" w:hAnsi="黑体" w:eastAsia="黑体" w:cs="黑体"/>
          <w:color w:val="1F1F1F"/>
        </w:rPr>
        <w:t>Instruct多模态推理任务。</w:t>
      </w:r>
    </w:p>
    <w:p w14:paraId="2E87B8E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后续算力优化空间</w:t>
      </w:r>
      <w:r>
        <w:rPr>
          <w:rFonts w:hint="eastAsia" w:ascii="黑体" w:hAnsi="黑体" w:eastAsia="黑体" w:cs="黑体"/>
          <w:color w:val="1F1F1F"/>
        </w:rPr>
        <w:t>：针对后端FastAPI接口，未来可无缝引入DGX Spark原生支持的TensorRT-LLM引擎，通过In-flight Batching应对期末/课后大量学生并发上传作品的峰值吞吐压力。</w:t>
      </w:r>
    </w:p>
    <w:p w14:paraId="2DD0D10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六、演示效果设计演示流程设计确保流畅、展示清晰、逻辑严谨，直观呈现核心价值：</w:t>
      </w:r>
    </w:p>
    <w:p w14:paraId="6D9A311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初始化</w:t>
      </w:r>
      <w:r>
        <w:rPr>
          <w:rFonts w:hint="eastAsia" w:ascii="黑体" w:hAnsi="黑体" w:eastAsia="黑体" w:cs="黑体"/>
          <w:color w:val="1F1F1F"/>
        </w:rPr>
        <w:t>：教师视角录入具体的评分Rubric（例如：“色彩维度需考察是否使用了高饱和度对比色”）。</w:t>
      </w:r>
    </w:p>
    <w:p w14:paraId="7775CD8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执行</w:t>
      </w:r>
      <w:r>
        <w:rPr>
          <w:rFonts w:hint="eastAsia" w:ascii="黑体" w:hAnsi="黑体" w:eastAsia="黑体" w:cs="黑体"/>
          <w:color w:val="1F1F1F"/>
        </w:rPr>
        <w:t>：上传测试图像（tests/test.jpg），展示系统在毫秒至秒级的推理延迟内完成响应。</w:t>
      </w:r>
    </w:p>
    <w:p w14:paraId="531F7E6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展示</w:t>
      </w:r>
      <w:r>
        <w:rPr>
          <w:rFonts w:hint="eastAsia" w:ascii="黑体" w:hAnsi="黑体" w:eastAsia="黑体" w:cs="黑体"/>
          <w:color w:val="1F1F1F"/>
        </w:rPr>
        <w:t>：终端实时打印模型底层的JSON结构化剥离过程；前端界面同步生成包含图片描述、五维雷达图及改进建议的最终评估面板，直观呈现核心价值。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EE4F45"/>
    <w:rsid w:val="327E6E51"/>
    <w:rsid w:val="635A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1486</Words>
  <Characters>1838</Characters>
  <Lines>0</Lines>
  <Paragraphs>0</Paragraphs>
  <TotalTime>7</TotalTime>
  <ScaleCrop>false</ScaleCrop>
  <LinksUpToDate>false</LinksUpToDate>
  <CharactersWithSpaces>1873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2026-04-06T15:10:00Z</dcterms:created>
  <dc:creator>wenjie</dc:creator>
  <cp:lastModifiedBy>许文杰</cp:lastModifiedBy>
  <dcterms:modified xsi:type="dcterms:W3CDTF">2026-04-08T08:42:40Z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eyJoZGlkIjoiYzIxNjA5MTAzODJkMDQ2YjVjMDFjNDE0ZjU1NzczYTMiLCJ1c2VySWQiOiIxNjQ0NzUzNjE0In0=</vt:lpwstr>
  </property>
  <property fmtid="{D5CDD505-2E9C-101B-9397-08002B2CF9AE}" pid="4" name="ICV">
    <vt:lpwstr>17EFAFAA065147B1BA0B89990747D2D3_12</vt:lpwstr>
  </property>
</Properties>
</file>