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0F726B44" w14:textId="77777777" w:rsidR="002A0D34" w:rsidRDefault="002A0D34" w:rsidP="002A0D34">
      <w:pPr>
        <w:rPr>
          <w:rFonts w:ascii="Garamond" w:hAnsi="Garamond"/>
        </w:rPr>
      </w:pPr>
    </w:p>
    <w:p w14:paraId="2432A11F" w14:textId="68762D16" w:rsidR="00A51879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55BDAAF" w14:textId="29381B25" w:rsidR="00A51879" w:rsidRPr="00B948BA" w:rsidRDefault="00F00B55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7C2F8B6" w14:textId="5A2A4095" w:rsidR="00A51879" w:rsidRPr="00B948BA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n its own project or utilities.</w:t>
      </w:r>
      <w:r w:rsidR="00B948BA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1BE836" w14:textId="2BDA0713" w:rsidR="00574CA4" w:rsidRPr="00574CA4" w:rsidRDefault="00A51879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="00574CA4"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 w:rsidR="009022C7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23A61F35" w14:textId="1F614009" w:rsidR="00574CA4" w:rsidRDefault="00574CA4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5B2ECCE0" w14:textId="42546B2A" w:rsidR="008A598A" w:rsidRDefault="008A598A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65758353" w14:textId="4A6391E0" w:rsidR="009679D0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5C2EDF48" w14:textId="59A2B708" w:rsidR="00574CA4" w:rsidRDefault="009679D0" w:rsidP="00CA1D9B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Generic query language (and, or, </w:t>
      </w:r>
      <w:r w:rsidR="009203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parentheses). Look at what is </w:t>
      </w:r>
      <w:r w:rsidR="00A26754">
        <w:rPr>
          <w:rStyle w:val="Hyperlink"/>
          <w:rFonts w:ascii="Garamond" w:hAnsi="Garamond"/>
          <w:color w:val="000000"/>
          <w:sz w:val="20"/>
          <w:szCs w:val="20"/>
          <w:u w:val="none"/>
        </w:rPr>
        <w:t>already out there.</w:t>
      </w:r>
      <w:r w:rsidR="00A267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53A97034" w14:textId="7E57A848" w:rsidR="00574CA4" w:rsidRPr="00333303" w:rsidRDefault="006E219B" w:rsidP="00333303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5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46FE919C" w14:textId="3CDDC737" w:rsidR="00BB0F7D" w:rsidRPr="00333303" w:rsidRDefault="00BB0F7D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B0F7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Property in-line Sorting</w:t>
      </w:r>
      <w:r w:rsidRPr="00BB0F7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based on Priority vs. addition order getPropertyList(). Consider property priority (and sorting) vs fixed order. Reconsider getPropertyList();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  <w:bookmarkStart w:id="0" w:name="_GoBack"/>
      <w:bookmarkEnd w:id="0"/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BB2480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6" w:history="1">
        <w:r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BB2480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BB2480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BB2480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9" w:history="1">
        <w:r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0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lastRenderedPageBreak/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328D8"/>
    <w:rsid w:val="00051C32"/>
    <w:rsid w:val="00062C79"/>
    <w:rsid w:val="00081827"/>
    <w:rsid w:val="000909AC"/>
    <w:rsid w:val="000A04F4"/>
    <w:rsid w:val="000B3C6F"/>
    <w:rsid w:val="000C53F3"/>
    <w:rsid w:val="000C6FFE"/>
    <w:rsid w:val="000D3EDE"/>
    <w:rsid w:val="000F49F1"/>
    <w:rsid w:val="0010478A"/>
    <w:rsid w:val="00124B3B"/>
    <w:rsid w:val="00151A96"/>
    <w:rsid w:val="0016152F"/>
    <w:rsid w:val="00175BB5"/>
    <w:rsid w:val="001A4049"/>
    <w:rsid w:val="001D051D"/>
    <w:rsid w:val="001D3A99"/>
    <w:rsid w:val="002020A9"/>
    <w:rsid w:val="00203A02"/>
    <w:rsid w:val="00210517"/>
    <w:rsid w:val="00241B6D"/>
    <w:rsid w:val="0024281B"/>
    <w:rsid w:val="0024427B"/>
    <w:rsid w:val="00245DDA"/>
    <w:rsid w:val="002548CA"/>
    <w:rsid w:val="00257C5C"/>
    <w:rsid w:val="002604E5"/>
    <w:rsid w:val="0026613D"/>
    <w:rsid w:val="00267776"/>
    <w:rsid w:val="00295BA2"/>
    <w:rsid w:val="002A0D34"/>
    <w:rsid w:val="002B5239"/>
    <w:rsid w:val="002C76BA"/>
    <w:rsid w:val="00330614"/>
    <w:rsid w:val="00332420"/>
    <w:rsid w:val="00333106"/>
    <w:rsid w:val="00333303"/>
    <w:rsid w:val="0034695E"/>
    <w:rsid w:val="003B1914"/>
    <w:rsid w:val="003C167E"/>
    <w:rsid w:val="003D07BD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A4A59"/>
    <w:rsid w:val="006A4B01"/>
    <w:rsid w:val="006B7C9D"/>
    <w:rsid w:val="006C4E00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F5BDD"/>
    <w:rsid w:val="009022C7"/>
    <w:rsid w:val="00920398"/>
    <w:rsid w:val="00926F69"/>
    <w:rsid w:val="009534E5"/>
    <w:rsid w:val="009676AB"/>
    <w:rsid w:val="009679D0"/>
    <w:rsid w:val="009B3D0A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36ACE"/>
    <w:rsid w:val="00B45761"/>
    <w:rsid w:val="00B65F84"/>
    <w:rsid w:val="00B70B1C"/>
    <w:rsid w:val="00B81D08"/>
    <w:rsid w:val="00B948BA"/>
    <w:rsid w:val="00B96477"/>
    <w:rsid w:val="00BB0F7D"/>
    <w:rsid w:val="00BB2480"/>
    <w:rsid w:val="00C51884"/>
    <w:rsid w:val="00C663B9"/>
    <w:rsid w:val="00CA1D9B"/>
    <w:rsid w:val="00CE2330"/>
    <w:rsid w:val="00CE54E5"/>
    <w:rsid w:val="00CF47C7"/>
    <w:rsid w:val="00D21DC3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00B55"/>
    <w:rsid w:val="00F101BA"/>
    <w:rsid w:val="00F1087D"/>
    <w:rsid w:val="00F16979"/>
    <w:rsid w:val="00F845C8"/>
    <w:rsid w:val="00F92837"/>
    <w:rsid w:val="00FA471F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s://github.com/heroku/logplex" TargetMode="External"/><Relationship Id="rId8" Type="http://schemas.openxmlformats.org/officeDocument/2006/relationships/hyperlink" Target="http://www.splunk.com/" TargetMode="External"/><Relationship Id="rId9" Type="http://schemas.openxmlformats.org/officeDocument/2006/relationships/hyperlink" Target="http://www.logstash.com/" TargetMode="External"/><Relationship Id="rId10" Type="http://schemas.openxmlformats.org/officeDocument/2006/relationships/hyperlink" Target="https://kb.novaordis.com/index.php/Business_Scenario-Based_Performance_Monitoring_and_Diagnosis_Development_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720</Words>
  <Characters>4106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76</cp:revision>
  <dcterms:created xsi:type="dcterms:W3CDTF">2017-06-04T02:09:00Z</dcterms:created>
  <dcterms:modified xsi:type="dcterms:W3CDTF">2017-08-04T23:38:00Z</dcterms:modified>
</cp:coreProperties>
</file>