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bookmarkStart w:id="0" w:name="_GoBack"/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bookmarkEnd w:id="0"/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3E8468A1" w14:textId="77777777" w:rsidR="00EA53C7" w:rsidRDefault="00EA53C7" w:rsidP="00EA53C7">
      <w:pPr>
        <w:pStyle w:val="ListParagraph"/>
        <w:rPr>
          <w:rFonts w:ascii="Garamond" w:hAnsi="Garamond"/>
          <w:sz w:val="20"/>
          <w:szCs w:val="20"/>
        </w:rPr>
      </w:pPr>
    </w:p>
    <w:p w14:paraId="3D2B0782" w14:textId="5A05E891" w:rsidR="0018118B" w:rsidRDefault="0018118B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Define the semantics of a query in presence of compound events.</w:t>
      </w:r>
      <w:r w:rsidR="00945623">
        <w:rPr>
          <w:rFonts w:ascii="Garamond" w:hAnsi="Garamond"/>
          <w:sz w:val="20"/>
          <w:szCs w:val="20"/>
        </w:rPr>
        <w:t xml:space="preserve"> This is what stops me now from running something like: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td ‘http’ ./stack-trace.txt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and only seeing the stack traces that match the regular expression.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>Once I implement that, I can use it for analysis.</w:t>
      </w:r>
      <w:r>
        <w:rPr>
          <w:rFonts w:ascii="Garamond" w:hAnsi="Garamond"/>
          <w:sz w:val="20"/>
          <w:szCs w:val="20"/>
        </w:rPr>
        <w:br/>
      </w:r>
    </w:p>
    <w:p w14:paraId="609EC200" w14:textId="2B2DDF37" w:rsidR="00EA53C7" w:rsidRDefault="00EA53C7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Presence of query: querying compound events, we probably need an extension of the Query API.</w:t>
      </w:r>
      <w:r>
        <w:rPr>
          <w:rFonts w:ascii="Garamond" w:hAnsi="Garamond"/>
          <w:sz w:val="20"/>
          <w:szCs w:val="20"/>
        </w:rPr>
        <w:br/>
      </w:r>
    </w:p>
    <w:p w14:paraId="2271D903" w14:textId="07AA7995" w:rsidR="004E0DC5" w:rsidRDefault="004E0DC5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Then, a simple keyword/regex filtering should select/drop specific thread dumps.</w:t>
      </w:r>
      <w:r>
        <w:rPr>
          <w:rFonts w:ascii="Garamond" w:hAnsi="Garamond"/>
          <w:sz w:val="20"/>
          <w:szCs w:val="20"/>
        </w:rPr>
        <w:br/>
      </w:r>
    </w:p>
    <w:p w14:paraId="71B88E5F" w14:textId="2B2EF953" w:rsidR="008A78ED" w:rsidRDefault="008A78ED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td categories: determines the thread categories and provides counts for how many threads in each category are </w:t>
      </w:r>
      <w:r w:rsidR="00F47E39">
        <w:rPr>
          <w:rFonts w:ascii="Garamond" w:hAnsi="Garamond"/>
          <w:sz w:val="20"/>
          <w:szCs w:val="20"/>
        </w:rPr>
        <w:t>identified, per thread dump.</w:t>
      </w:r>
      <w:r>
        <w:rPr>
          <w:rFonts w:ascii="Garamond" w:hAnsi="Garamond"/>
          <w:sz w:val="20"/>
          <w:szCs w:val="20"/>
        </w:rPr>
        <w:br/>
      </w:r>
    </w:p>
    <w:p w14:paraId="4306EE45" w14:textId="21852F1C" w:rsidR="002D1D3C" w:rsidRDefault="002D1D3C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If it is an empty line we’re discarding, we should not warn.</w:t>
      </w:r>
      <w:r>
        <w:rPr>
          <w:rFonts w:ascii="Garamond" w:hAnsi="Garamond"/>
          <w:sz w:val="20"/>
          <w:szCs w:val="20"/>
        </w:rPr>
        <w:br/>
      </w:r>
    </w:p>
    <w:p w14:paraId="2649EDBC" w14:textId="2CE2F79D" w:rsidR="00243274" w:rsidRDefault="00DA20DB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DOCUMENT: It should be reassuring to use. </w:t>
      </w:r>
      <w:r w:rsidR="00243274">
        <w:rPr>
          <w:rFonts w:ascii="Garamond" w:hAnsi="Garamond"/>
          <w:sz w:val="20"/>
          <w:szCs w:val="20"/>
        </w:rPr>
        <w:t xml:space="preserve">td | </w:t>
      </w:r>
      <w:proofErr w:type="spellStart"/>
      <w:r w:rsidR="00243274">
        <w:rPr>
          <w:rFonts w:ascii="Garamond" w:hAnsi="Garamond"/>
          <w:sz w:val="20"/>
          <w:szCs w:val="20"/>
        </w:rPr>
        <w:t>td</w:t>
      </w:r>
      <w:proofErr w:type="spellEnd"/>
      <w:r w:rsidR="00243274">
        <w:rPr>
          <w:rFonts w:ascii="Garamond" w:hAnsi="Garamond"/>
          <w:sz w:val="20"/>
          <w:szCs w:val="20"/>
        </w:rPr>
        <w:t xml:space="preserve"> –help | </w:t>
      </w:r>
      <w:proofErr w:type="spellStart"/>
      <w:r w:rsidR="00243274">
        <w:rPr>
          <w:rFonts w:ascii="Garamond" w:hAnsi="Garamond"/>
          <w:sz w:val="20"/>
          <w:szCs w:val="20"/>
        </w:rPr>
        <w:t>td</w:t>
      </w:r>
      <w:proofErr w:type="spellEnd"/>
      <w:r w:rsidR="00243274">
        <w:rPr>
          <w:rFonts w:ascii="Garamond" w:hAnsi="Garamond"/>
          <w:sz w:val="20"/>
          <w:szCs w:val="20"/>
        </w:rPr>
        <w:t xml:space="preserve"> help should display enough help to understand how to use the tools. For more complex subjects, it should send to NOKB.</w:t>
      </w:r>
    </w:p>
    <w:p w14:paraId="3C36444C" w14:textId="77777777" w:rsidR="00243274" w:rsidRPr="00243274" w:rsidRDefault="00243274" w:rsidP="00243274">
      <w:pPr>
        <w:rPr>
          <w:rFonts w:ascii="Garamond" w:hAnsi="Garamond"/>
          <w:sz w:val="20"/>
          <w:szCs w:val="20"/>
        </w:rPr>
      </w:pPr>
    </w:p>
    <w:p w14:paraId="33F69373" w14:textId="15837C52" w:rsidR="00EA0EBE" w:rsidRPr="00243274" w:rsidRDefault="00EA0EBE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Format instances thread safety</w:t>
      </w:r>
      <w:r w:rsidRPr="00243274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43274">
        <w:rPr>
          <w:rFonts w:ascii="Garamond" w:hAnsi="Garamond"/>
          <w:sz w:val="20"/>
          <w:szCs w:val="20"/>
        </w:rPr>
        <w:t>SimpleDateFormat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43274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43274">
        <w:rPr>
          <w:rFonts w:ascii="Garamond" w:hAnsi="Garamond"/>
          <w:sz w:val="20"/>
          <w:szCs w:val="20"/>
        </w:rPr>
        <w:t xml:space="preserve">. </w:t>
      </w:r>
      <w:proofErr w:type="spellStart"/>
      <w:r w:rsidRPr="00243274">
        <w:rPr>
          <w:rFonts w:ascii="Garamond" w:hAnsi="Garamond"/>
          <w:sz w:val="20"/>
          <w:szCs w:val="20"/>
        </w:rPr>
        <w:t>getDefaultDateFormat</w:t>
      </w:r>
      <w:proofErr w:type="spellEnd"/>
      <w:r w:rsidRPr="00243274">
        <w:rPr>
          <w:rFonts w:ascii="Garamond" w:hAnsi="Garamond"/>
          <w:sz w:val="20"/>
          <w:szCs w:val="20"/>
        </w:rPr>
        <w:t>() as example.</w:t>
      </w:r>
    </w:p>
    <w:p w14:paraId="70450B96" w14:textId="77777777" w:rsidR="00EA0EBE" w:rsidRPr="00243274" w:rsidRDefault="00EA0EBE" w:rsidP="00EA0EBE">
      <w:pPr>
        <w:pStyle w:val="ListParagraph"/>
        <w:rPr>
          <w:rFonts w:ascii="Garamond" w:hAnsi="Garamond"/>
          <w:sz w:val="20"/>
          <w:szCs w:val="20"/>
        </w:rPr>
      </w:pPr>
    </w:p>
    <w:p w14:paraId="309941EF" w14:textId="4073B3F6" w:rsidR="0044369D" w:rsidRPr="00243274" w:rsidRDefault="0044369D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 xml:space="preserve">Refactor the Main method of the </w:t>
      </w:r>
      <w:r w:rsidR="00AE28EF" w:rsidRPr="00243274">
        <w:rPr>
          <w:rFonts w:ascii="Garamond" w:hAnsi="Garamond"/>
          <w:sz w:val="20"/>
          <w:szCs w:val="20"/>
        </w:rPr>
        <w:t>td</w:t>
      </w:r>
      <w:r w:rsidRPr="00243274">
        <w:rPr>
          <w:rFonts w:ascii="Garamond" w:hAnsi="Garamond"/>
          <w:sz w:val="20"/>
          <w:szCs w:val="20"/>
        </w:rPr>
        <w:t xml:space="preserve"> parser to use “cli” package </w:t>
      </w:r>
      <w:proofErr w:type="spellStart"/>
      <w:r w:rsidRPr="00243274">
        <w:rPr>
          <w:rFonts w:ascii="Garamond" w:hAnsi="Garamond"/>
          <w:sz w:val="20"/>
          <w:szCs w:val="20"/>
        </w:rPr>
        <w:t>EventParserRuntime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</w:t>
      </w:r>
      <w:proofErr w:type="spellStart"/>
      <w:r w:rsidRPr="00243274">
        <w:rPr>
          <w:rFonts w:ascii="Garamond" w:hAnsi="Garamond"/>
          <w:sz w:val="20"/>
          <w:szCs w:val="20"/>
        </w:rPr>
        <w:t>ApplicationSpecificBehavior</w:t>
      </w:r>
      <w:proofErr w:type="spellEnd"/>
      <w:r w:rsidRPr="00243274">
        <w:rPr>
          <w:rFonts w:ascii="Garamond" w:hAnsi="Garamond"/>
          <w:sz w:val="20"/>
          <w:szCs w:val="20"/>
        </w:rPr>
        <w:t>. Use the “csv” parser as an example.</w:t>
      </w:r>
    </w:p>
    <w:p w14:paraId="193FC7FE" w14:textId="77777777" w:rsidR="0044369D" w:rsidRPr="00243274" w:rsidRDefault="0044369D" w:rsidP="0044369D">
      <w:pPr>
        <w:pStyle w:val="ListParagraph"/>
        <w:rPr>
          <w:rFonts w:ascii="Garamond" w:hAnsi="Garamond"/>
          <w:sz w:val="20"/>
          <w:szCs w:val="20"/>
        </w:rPr>
      </w:pPr>
    </w:p>
    <w:p w14:paraId="799C10D0" w14:textId="3A693C65" w:rsidR="00315E2C" w:rsidRPr="00243274" w:rsidRDefault="00315E2C" w:rsidP="00C7688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nort-</w:t>
      </w:r>
      <w:proofErr w:type="spellStart"/>
      <w:r w:rsidRPr="00243274">
        <w:rPr>
          <w:rFonts w:ascii="Garamond" w:hAnsi="Garamond"/>
          <w:sz w:val="20"/>
          <w:szCs w:val="20"/>
        </w:rPr>
        <w:t>ify</w:t>
      </w:r>
      <w:proofErr w:type="spellEnd"/>
      <w:r w:rsidRPr="00243274">
        <w:rPr>
          <w:rFonts w:ascii="Garamond" w:hAnsi="Garamond"/>
          <w:sz w:val="20"/>
          <w:szCs w:val="20"/>
        </w:rPr>
        <w:t>.</w:t>
      </w:r>
    </w:p>
    <w:p w14:paraId="7B450152" w14:textId="77777777" w:rsidR="00315E2C" w:rsidRPr="00243274" w:rsidRDefault="00315E2C" w:rsidP="00315E2C">
      <w:pPr>
        <w:pStyle w:val="ListParagraph"/>
        <w:rPr>
          <w:rFonts w:ascii="Garamond" w:hAnsi="Garamond"/>
          <w:sz w:val="20"/>
          <w:szCs w:val="20"/>
        </w:rPr>
      </w:pPr>
    </w:p>
    <w:p w14:paraId="6ADEF9C0" w14:textId="77777777" w:rsidR="00C76888" w:rsidRPr="00243274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Regular Expression Support</w:t>
      </w:r>
      <w:r w:rsidRPr="00243274">
        <w:rPr>
          <w:rFonts w:ascii="Garamond" w:hAnsi="Garamond"/>
          <w:sz w:val="20"/>
          <w:szCs w:val="20"/>
        </w:rPr>
        <w:t xml:space="preserve">. Fix support for: </w:t>
      </w:r>
    </w:p>
    <w:p w14:paraId="0720357D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</w:p>
    <w:p w14:paraId="79B09DE6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  <w:proofErr w:type="spellStart"/>
      <w:r w:rsidRPr="00243274">
        <w:rPr>
          <w:rFonts w:ascii="Garamond" w:hAnsi="Garamond"/>
          <w:sz w:val="20"/>
          <w:szCs w:val="20"/>
        </w:rPr>
        <w:t>tda</w:t>
      </w:r>
      <w:proofErr w:type="spellEnd"/>
      <w:r w:rsidRPr="00243274">
        <w:rPr>
          <w:rFonts w:ascii="Garamond" w:hAnsi="Garamond"/>
          <w:sz w:val="20"/>
          <w:szCs w:val="20"/>
        </w:rPr>
        <w:t xml:space="preserve"> Incoming.*,shared rest-4.txt</w:t>
      </w:r>
    </w:p>
    <w:p w14:paraId="07A6882E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</w:p>
    <w:p w14:paraId="1AC2F77F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Currently it does not work.</w:t>
      </w:r>
    </w:p>
    <w:p w14:paraId="449D921C" w14:textId="77777777" w:rsidR="00C76888" w:rsidRPr="00243274" w:rsidRDefault="00C76888" w:rsidP="00C76888">
      <w:pPr>
        <w:rPr>
          <w:rFonts w:ascii="Garamond" w:hAnsi="Garamond"/>
          <w:sz w:val="20"/>
          <w:szCs w:val="20"/>
        </w:rPr>
      </w:pPr>
    </w:p>
    <w:p w14:paraId="6BFB273E" w14:textId="109E5661" w:rsidR="00C76888" w:rsidRPr="00243274" w:rsidRDefault="00C76888" w:rsidP="00A75BF0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Sort the thread dump alphabetically by the thread name.</w:t>
      </w:r>
      <w:r w:rsidR="00124D6A" w:rsidRPr="00243274">
        <w:rPr>
          <w:rFonts w:ascii="Garamond" w:hAnsi="Garamond"/>
          <w:sz w:val="20"/>
          <w:szCs w:val="20"/>
        </w:rPr>
        <w:br/>
      </w:r>
    </w:p>
    <w:p w14:paraId="0BB92F16" w14:textId="77777777" w:rsidR="00C76888" w:rsidRPr="00243274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 xml:space="preserve">Save the split string in the </w:t>
      </w:r>
      <w:proofErr w:type="spellStart"/>
      <w:r w:rsidRPr="00243274">
        <w:rPr>
          <w:rFonts w:ascii="Garamond" w:hAnsi="Garamond"/>
          <w:sz w:val="20"/>
          <w:szCs w:val="20"/>
        </w:rPr>
        <w:t>tda</w:t>
      </w:r>
      <w:proofErr w:type="spellEnd"/>
      <w:r w:rsidRPr="00243274">
        <w:rPr>
          <w:rFonts w:ascii="Garamond" w:hAnsi="Garamond"/>
          <w:sz w:val="20"/>
          <w:szCs w:val="20"/>
        </w:rPr>
        <w:t xml:space="preserve"> project and document it.</w:t>
      </w:r>
    </w:p>
    <w:p w14:paraId="7DE3A643" w14:textId="77777777" w:rsidR="00F13E76" w:rsidRPr="00243274" w:rsidRDefault="00F13E76" w:rsidP="00F13E76">
      <w:pPr>
        <w:rPr>
          <w:rFonts w:ascii="Garamond" w:hAnsi="Garamond"/>
          <w:sz w:val="20"/>
          <w:szCs w:val="20"/>
        </w:rPr>
      </w:pPr>
    </w:p>
    <w:p w14:paraId="216E4211" w14:textId="77777777" w:rsidR="00C76888" w:rsidRPr="00243274" w:rsidRDefault="00F13E76" w:rsidP="00F13E7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Add "</w:t>
      </w:r>
      <w:proofErr w:type="spellStart"/>
      <w:r w:rsidRPr="00243274">
        <w:rPr>
          <w:rFonts w:ascii="Garamond" w:hAnsi="Garamond"/>
          <w:sz w:val="20"/>
          <w:szCs w:val="20"/>
        </w:rPr>
        <w:t>tdgrep</w:t>
      </w:r>
      <w:proofErr w:type="spellEnd"/>
      <w:r w:rsidRPr="00243274">
        <w:rPr>
          <w:rFonts w:ascii="Garamond" w:hAnsi="Garamond"/>
          <w:sz w:val="20"/>
          <w:szCs w:val="20"/>
        </w:rPr>
        <w:t xml:space="preserve"> -c [</w:t>
      </w:r>
      <w:proofErr w:type="spellStart"/>
      <w:r w:rsidRPr="00243274">
        <w:rPr>
          <w:rFonts w:ascii="Garamond" w:hAnsi="Garamond"/>
          <w:sz w:val="20"/>
          <w:szCs w:val="20"/>
        </w:rPr>
        <w:t>regexp</w:t>
      </w:r>
      <w:proofErr w:type="spellEnd"/>
      <w:r w:rsidRPr="00243274">
        <w:rPr>
          <w:rFonts w:ascii="Garamond" w:hAnsi="Garamond"/>
          <w:sz w:val="20"/>
          <w:szCs w:val="20"/>
        </w:rPr>
        <w:t>] file1 file2 ..."</w:t>
      </w:r>
    </w:p>
    <w:p w14:paraId="1DE9450B" w14:textId="77777777" w:rsidR="00C76888" w:rsidRPr="00243274" w:rsidRDefault="00C76888">
      <w:pPr>
        <w:rPr>
          <w:rFonts w:ascii="Garamond" w:hAnsi="Garamond"/>
          <w:sz w:val="20"/>
          <w:szCs w:val="20"/>
        </w:rPr>
      </w:pPr>
    </w:p>
    <w:sectPr w:rsidR="00C76888" w:rsidRPr="0024327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30012"/>
    <w:rsid w:val="000B3C6F"/>
    <w:rsid w:val="000C6FFE"/>
    <w:rsid w:val="00124D6A"/>
    <w:rsid w:val="00175BB5"/>
    <w:rsid w:val="0018118B"/>
    <w:rsid w:val="00243274"/>
    <w:rsid w:val="002C76BA"/>
    <w:rsid w:val="002D1D3C"/>
    <w:rsid w:val="00315E2C"/>
    <w:rsid w:val="003D07BD"/>
    <w:rsid w:val="0044369D"/>
    <w:rsid w:val="00475F61"/>
    <w:rsid w:val="004D702D"/>
    <w:rsid w:val="004E0DC5"/>
    <w:rsid w:val="00616556"/>
    <w:rsid w:val="006A4A59"/>
    <w:rsid w:val="006B2C31"/>
    <w:rsid w:val="0070750A"/>
    <w:rsid w:val="00743BE7"/>
    <w:rsid w:val="00815E14"/>
    <w:rsid w:val="008939F2"/>
    <w:rsid w:val="008A78ED"/>
    <w:rsid w:val="008B0FC2"/>
    <w:rsid w:val="008C471E"/>
    <w:rsid w:val="008C5203"/>
    <w:rsid w:val="00945623"/>
    <w:rsid w:val="009676AB"/>
    <w:rsid w:val="00974B68"/>
    <w:rsid w:val="009B3D0A"/>
    <w:rsid w:val="009D4562"/>
    <w:rsid w:val="009F3E99"/>
    <w:rsid w:val="00AC2836"/>
    <w:rsid w:val="00AC52D3"/>
    <w:rsid w:val="00AE28EF"/>
    <w:rsid w:val="00B426C1"/>
    <w:rsid w:val="00B70B1C"/>
    <w:rsid w:val="00B80E3C"/>
    <w:rsid w:val="00C51884"/>
    <w:rsid w:val="00C76888"/>
    <w:rsid w:val="00DA20DB"/>
    <w:rsid w:val="00DD6D13"/>
    <w:rsid w:val="00E07F97"/>
    <w:rsid w:val="00EA0EBE"/>
    <w:rsid w:val="00EA53C7"/>
    <w:rsid w:val="00EB3319"/>
    <w:rsid w:val="00EF20AF"/>
    <w:rsid w:val="00F1087D"/>
    <w:rsid w:val="00F13E76"/>
    <w:rsid w:val="00F16979"/>
    <w:rsid w:val="00F17E75"/>
    <w:rsid w:val="00F3234D"/>
    <w:rsid w:val="00F40C3D"/>
    <w:rsid w:val="00F47E3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</cp:revision>
  <dcterms:created xsi:type="dcterms:W3CDTF">2017-04-26T16:01:00Z</dcterms:created>
  <dcterms:modified xsi:type="dcterms:W3CDTF">2017-11-29T23:12:00Z</dcterms:modified>
</cp:coreProperties>
</file>