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59"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0"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1"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für die risikobasierte Überwachungsprüfung gilt ausschließlich das Toleranzfenster, eine darüber hinausgehende Verschiebung ist nicht möglich (siehe Kapitel 3.1)</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Unterlagen für die Veto-Prüfung: Vor der Qualitätssicherung des Prüfberichts lädt der Auditor folgende Unterlagen hoch: a) den ausgefüllten CADIS®-Prüfkatalog, b) die JSON-Datei aus dem CADIS®-Audittool, c) das Kick-Off-Material, d) die Bestätigungsmail.</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 eine bestehende Freigabe erlischt.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beziehungsweise, sofern keines stattfindet, ab der Mitteilung der Feststellungen (Kapitel 3.2).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 beziehungsweise, sofern keines stattfindet, mit dem Tag der Mitteilung der Feststellungen (Kapitel 3.2).</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hochzuladen.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die Anhebung des Level of Examination oder der Einbezug geänderter Sonderanforderungen.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w:t>
      </w:r>
    </w:p>
    <w:p>
      <w:pPr>
        <w:pStyle w:val="Compact"/>
        <w:numPr>
          <w:ilvl w:val="0"/>
          <w:numId w:val="30"/>
        </w:numPr>
        <w:rPr/>
      </w:pPr>
      <w:r>
        <w:rPr/>
        <w:t>Die Erweiterung wurde beauftragt; alle Scope-Änderungen werden dokumentiert.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Antrag und Abstimmung der Scope-Änderung</w:t>
      </w:r>
    </w:p>
    <w:p>
      <w:pPr>
        <w:pStyle w:val="Blocktext1"/>
        <w:rPr/>
      </w:pPr>
      <w:r>
        <w:rP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hochzuladen.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(CADIS®-Handbuch, Kapitel 4.10). Verbleibt es nach der Konsistenzprüfung bei einer Unterschreitung des Schwellenwerts ohne Feststellung, sind die Prüfpunkte, die den Security Score maßgeblich bestimmen, als Abweichungen zu erfassen; der Maßnahmenplan bezieht sich auf diese Abweichungen.</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27</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27</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1">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58">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642</Words>
  <Characters>4831</Characters>
  <CharactersWithSpaces>5433</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2026-10-15T05:18:30Z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