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media/image7.wmf" ContentType="image/x-wmf"/>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mc:AlternateContent>
          <mc:Choice Requires="wps">
            <w:drawing>
              <wp:anchor behindDoc="1" distT="0" distB="0" distL="0" distR="0" simplePos="0" locked="0" layoutInCell="0" allowOverlap="1" relativeHeight="65" wp14:anchorId="2A1C405D">
                <wp:simplePos x="0" y="0"/>
                <wp:positionH relativeFrom="page">
                  <wp:posOffset>5334000</wp:posOffset>
                </wp:positionH>
                <wp:positionV relativeFrom="page">
                  <wp:posOffset>-1651000</wp:posOffset>
                </wp:positionV>
                <wp:extent cx="3175000" cy="13970000"/>
                <wp:effectExtent l="0" t="0" r="0" b="0"/>
                <wp:wrapNone/>
                <wp:docPr id="1" name="Chevron Gruen"/>
                <a:graphic xmlns:a="http://schemas.openxmlformats.org/drawingml/2006/main">
                  <a:graphicData uri="http://schemas.microsoft.com/office/word/2010/wordprocessingShape">
                    <wps:wsp>
                      <wps:cNvSpPr/>
                      <wps:spPr>
                        <a:xfrm>
                          <a:off x="0" y="0"/>
                          <a:ext cx="3174840" cy="13970160"/>
                        </a:xfrm>
                        <a:prstGeom prst="chevron">
                          <a:avLst>
                            <a:gd name="adj" fmla="val 38000"/>
                          </a:avLst>
                        </a:prstGeom>
                        <a:solidFill>
                          <a:srgbClr val="017d40"/>
                        </a:solidFill>
                        <a:ln w="0">
                          <a:noFill/>
                        </a:ln>
                      </wps:spPr>
                      <wps:style>
                        <a:lnRef idx="0"/>
                        <a:fillRef idx="0"/>
                        <a:effectRef idx="0"/>
                        <a:fontRef idx="minor"/>
                      </wps:style>
                      <wps:bodyPr/>
                    </wps:wsp>
                  </a:graphicData>
                </a:graphic>
              </wp:anchor>
            </w:drawing>
          </mc:Choice>
          <mc:Fallback>
            <w:pict>
              <v:shapetype id="_x0000_t55" coordsize="21600,21600" o:spt="55" adj="10800" path="m,l@2,l21600,10800l@2,21600l,21600l@1,10800xe">
                <v:stroke joinstyle="miter"/>
                <v:formulas>
                  <v:f eqn="val 21600"/>
                  <v:f eqn="val #0"/>
                  <v:f eqn="sum width 0 @1"/>
                  <v:f eqn="prod @2 1 2"/>
                  <v:f eqn="sum @2 0 @1"/>
                  <v:f eqn="if @4 @1 0"/>
                  <v:f eqn="if @4 @2 width"/>
                </v:formulas>
                <v:path gradientshapeok="t" o:connecttype="rect" textboxrect="@5,0,@6,21600"/>
                <v:handles>
                  <v:h position="@2,0"/>
                </v:handles>
              </v:shapetype>
              <v:shape id="shape_0" ID="Chevron Gruen" path="m0,0l-2147483639,0l-2147483632,-2147483634l-2147483639,-2147483633l0,-2147483633l-2147483640,-2147483634xe" fillcolor="#017d40" stroked="f" o:allowincell="f" style="position:absolute;margin-left:420pt;margin-top:-130pt;width:249.95pt;height:1099.95pt;mso-wrap-style:none;v-text-anchor:middle;mso-position-horizontal-relative:page;mso-position-vertical-relative:page" wp14:anchorId="2A1C405D" type="_x0000_t55">
                <v:fill o:detectmouseclick="t" type="solid" color2="#fe82bf"/>
                <v:stroke color="#3465a4" joinstyle="round" endcap="flat"/>
                <w10:wrap type="none"/>
              </v:shape>
            </w:pict>
          </mc:Fallback>
        </mc:AlternateContent>
        <mc:AlternateContent>
          <mc:Choice Requires="wps">
            <w:drawing>
              <wp:anchor behindDoc="1" distT="0" distB="0" distL="0" distR="0" simplePos="0" locked="0" layoutInCell="0" allowOverlap="1" relativeHeight="66" wp14:anchorId="14500869">
                <wp:simplePos x="0" y="0"/>
                <wp:positionH relativeFrom="page">
                  <wp:posOffset>6223000</wp:posOffset>
                </wp:positionH>
                <wp:positionV relativeFrom="page">
                  <wp:posOffset>-1651000</wp:posOffset>
                </wp:positionV>
                <wp:extent cx="2603500" cy="13970000"/>
                <wp:effectExtent l="0" t="0" r="0" b="0"/>
                <wp:wrapNone/>
                <wp:docPr id="2" name="Chevron Teal"/>
                <a:graphic xmlns:a="http://schemas.openxmlformats.org/drawingml/2006/main">
                  <a:graphicData uri="http://schemas.microsoft.com/office/word/2010/wordprocessingShape">
                    <wps:wsp>
                      <wps:cNvSpPr/>
                      <wps:spPr>
                        <a:xfrm>
                          <a:off x="0" y="0"/>
                          <a:ext cx="2603520" cy="13970160"/>
                        </a:xfrm>
                        <a:prstGeom prst="chevron">
                          <a:avLst>
                            <a:gd name="adj" fmla="val 38000"/>
                          </a:avLst>
                        </a:prstGeom>
                        <a:solidFill>
                          <a:srgbClr val="0f7173"/>
                        </a:solidFill>
                        <a:ln w="0">
                          <a:noFill/>
                        </a:ln>
                      </wps:spPr>
                      <wps:style>
                        <a:lnRef idx="0"/>
                        <a:fillRef idx="0"/>
                        <a:effectRef idx="0"/>
                        <a:fontRef idx="minor"/>
                      </wps:style>
                      <wps:bodyPr/>
                    </wps:wsp>
                  </a:graphicData>
                </a:graphic>
              </wp:anchor>
            </w:drawing>
          </mc:Choice>
          <mc:Fallback>
            <w:pict>
              <v:shape id="shape_0" ID="Chevron Teal" path="m0,0l-2147483639,0l-2147483632,-2147483634l-2147483639,-2147483633l0,-2147483633l-2147483640,-2147483634xe" fillcolor="#0f7173" stroked="f" o:allowincell="f" style="position:absolute;margin-left:490pt;margin-top:-130pt;width:204.95pt;height:1099.95pt;mso-wrap-style:none;v-text-anchor:middle;mso-position-horizontal-relative:page;mso-position-vertical-relative:page" wp14:anchorId="14500869" type="_x0000_t55">
                <v:fill o:detectmouseclick="t" type="solid" color2="#f08e8c"/>
                <v:stroke color="#3465a4" joinstyle="round" endcap="flat"/>
                <w10:wrap type="none"/>
              </v:shape>
            </w:pict>
          </mc:Fallback>
        </mc:AlternateContent>
        <mc:AlternateContent>
          <mc:Choice Requires="wps">
            <w:drawing>
              <wp:anchor behindDoc="1" distT="0" distB="0" distL="0" distR="0" simplePos="0" locked="0" layoutInCell="0" allowOverlap="1" relativeHeight="67" wp14:anchorId="2EB9B489">
                <wp:simplePos x="0" y="0"/>
                <wp:positionH relativeFrom="page">
                  <wp:posOffset>7112000</wp:posOffset>
                </wp:positionH>
                <wp:positionV relativeFrom="page">
                  <wp:posOffset>-1651000</wp:posOffset>
                </wp:positionV>
                <wp:extent cx="2032000" cy="13970000"/>
                <wp:effectExtent l="0" t="0" r="0" b="0"/>
                <wp:wrapNone/>
                <wp:docPr id="3" name="Chevron Lime"/>
                <a:graphic xmlns:a="http://schemas.openxmlformats.org/drawingml/2006/main">
                  <a:graphicData uri="http://schemas.microsoft.com/office/word/2010/wordprocessingShape">
                    <wps:wsp>
                      <wps:cNvSpPr/>
                      <wps:spPr>
                        <a:xfrm>
                          <a:off x="0" y="0"/>
                          <a:ext cx="2031840" cy="13970160"/>
                        </a:xfrm>
                        <a:prstGeom prst="chevron">
                          <a:avLst>
                            <a:gd name="adj" fmla="val 38000"/>
                          </a:avLst>
                        </a:prstGeom>
                        <a:solidFill>
                          <a:srgbClr val="c1d62f"/>
                        </a:solidFill>
                        <a:ln w="0">
                          <a:noFill/>
                        </a:ln>
                      </wps:spPr>
                      <wps:style>
                        <a:lnRef idx="0"/>
                        <a:fillRef idx="0"/>
                        <a:effectRef idx="0"/>
                        <a:fontRef idx="minor"/>
                      </wps:style>
                      <wps:bodyPr/>
                    </wps:wsp>
                  </a:graphicData>
                </a:graphic>
              </wp:anchor>
            </w:drawing>
          </mc:Choice>
          <mc:Fallback>
            <w:pict>
              <v:shape id="shape_0" ID="Chevron Lime" path="m0,0l-2147483639,0l-2147483632,-2147483634l-2147483639,-2147483633l0,-2147483633l-2147483640,-2147483634xe" fillcolor="#c1d62f" stroked="f" o:allowincell="f" style="position:absolute;margin-left:560pt;margin-top:-130pt;width:159.95pt;height:1099.95pt;mso-wrap-style:none;v-text-anchor:middle;mso-position-horizontal-relative:page;mso-position-vertical-relative:page" wp14:anchorId="2EB9B489" type="_x0000_t55">
                <v:fill o:detectmouseclick="t" type="solid" color2="#3e29d0"/>
                <v:stroke color="#3465a4" joinstyle="round" endcap="flat"/>
                <w10:wrap type="none"/>
              </v:shape>
            </w:pict>
          </mc:Fallback>
        </mc:AlternateContent>
      </w:r>
    </w:p>
    <w:p>
      <w:pPr>
        <w:pStyle w:val="Normal"/>
        <w:spacing w:before="0" w:after="60"/>
        <w:rPr/>
      </w:pPr>
      <w:r>
        <w:rPr/>
      </w:r>
    </w:p>
    <w:p>
      <w:pPr>
        <w:pStyle w:val="Normal"/>
        <w:spacing w:before="0" w:after="60"/>
        <w:rPr/>
      </w:pPr>
      <w:r>
        <w:rPr/>
      </w:r>
    </w:p>
    <w:p>
      <w:pPr>
        <w:pStyle w:val="Normal"/>
        <w:spacing w:before="0" w:after="280"/>
        <w:rPr>
          <w:rFonts w:ascii="Noto Sans Black" w:hAnsi="Noto Sans Black" w:cs="Noto Sans Black"/>
          <w:b/>
          <w:color w:val="00503D"/>
          <w:sz w:val="96"/>
          <w:lang w:val="en-US"/>
        </w:rPr>
      </w:pPr>
      <w:r>
        <w:rPr/>
        <w:drawing>
          <wp:inline distT="0" distB="0" distL="0" distR="0">
            <wp:extent cx="2667000" cy="1422400"/>
            <wp:effectExtent l="0" t="0" r="0" b="0"/>
            <wp:docPr id="4" name="CADIS Logo" descr="CADI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IS Logo" descr="CADIS Logo"/>
                    <pic:cNvPicPr>
                      <a:picLocks noChangeAspect="1" noChangeArrowheads="1"/>
                    </pic:cNvPicPr>
                  </pic:nvPicPr>
                  <pic:blipFill>
                    <a:blip r:embed="rId2"/>
                    <a:stretch>
                      <a:fillRect/>
                    </a:stretch>
                  </pic:blipFill>
                  <pic:spPr bwMode="auto">
                    <a:xfrm>
                      <a:off x="0" y="0"/>
                      <a:ext cx="2667000" cy="1422400"/>
                    </a:xfrm>
                    <a:prstGeom prst="rect">
                      <a:avLst/>
                    </a:prstGeom>
                  </pic:spPr>
                </pic:pic>
              </a:graphicData>
            </a:graphic>
          </wp:inline>
        </w:drawing>
      </w:r>
    </w:p>
    <w:p>
      <w:pPr>
        <w:pStyle w:val="Normal"/>
        <w:spacing w:before="120" w:after="560"/>
        <w:rPr>
          <w:rFonts w:ascii="Noto Sans" w:hAnsi="Noto Sans" w:cs="Noto Sans"/>
          <w:color w:val="555555"/>
          <w:sz w:val="28"/>
          <w:lang w:val="en-US"/>
        </w:rPr>
      </w:pPr>
      <w:r>
        <w:rPr>
          <w:rFonts w:cs="Noto Sans"/>
          <w:color w:val="555555"/>
          <w:sz w:val="28"/>
          <w:szCs w:val="28"/>
          <w:lang w:val="en-US"/>
        </w:rPr>
        <w:t>Cybersecurity Assessment for Defence Industry Suppliers</w:t>
      </w:r>
    </w:p>
    <w:p>
      <w:pPr>
        <w:pStyle w:val="Normal"/>
        <w:spacing w:before="0" w:after="240"/>
        <w:rPr>
          <w:rFonts w:ascii="Noto Sans Black" w:hAnsi="Noto Sans Black" w:cs="Noto Sans Black"/>
          <w:b/>
          <w:color w:val="00503D"/>
          <w:sz w:val="44"/>
        </w:rPr>
      </w:pPr>
      <w:r>
        <w:rPr>
          <w:rFonts w:cs="Noto Sans Black" w:ascii="Noto Sans Black" w:hAnsi="Noto Sans Black"/>
          <w:b/>
          <w:bCs/>
          <w:color w:val="00503D"/>
          <w:sz w:val="44"/>
          <w:szCs w:val="40"/>
        </w:rPr>
        <w:t>Prozessbeschreibung</w:t>
      </w:r>
    </w:p>
    <w:p>
      <w:pPr>
        <w:pStyle w:val="Normal"/>
        <w:spacing w:before="0" w:after="80"/>
        <w:rPr>
          <w:rFonts w:ascii="Noto Sans" w:hAnsi="Noto Sans" w:cs="Noto Sans"/>
          <w:color w:val="555555"/>
          <w:sz w:val="24"/>
        </w:rPr>
      </w:pPr>
      <w:r>
        <w:rPr>
          <w:rFonts w:cs="Noto Sans"/>
          <w:color w:val="555555"/>
          <w:sz w:val="24"/>
          <w:szCs w:val="24"/>
        </w:rPr>
        <w:t>Version 1.0 (Entwurf)</w:t>
      </w:r>
    </w:p>
    <w:p>
      <w:pPr>
        <w:pStyle w:val="Normal"/>
        <w:spacing w:before="0" w:after="600"/>
        <w:rPr>
          <w:rFonts w:ascii="Noto Sans" w:hAnsi="Noto Sans" w:cs="Noto Sans"/>
          <w:color w:val="555555"/>
          <w:sz w:val="24"/>
        </w:rPr>
      </w:pPr>
      <w:r>
        <w:rPr>
          <w:rFonts w:cs="Noto Sans"/>
          <w:color w:val="555555"/>
          <w:sz w:val="24"/>
        </w:rPr>
        <w:t>Stand: Oktober 2026</w:t>
      </w:r>
    </w:p>
    <w:p>
      <w:pPr>
        <w:pStyle w:val="Normal"/>
        <w:spacing w:before="1200" w:after="0"/>
        <w:rPr>
          <w:rFonts w:ascii="Noto Sans" w:hAnsi="Noto Sans" w:cs="Noto Sans"/>
          <w:b/>
          <w:color w:val="555555"/>
          <w:sz w:val="24"/>
        </w:rPr>
      </w:pPr>
      <w:r>
        <w:rPr>
          <w:rFonts w:cs="Noto Sans"/>
          <w:b/>
          <w:color w:val="555555"/>
          <w:sz w:val="24"/>
        </w:rPr>
        <w:t>Klassifikation: INTERN</w:t>
      </w:r>
    </w:p>
    <w:p>
      <w:pPr>
        <w:pStyle w:val="Normal"/>
        <w:rPr/>
      </w:pPr>
      <w:r>
        <w:rPr/>
      </w:r>
      <w:r>
        <w:br w:type="page"/>
      </w:r>
    </w:p>
    <w:p>
      <w:pPr>
        <w:pStyle w:val="Heading1"/>
        <w:spacing w:before="0" w:after="200"/>
        <w:rPr/>
      </w:pPr>
      <w:bookmarkStart w:id="0" w:name="_Toc235445508"/>
      <w:bookmarkStart w:id="1" w:name="_Toc238102093"/>
      <w:r>
        <w:rPr/>
        <w:t>Inhaltsverzeichnis</w:t>
      </w:r>
      <w:bookmarkEnd w:id="0"/>
      <w:bookmarkEnd w:id="1"/>
    </w:p>
    <w:sdt>
      <w:sdtPr>
        <w:docPartObj>
          <w:docPartGallery w:val="Table of Contents"/>
          <w:docPartUnique w:val="true"/>
        </w:docPartObj>
      </w:sdtPr>
      <w:sdtContent>
        <w:p>
          <w:pPr>
            <w:pStyle w:val="TOC1"/>
            <w:tabs>
              <w:tab w:val="clear" w:pos="708"/>
              <w:tab w:val="right" w:pos="8948" w:leader="dot"/>
            </w:tabs>
            <w:rPr>
              <w:rFonts w:eastAsia="" w:eastAsiaTheme="minorEastAsia"/>
              <w:sz w:val="24"/>
              <w:szCs w:val="24"/>
              <w:lang w:eastAsia="de-DE"/>
            </w:rPr>
          </w:pPr>
          <w:r>
            <w:fldChar w:fldCharType="begin"/>
          </w:r>
          <w:r>
            <w:rPr>
              <w:rStyle w:val="IndexLink"/>
            </w:rPr>
            <w:instrText xml:space="preserve"> TOC \o "1-3" \h</w:instrText>
          </w:r>
          <w:r>
            <w:rPr>
              <w:rStyle w:val="IndexLink"/>
            </w:rPr>
            <w:fldChar w:fldCharType="separate"/>
          </w:r>
          <w:hyperlink w:anchor="_Toc238102093">
            <w:r>
              <w:rPr>
                <w:rStyle w:val="IndexLink"/>
              </w:rPr>
              <w:t>Inhaltsverzeichnis</w:t>
              <w:tab/>
            </w:r>
            <w:r>
              <w:rPr>
                <w:webHidden/>
              </w:rPr>
              <w:fldChar w:fldCharType="begin"/>
            </w:r>
            <w:r>
              <w:rPr>
                <w:webHidden/>
              </w:rPr>
              <w:instrText xml:space="preserve">PAGEREF _Toc238102093 \h</w:instrText>
            </w:r>
            <w:r>
              <w:rPr>
                <w:webHidden/>
              </w:rPr>
              <w:fldChar w:fldCharType="separate"/>
            </w:r>
            <w:r>
              <w:rPr>
                <w:rStyle w:val="IndexLink"/>
                <w:rFonts w:eastAsia="" w:eastAsiaTheme="minorEastAsia"/>
                <w:sz w:val="24"/>
                <w:szCs w:val="24"/>
                <w:lang w:eastAsia="de-DE"/>
              </w:rPr>
              <w:t>2</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4">
            <w:r>
              <w:rPr>
                <w:rStyle w:val="IndexLink"/>
              </w:rPr>
              <w:t>Revisionshistorie</w:t>
              <w:tab/>
            </w:r>
            <w:r>
              <w:rPr>
                <w:webHidden/>
              </w:rPr>
              <w:fldChar w:fldCharType="begin"/>
            </w:r>
            <w:r>
              <w:rPr>
                <w:webHidden/>
              </w:rPr>
              <w:instrText xml:space="preserve">PAGEREF _Toc238102094 \h</w:instrText>
            </w:r>
            <w:r>
              <w:rPr>
                <w:webHidden/>
              </w:rPr>
              <w:fldChar w:fldCharType="separate"/>
            </w:r>
            <w:r>
              <w:rPr>
                <w:rStyle w:val="IndexLink"/>
                <w:rFonts w:eastAsia="" w:eastAsiaTheme="minorEastAsia"/>
                <w:sz w:val="24"/>
                <w:szCs w:val="24"/>
                <w:lang w:eastAsia="de-DE"/>
              </w:rPr>
              <w:t>4</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5">
            <w:r>
              <w:rPr>
                <w:rStyle w:val="IndexLink"/>
              </w:rPr>
              <w:t>Dokumentinformationen</w:t>
              <w:tab/>
            </w:r>
            <w:r>
              <w:rPr>
                <w:webHidden/>
              </w:rPr>
              <w:fldChar w:fldCharType="begin"/>
            </w:r>
            <w:r>
              <w:rPr>
                <w:webHidden/>
              </w:rPr>
              <w:instrText xml:space="preserve">PAGEREF _Toc238102095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6">
            <w:r>
              <w:rPr>
                <w:rStyle w:val="IndexLink"/>
              </w:rPr>
              <w:t>1 Einleitung</w:t>
              <w:tab/>
            </w:r>
            <w:r>
              <w:rPr>
                <w:webHidden/>
              </w:rPr>
              <w:fldChar w:fldCharType="begin"/>
            </w:r>
            <w:r>
              <w:rPr>
                <w:webHidden/>
              </w:rPr>
              <w:instrText xml:space="preserve">PAGEREF _Toc238102096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7">
            <w:r>
              <w:rPr>
                <w:rStyle w:val="IndexLink"/>
              </w:rPr>
              <w:t>1.1 Zweck</w:t>
              <w:tab/>
            </w:r>
            <w:r>
              <w:rPr>
                <w:webHidden/>
              </w:rPr>
              <w:fldChar w:fldCharType="begin"/>
            </w:r>
            <w:r>
              <w:rPr>
                <w:webHidden/>
              </w:rPr>
              <w:instrText xml:space="preserve">PAGEREF _Toc238102097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8">
            <w:r>
              <w:rPr>
                <w:rStyle w:val="IndexLink"/>
              </w:rPr>
              <w:t>1.2 Geltungsbereich und Abgrenzung</w:t>
              <w:tab/>
            </w:r>
            <w:r>
              <w:rPr>
                <w:webHidden/>
              </w:rPr>
              <w:fldChar w:fldCharType="begin"/>
            </w:r>
            <w:r>
              <w:rPr>
                <w:webHidden/>
              </w:rPr>
              <w:instrText xml:space="preserve">PAGEREF _Toc238102098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9">
            <w:r>
              <w:rPr>
                <w:rStyle w:val="IndexLink"/>
              </w:rPr>
              <w:t>1.3 Aufbau des Dokuments</w:t>
              <w:tab/>
            </w:r>
            <w:r>
              <w:rPr>
                <w:webHidden/>
              </w:rPr>
              <w:fldChar w:fldCharType="begin"/>
            </w:r>
            <w:r>
              <w:rPr>
                <w:webHidden/>
              </w:rPr>
              <w:instrText xml:space="preserve">PAGEREF _Toc238102099 \h</w:instrText>
            </w:r>
            <w:r>
              <w:rPr>
                <w:webHidden/>
              </w:rPr>
              <w:fldChar w:fldCharType="separate"/>
            </w:r>
            <w:r>
              <w:rPr>
                <w:rStyle w:val="IndexLink"/>
                <w:rFonts w:eastAsia="" w:eastAsiaTheme="minorEastAsia"/>
                <w:sz w:val="24"/>
                <w:szCs w:val="24"/>
                <w:lang w:eastAsia="de-DE"/>
              </w:rPr>
              <w:t>6</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0">
            <w:r>
              <w:rPr>
                <w:rStyle w:val="IndexLink"/>
              </w:rPr>
              <w:t>2 Rollen im Prüfverfahren</w:t>
              <w:tab/>
            </w:r>
            <w:r>
              <w:rPr>
                <w:webHidden/>
              </w:rPr>
              <w:fldChar w:fldCharType="begin"/>
            </w:r>
            <w:r>
              <w:rPr>
                <w:webHidden/>
              </w:rPr>
              <w:instrText xml:space="preserve">PAGEREF _Toc238102100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1">
            <w:r>
              <w:rPr>
                <w:rStyle w:val="IndexLink"/>
              </w:rPr>
              <w:t>2.1 Übersicht der Rollen</w:t>
              <w:tab/>
            </w:r>
            <w:r>
              <w:rPr>
                <w:webHidden/>
              </w:rPr>
              <w:fldChar w:fldCharType="begin"/>
            </w:r>
            <w:r>
              <w:rPr>
                <w:webHidden/>
              </w:rPr>
              <w:instrText xml:space="preserve">PAGEREF _Toc238102101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2">
            <w:r>
              <w:rPr>
                <w:rStyle w:val="IndexLink"/>
              </w:rPr>
              <w:t>2.2 Mindestbeteiligung je Level of Examination</w:t>
              <w:tab/>
            </w:r>
            <w:r>
              <w:rPr>
                <w:webHidden/>
              </w:rPr>
              <w:fldChar w:fldCharType="begin"/>
            </w:r>
            <w:r>
              <w:rPr>
                <w:webHidden/>
              </w:rPr>
              <w:instrText xml:space="preserve">PAGEREF _Toc238102102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3">
            <w:r>
              <w:rPr>
                <w:rStyle w:val="IndexLink"/>
              </w:rPr>
              <w:t>3 Das Prüfverfahren im Überblick</w:t>
              <w:tab/>
            </w:r>
            <w:r>
              <w:rPr>
                <w:webHidden/>
              </w:rPr>
              <w:fldChar w:fldCharType="begin"/>
            </w:r>
            <w:r>
              <w:rPr>
                <w:webHidden/>
              </w:rPr>
              <w:instrText xml:space="preserve">PAGEREF _Toc238102103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4">
            <w:r>
              <w:rPr>
                <w:rStyle w:val="IndexLink"/>
              </w:rPr>
              <w:t>3.1 Prüfzyklus</w:t>
              <w:tab/>
            </w:r>
            <w:r>
              <w:rPr>
                <w:webHidden/>
              </w:rPr>
              <w:fldChar w:fldCharType="begin"/>
            </w:r>
            <w:r>
              <w:rPr>
                <w:webHidden/>
              </w:rPr>
              <w:instrText xml:space="preserve">PAGEREF _Toc238102104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5">
            <w:r>
              <w:rPr>
                <w:rStyle w:val="IndexLink"/>
              </w:rPr>
              <w:t>3.2 Fristen im Überblick</w:t>
              <w:tab/>
            </w:r>
            <w:r>
              <w:rPr>
                <w:webHidden/>
              </w:rPr>
              <w:fldChar w:fldCharType="begin"/>
            </w:r>
            <w:r>
              <w:rPr>
                <w:webHidden/>
              </w:rPr>
              <w:instrText xml:space="preserve">PAGEREF _Toc238102105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6">
            <w:r>
              <w:rPr>
                <w:rStyle w:val="IndexLink"/>
              </w:rPr>
              <w:t>4 Standard-Prüfarten</w:t>
              <w:tab/>
            </w:r>
            <w:r>
              <w:rPr>
                <w:webHidden/>
              </w:rPr>
              <w:fldChar w:fldCharType="begin"/>
            </w:r>
            <w:r>
              <w:rPr>
                <w:webHidden/>
              </w:rPr>
              <w:instrText xml:space="preserve">PAGEREF _Toc238102106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7">
            <w:r>
              <w:rPr>
                <w:rStyle w:val="IndexLink"/>
              </w:rPr>
              <w:t>4.1 Erstprüfung</w:t>
              <w:tab/>
            </w:r>
            <w:r>
              <w:rPr>
                <w:webHidden/>
              </w:rPr>
              <w:fldChar w:fldCharType="begin"/>
            </w:r>
            <w:r>
              <w:rPr>
                <w:webHidden/>
              </w:rPr>
              <w:instrText xml:space="preserve">PAGEREF _Toc238102107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8">
            <w:r>
              <w:rPr>
                <w:rStyle w:val="IndexLink"/>
              </w:rPr>
              <w:t>4.1.1 Voraussetzungen</w:t>
              <w:tab/>
            </w:r>
            <w:r>
              <w:rPr>
                <w:webHidden/>
              </w:rPr>
              <w:fldChar w:fldCharType="begin"/>
            </w:r>
            <w:r>
              <w:rPr>
                <w:webHidden/>
              </w:rPr>
              <w:instrText xml:space="preserve">PAGEREF _Toc238102108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9">
            <w:r>
              <w:rPr>
                <w:rStyle w:val="IndexLink"/>
              </w:rPr>
              <w:t>4.1.2 Durchführung</w:t>
              <w:tab/>
            </w:r>
            <w:r>
              <w:rPr>
                <w:webHidden/>
              </w:rPr>
              <w:fldChar w:fldCharType="begin"/>
            </w:r>
            <w:r>
              <w:rPr>
                <w:webHidden/>
              </w:rPr>
              <w:instrText xml:space="preserve">PAGEREF _Toc238102109 \h</w:instrText>
            </w:r>
            <w:r>
              <w:rPr>
                <w:webHidden/>
              </w:rPr>
              <w:fldChar w:fldCharType="separate"/>
            </w:r>
            <w:r>
              <w:rPr>
                <w:rStyle w:val="IndexLink"/>
                <w:rFonts w:eastAsia="" w:eastAsiaTheme="minorEastAsia"/>
                <w:sz w:val="24"/>
                <w:szCs w:val="24"/>
                <w:lang w:eastAsia="de-DE"/>
              </w:rPr>
              <w:t>10</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0">
            <w:r>
              <w:rPr>
                <w:rStyle w:val="IndexLink"/>
              </w:rPr>
              <w:t>4.1.3 Ergebnisse</w:t>
              <w:tab/>
            </w:r>
            <w:r>
              <w:rPr>
                <w:webHidden/>
              </w:rPr>
              <w:fldChar w:fldCharType="begin"/>
            </w:r>
            <w:r>
              <w:rPr>
                <w:webHidden/>
              </w:rPr>
              <w:instrText xml:space="preserve">PAGEREF _Toc238102110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1">
            <w:r>
              <w:rPr>
                <w:rStyle w:val="IndexLink"/>
              </w:rPr>
              <w:t>4.2 Maßnahmenplanbewertung</w:t>
              <w:tab/>
            </w:r>
            <w:r>
              <w:rPr>
                <w:webHidden/>
              </w:rPr>
              <w:fldChar w:fldCharType="begin"/>
            </w:r>
            <w:r>
              <w:rPr>
                <w:webHidden/>
              </w:rPr>
              <w:instrText xml:space="preserve">PAGEREF _Toc238102111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2">
            <w:r>
              <w:rPr>
                <w:rStyle w:val="IndexLink"/>
              </w:rPr>
              <w:t>4.2.1 Voraussetzungen</w:t>
              <w:tab/>
            </w:r>
            <w:r>
              <w:rPr>
                <w:webHidden/>
              </w:rPr>
              <w:fldChar w:fldCharType="begin"/>
            </w:r>
            <w:r>
              <w:rPr>
                <w:webHidden/>
              </w:rPr>
              <w:instrText xml:space="preserve">PAGEREF _Toc238102112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3">
            <w:r>
              <w:rPr>
                <w:rStyle w:val="IndexLink"/>
              </w:rPr>
              <w:t>4.2.2 Durchführung</w:t>
              <w:tab/>
            </w:r>
            <w:r>
              <w:rPr>
                <w:webHidden/>
              </w:rPr>
              <w:fldChar w:fldCharType="begin"/>
            </w:r>
            <w:r>
              <w:rPr>
                <w:webHidden/>
              </w:rPr>
              <w:instrText xml:space="preserve">PAGEREF _Toc238102113 \h</w:instrText>
            </w:r>
            <w:r>
              <w:rPr>
                <w:webHidden/>
              </w:rPr>
              <w:fldChar w:fldCharType="separate"/>
            </w:r>
            <w:r>
              <w:rPr>
                <w:rStyle w:val="IndexLink"/>
                <w:rFonts w:eastAsia="" w:eastAsiaTheme="minorEastAsia"/>
                <w:sz w:val="24"/>
                <w:szCs w:val="24"/>
                <w:lang w:eastAsia="de-DE"/>
              </w:rPr>
              <w:t>16</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4">
            <w:r>
              <w:rPr>
                <w:rStyle w:val="IndexLink"/>
              </w:rPr>
              <w:t>4.2.3 Ergebnisse</w:t>
              <w:tab/>
            </w:r>
            <w:r>
              <w:rPr>
                <w:webHidden/>
              </w:rPr>
              <w:fldChar w:fldCharType="begin"/>
            </w:r>
            <w:r>
              <w:rPr>
                <w:webHidden/>
              </w:rPr>
              <w:instrText xml:space="preserve">PAGEREF _Toc238102114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5">
            <w:r>
              <w:rPr>
                <w:rStyle w:val="IndexLink"/>
              </w:rPr>
              <w:t>4.3 Follow-Up</w:t>
              <w:tab/>
            </w:r>
            <w:r>
              <w:rPr>
                <w:webHidden/>
              </w:rPr>
              <w:fldChar w:fldCharType="begin"/>
            </w:r>
            <w:r>
              <w:rPr>
                <w:webHidden/>
              </w:rPr>
              <w:instrText xml:space="preserve">PAGEREF _Toc238102115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6">
            <w:r>
              <w:rPr>
                <w:rStyle w:val="IndexLink"/>
              </w:rPr>
              <w:t>4.3.1 Voraussetzungen</w:t>
              <w:tab/>
            </w:r>
            <w:r>
              <w:rPr>
                <w:webHidden/>
              </w:rPr>
              <w:fldChar w:fldCharType="begin"/>
            </w:r>
            <w:r>
              <w:rPr>
                <w:webHidden/>
              </w:rPr>
              <w:instrText xml:space="preserve">PAGEREF _Toc238102116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7">
            <w:r>
              <w:rPr>
                <w:rStyle w:val="IndexLink"/>
              </w:rPr>
              <w:t>4.3.2 Durchführung</w:t>
              <w:tab/>
            </w:r>
            <w:r>
              <w:rPr>
                <w:webHidden/>
              </w:rPr>
              <w:fldChar w:fldCharType="begin"/>
            </w:r>
            <w:r>
              <w:rPr>
                <w:webHidden/>
              </w:rPr>
              <w:instrText xml:space="preserve">PAGEREF _Toc238102117 \h</w:instrText>
            </w:r>
            <w:r>
              <w:rPr>
                <w:webHidden/>
              </w:rPr>
              <w:fldChar w:fldCharType="separate"/>
            </w:r>
            <w:r>
              <w:rPr>
                <w:rStyle w:val="IndexLink"/>
                <w:rFonts w:eastAsia="" w:eastAsiaTheme="minorEastAsia"/>
                <w:sz w:val="24"/>
                <w:szCs w:val="24"/>
                <w:lang w:eastAsia="de-DE"/>
              </w:rPr>
              <w:t>18</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8">
            <w:r>
              <w:rPr>
                <w:rStyle w:val="IndexLink"/>
              </w:rPr>
              <w:t>4.3.3 Ergebnisse</w:t>
              <w:tab/>
            </w:r>
            <w:r>
              <w:rPr>
                <w:webHidden/>
              </w:rPr>
              <w:fldChar w:fldCharType="begin"/>
            </w:r>
            <w:r>
              <w:rPr>
                <w:webHidden/>
              </w:rPr>
              <w:instrText xml:space="preserve">PAGEREF _Toc238102118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9">
            <w:r>
              <w:rPr>
                <w:rStyle w:val="IndexLink"/>
              </w:rPr>
              <w:t>4.4 Risikobasierte Überwachungsprüfung</w:t>
              <w:tab/>
            </w:r>
            <w:r>
              <w:rPr>
                <w:webHidden/>
              </w:rPr>
              <w:fldChar w:fldCharType="begin"/>
            </w:r>
            <w:r>
              <w:rPr>
                <w:webHidden/>
              </w:rPr>
              <w:instrText xml:space="preserve">PAGEREF _Toc238102119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0">
            <w:r>
              <w:rPr>
                <w:rStyle w:val="IndexLink"/>
              </w:rPr>
              <w:t>4.4.1 Voraussetzungen</w:t>
              <w:tab/>
            </w:r>
            <w:r>
              <w:rPr>
                <w:webHidden/>
              </w:rPr>
              <w:fldChar w:fldCharType="begin"/>
            </w:r>
            <w:r>
              <w:rPr>
                <w:webHidden/>
              </w:rPr>
              <w:instrText xml:space="preserve">PAGEREF _Toc238102120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1">
            <w:r>
              <w:rPr>
                <w:rStyle w:val="IndexLink"/>
              </w:rPr>
              <w:t>4.4.2 Durchführung</w:t>
              <w:tab/>
            </w:r>
            <w:r>
              <w:rPr>
                <w:webHidden/>
              </w:rPr>
              <w:fldChar w:fldCharType="begin"/>
            </w:r>
            <w:r>
              <w:rPr>
                <w:webHidden/>
              </w:rPr>
              <w:instrText xml:space="preserve">PAGEREF _Toc238102121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2">
            <w:r>
              <w:rPr>
                <w:rStyle w:val="IndexLink"/>
              </w:rPr>
              <w:t>4.4.3 Ergebnisse</w:t>
              <w:tab/>
            </w:r>
            <w:r>
              <w:rPr>
                <w:webHidden/>
              </w:rPr>
              <w:fldChar w:fldCharType="begin"/>
            </w:r>
            <w:r>
              <w:rPr>
                <w:webHidden/>
              </w:rPr>
              <w:instrText xml:space="preserve">PAGEREF _Toc238102122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23">
            <w:r>
              <w:rPr>
                <w:rStyle w:val="IndexLink"/>
              </w:rPr>
              <w:t>5 Besondere Prüfarten</w:t>
              <w:tab/>
            </w:r>
            <w:r>
              <w:rPr>
                <w:webHidden/>
              </w:rPr>
              <w:fldChar w:fldCharType="begin"/>
            </w:r>
            <w:r>
              <w:rPr>
                <w:webHidden/>
              </w:rPr>
              <w:instrText xml:space="preserve">PAGEREF _Toc238102123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4">
            <w:r>
              <w:rPr>
                <w:rStyle w:val="IndexLink"/>
              </w:rPr>
              <w:t>5.1 Erweiterungsprüfung</w:t>
              <w:tab/>
            </w:r>
            <w:r>
              <w:rPr>
                <w:webHidden/>
              </w:rPr>
              <w:fldChar w:fldCharType="begin"/>
            </w:r>
            <w:r>
              <w:rPr>
                <w:webHidden/>
              </w:rPr>
              <w:instrText xml:space="preserve">PAGEREF _Toc238102124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5">
            <w:r>
              <w:rPr>
                <w:rStyle w:val="IndexLink"/>
              </w:rPr>
              <w:t>5.1.1 Voraussetzungen</w:t>
              <w:tab/>
            </w:r>
            <w:r>
              <w:rPr>
                <w:webHidden/>
              </w:rPr>
              <w:fldChar w:fldCharType="begin"/>
            </w:r>
            <w:r>
              <w:rPr>
                <w:webHidden/>
              </w:rPr>
              <w:instrText xml:space="preserve">PAGEREF _Toc238102125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6">
            <w:r>
              <w:rPr>
                <w:rStyle w:val="IndexLink"/>
              </w:rPr>
              <w:t>5.1.2 Durchführung</w:t>
              <w:tab/>
            </w:r>
            <w:r>
              <w:rPr>
                <w:webHidden/>
              </w:rPr>
              <w:fldChar w:fldCharType="begin"/>
            </w:r>
            <w:r>
              <w:rPr>
                <w:webHidden/>
              </w:rPr>
              <w:instrText xml:space="preserve">PAGEREF _Toc238102126 \h</w:instrText>
            </w:r>
            <w:r>
              <w:rPr>
                <w:webHidden/>
              </w:rPr>
              <w:fldChar w:fldCharType="separate"/>
            </w:r>
            <w:r>
              <w:rPr>
                <w:rStyle w:val="IndexLink"/>
                <w:rFonts w:eastAsia="" w:eastAsiaTheme="minorEastAsia"/>
                <w:sz w:val="24"/>
                <w:szCs w:val="24"/>
                <w:lang w:eastAsia="de-DE"/>
              </w:rPr>
              <w:t>22</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7">
            <w:r>
              <w:rPr>
                <w:rStyle w:val="IndexLink"/>
              </w:rPr>
              <w:t>5.1.3 Ergebnisse</w:t>
              <w:tab/>
            </w:r>
            <w:r>
              <w:rPr>
                <w:webHidden/>
              </w:rPr>
              <w:fldChar w:fldCharType="begin"/>
            </w:r>
            <w:r>
              <w:rPr>
                <w:webHidden/>
              </w:rPr>
              <w:instrText xml:space="preserve">PAGEREF _Toc238102127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8">
            <w:r>
              <w:rPr>
                <w:rStyle w:val="IndexLink"/>
              </w:rPr>
              <w:t>5.2 Erneute Prüfung</w:t>
              <w:tab/>
            </w:r>
            <w:r>
              <w:rPr>
                <w:webHidden/>
              </w:rPr>
              <w:fldChar w:fldCharType="begin"/>
            </w:r>
            <w:r>
              <w:rPr>
                <w:webHidden/>
              </w:rPr>
              <w:instrText xml:space="preserve">PAGEREF _Toc238102128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9">
            <w:r>
              <w:rPr>
                <w:rStyle w:val="IndexLink"/>
              </w:rPr>
              <w:t>5.3 Prüfung mehrerer Standorte (Multi-Site)</w:t>
              <w:tab/>
            </w:r>
            <w:r>
              <w:rPr>
                <w:webHidden/>
              </w:rPr>
              <w:fldChar w:fldCharType="begin"/>
            </w:r>
            <w:r>
              <w:rPr>
                <w:webHidden/>
              </w:rPr>
              <w:instrText xml:space="preserve">PAGEREF _Toc238102129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30">
            <w:r>
              <w:rPr>
                <w:rStyle w:val="IndexLink"/>
              </w:rPr>
              <w:t>6 Bewertung, Prüfergebnis und Freigabe</w:t>
              <w:tab/>
            </w:r>
            <w:r>
              <w:rPr>
                <w:webHidden/>
              </w:rPr>
              <w:fldChar w:fldCharType="begin"/>
            </w:r>
            <w:r>
              <w:rPr>
                <w:webHidden/>
              </w:rPr>
              <w:instrText xml:space="preserve">PAGEREF _Toc238102130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1">
            <w:r>
              <w:rPr>
                <w:rStyle w:val="IndexLink"/>
              </w:rPr>
              <w:t>6.1 Reifegrad und Security Score</w:t>
              <w:tab/>
            </w:r>
            <w:r>
              <w:rPr>
                <w:webHidden/>
              </w:rPr>
              <w:fldChar w:fldCharType="begin"/>
            </w:r>
            <w:r>
              <w:rPr>
                <w:webHidden/>
              </w:rPr>
              <w:instrText xml:space="preserve">PAGEREF _Toc238102131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2">
            <w:r>
              <w:rPr>
                <w:rStyle w:val="IndexLink"/>
              </w:rPr>
              <w:t>6.2 Feststellungsarten</w:t>
              <w:tab/>
            </w:r>
            <w:r>
              <w:rPr>
                <w:webHidden/>
              </w:rPr>
              <w:fldChar w:fldCharType="begin"/>
            </w:r>
            <w:r>
              <w:rPr>
                <w:webHidden/>
              </w:rPr>
              <w:instrText xml:space="preserve">PAGEREF _Toc238102132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3">
            <w:r>
              <w:rPr>
                <w:rStyle w:val="IndexLink"/>
              </w:rPr>
              <w:t>6.3 Prüfergebnisse</w:t>
              <w:tab/>
            </w:r>
            <w:r>
              <w:rPr>
                <w:webHidden/>
              </w:rPr>
              <w:fldChar w:fldCharType="begin"/>
            </w:r>
            <w:r>
              <w:rPr>
                <w:webHidden/>
              </w:rPr>
              <w:instrText xml:space="preserve">PAGEREF _Toc238102133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4">
            <w:r>
              <w:rPr>
                <w:rStyle w:val="IndexLink"/>
              </w:rPr>
              <w:t>6.4 Freigabearten</w:t>
              <w:tab/>
            </w:r>
            <w:r>
              <w:rPr>
                <w:webHidden/>
              </w:rPr>
              <w:fldChar w:fldCharType="begin"/>
            </w:r>
            <w:r>
              <w:rPr>
                <w:webHidden/>
              </w:rPr>
              <w:instrText xml:space="preserve">PAGEREF _Toc238102134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5">
            <w:r>
              <w:rPr>
                <w:rStyle w:val="IndexLink"/>
              </w:rPr>
              <w:t>6.5 Einspruch und Beschwerde</w:t>
              <w:tab/>
            </w:r>
            <w:r>
              <w:rPr>
                <w:webHidden/>
              </w:rPr>
              <w:fldChar w:fldCharType="begin"/>
            </w:r>
            <w:r>
              <w:rPr>
                <w:webHidden/>
              </w:rPr>
              <w:instrText xml:space="preserve">PAGEREF _Toc238102135 \h</w:instrText>
            </w:r>
            <w:r>
              <w:rPr>
                <w:webHidden/>
              </w:rPr>
              <w:fldChar w:fldCharType="separate"/>
            </w:r>
            <w:r>
              <w:rPr>
                <w:rStyle w:val="IndexLink"/>
                <w:rFonts w:eastAsia="" w:eastAsiaTheme="minorEastAsia"/>
                <w:sz w:val="24"/>
                <w:szCs w:val="24"/>
                <w:lang w:eastAsia="de-DE"/>
              </w:rPr>
              <w:t>25</w:t>
            </w:r>
            <w:r>
              <w:rPr>
                <w:webHidden/>
              </w:rPr>
              <w:fldChar w:fldCharType="end"/>
            </w:r>
          </w:hyperlink>
          <w:r>
            <w:rPr>
              <w:rStyle w:val="IndexLink"/>
              <w:sz w:val="24"/>
              <w:szCs w:val="24"/>
              <w:rFonts w:eastAsia=""/>
              <w:lang w:eastAsia="de-DE"/>
            </w:rPr>
            <w:fldChar w:fldCharType="end"/>
          </w:r>
        </w:p>
      </w:sdtContent>
    </w:sdt>
    <w:p>
      <w:pPr>
        <w:pStyle w:val="TOC1"/>
        <w:spacing w:before="0" w:after="100"/>
        <w:rPr/>
      </w:pPr>
      <w:r>
        <w:rPr/>
      </w:r>
    </w:p>
    <w:p>
      <w:pPr>
        <w:pStyle w:val="Normal"/>
        <w:rPr/>
      </w:pPr>
      <w:r>
        <w:rPr/>
      </w:r>
      <w:r>
        <w:br w:type="page"/>
      </w:r>
    </w:p>
    <w:p>
      <w:pPr>
        <w:pStyle w:val="Heading1"/>
        <w:spacing w:before="0" w:after="200"/>
        <w:rPr/>
      </w:pPr>
      <w:bookmarkStart w:id="2" w:name="_Toc235445509"/>
      <w:bookmarkStart w:id="3" w:name="_Toc238102094"/>
      <w:r>
        <w:rPr/>
        <w:t>Revisionshistorie</w:t>
      </w:r>
      <w:bookmarkEnd w:id="2"/>
      <w:bookmarkEnd w:id="3"/>
    </w:p>
    <w:p>
      <w:pPr>
        <w:pStyle w:val="Normal"/>
        <w:spacing w:before="0" w:after="60"/>
        <w:rPr/>
      </w:pPr>
      <w:r>
        <w:rPr/>
      </w:r>
    </w:p>
    <w:tbl>
      <w:tblPr>
        <w:tblStyle w:val="Tabellenraster"/>
        <w:tblW w:w="936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1199"/>
        <w:gridCol w:w="1200"/>
        <w:gridCol w:w="1601"/>
        <w:gridCol w:w="3000"/>
        <w:gridCol w:w="2360"/>
      </w:tblGrid>
      <w:tr>
        <w:trPr>
          <w:tblHeader w:val="true"/>
          <w:cantSplit w:val="true"/>
        </w:trPr>
        <w:tc>
          <w:tcPr>
            <w:tcW w:w="1199"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Version</w:t>
            </w:r>
          </w:p>
        </w:tc>
        <w:tc>
          <w:tcPr>
            <w:tcW w:w="12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Datum</w:t>
            </w:r>
          </w:p>
        </w:tc>
        <w:tc>
          <w:tcPr>
            <w:tcW w:w="1601"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Erstellt von</w:t>
            </w:r>
          </w:p>
        </w:tc>
        <w:tc>
          <w:tcPr>
            <w:tcW w:w="30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Änderungsgrund</w:t>
            </w:r>
          </w:p>
        </w:tc>
        <w:tc>
          <w:tcPr>
            <w:tcW w:w="236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Freigabe durch</w:t>
            </w:r>
          </w:p>
        </w:tc>
      </w:tr>
      <w:tr>
        <w:trPr/>
        <w:tc>
          <w:tcPr>
            <w:tcW w:w="1199"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1.0</w:t>
            </w:r>
          </w:p>
        </w:tc>
        <w:tc>
          <w:tcPr>
            <w:tcW w:w="12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08/2026</w:t>
            </w:r>
          </w:p>
        </w:tc>
        <w:tc>
          <w:tcPr>
            <w:tcW w:w="1601"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Niclas Raimund</w:t>
            </w:r>
          </w:p>
        </w:tc>
        <w:tc>
          <w:tcPr>
            <w:tcW w:w="30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Initiale Erstellung der Prozessbeschreibung</w:t>
            </w:r>
          </w:p>
        </w:tc>
        <w:tc>
          <w:tcPr>
            <w:tcW w:w="236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XXX</w:t>
            </w:r>
          </w:p>
        </w:tc>
      </w:tr>
    </w:tbl>
    <w:p>
      <w:pPr>
        <w:pStyle w:val="Normal"/>
        <w:rPr/>
      </w:pPr>
      <w:r>
        <w:rPr/>
      </w:r>
      <w:r>
        <w:br w:type="page"/>
      </w:r>
    </w:p>
    <w:p>
      <w:pPr>
        <w:pStyle w:val="Heading1"/>
        <w:spacing w:before="0" w:after="200"/>
        <w:rPr/>
      </w:pPr>
      <w:bookmarkStart w:id="4" w:name="dokumentinformationen"/>
      <w:bookmarkStart w:id="5" w:name="_Toc238102095"/>
      <w:bookmarkEnd w:id="4"/>
      <w:r>
        <w:rPr/>
        <w:t>Dokumentinformationen</w:t>
      </w:r>
      <w:bookmarkEnd w:id="5"/>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614"/>
        <w:gridCol w:w="7343"/>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61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Merkmal</w:t>
            </w:r>
          </w:p>
        </w:tc>
        <w:tc>
          <w:tcPr>
            <w:tcW w:w="734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Angabe</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Titel</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 – Prozessbeschreibung des Prüfverfahrens (mit Einzelschritten)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Version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 Entwurf</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Grundlage</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CADIS®-Handbuch V1.0, CADIS®-Prüfkatalog V1.0 (Update 5), CADIS®-Prozessmodell</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Adressaten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CADIS®-Auditoren, CADIS®-Fachbereich, Hersteller/Auftraggeber</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Klassifizierung</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INTERN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Status</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Entwurf zur fachlichen Abstimmung</w:t>
            </w:r>
          </w:p>
        </w:tc>
      </w:tr>
    </w:tbl>
    <w:p>
      <w:pPr>
        <w:pStyle w:val="Heading1"/>
        <w:rPr/>
      </w:pPr>
      <w:bookmarkStart w:id="6" w:name="dokumentinformationen"/>
      <w:bookmarkStart w:id="7" w:name="_Toc238102096"/>
      <w:bookmarkEnd w:id="6"/>
      <w:r>
        <w:rPr/>
        <w:t>1 Einleitung</w:t>
      </w:r>
      <w:bookmarkEnd w:id="7"/>
    </w:p>
    <w:p>
      <w:pPr>
        <w:pStyle w:val="Heading2"/>
        <w:rPr/>
      </w:pPr>
      <w:bookmarkStart w:id="8" w:name="zweck"/>
      <w:bookmarkStart w:id="9" w:name="_Toc238102097"/>
      <w:bookmarkEnd w:id="8"/>
      <w:r>
        <w:rPr/>
        <w:t>1.1 Zweck</w:t>
      </w:r>
      <w:bookmarkEnd w:id="9"/>
    </w:p>
    <w:p>
      <w:pPr>
        <w:pStyle w:val="FirstParagraph"/>
        <w:rPr/>
      </w:pPr>
      <w:r>
        <w:rP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pPr>
        <w:pStyle w:val="Textkrper1"/>
        <w:rPr/>
      </w:pPr>
      <w:r>
        <w:rP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pPr>
        <w:pStyle w:val="Heading2"/>
        <w:rPr/>
      </w:pPr>
      <w:bookmarkStart w:id="10" w:name="zweck"/>
      <w:bookmarkStart w:id="11" w:name="_Toc238102098"/>
      <w:bookmarkStart w:id="12" w:name="geltungsbereich-und-abgrenzung"/>
      <w:bookmarkEnd w:id="10"/>
      <w:bookmarkEnd w:id="12"/>
      <w:r>
        <w:rPr/>
        <w:t>1.2 Geltungsbereich und Abgrenzung</w:t>
      </w:r>
      <w:bookmarkEnd w:id="11"/>
    </w:p>
    <w:p>
      <w:pPr>
        <w:pStyle w:val="FirstParagraph"/>
        <w:rPr/>
      </w:pPr>
      <w:r>
        <w:rPr/>
        <w:t>Das Dokument gilt für alle Prüfungen im Rahmen des CADIS®-Programms: Erstprüfungen, Maßnahmenplanbewertungen, Follow-Ups, risikobasierte Überwachungsprüfungen, Erweiterungsprüfungen und erneute Prüfungen.</w:t>
      </w:r>
    </w:p>
    <w:p>
      <w:pPr>
        <w:pStyle w:val="Textkrper1"/>
        <w:rPr/>
      </w:pPr>
      <w:r>
        <w:rPr/>
        <w:t>Nicht Gegenstand dieses Dokuments sind:</w:t>
      </w:r>
    </w:p>
    <w:p>
      <w:pPr>
        <w:pStyle w:val="Compact"/>
        <w:numPr>
          <w:ilvl w:val="0"/>
          <w:numId w:val="3"/>
        </w:numPr>
        <w:rPr/>
      </w:pPr>
      <w:r>
        <w:rPr/>
        <w:t>die inhaltlichen Anforderungen der Prüfmodule und Prüffragen (siehe CADIS®-Prüfkatalog),</w:t>
      </w:r>
    </w:p>
    <w:p>
      <w:pPr>
        <w:pStyle w:val="Compact"/>
        <w:numPr>
          <w:ilvl w:val="0"/>
          <w:numId w:val="3"/>
        </w:numPr>
        <w:rPr/>
      </w:pPr>
      <w:r>
        <w:rPr/>
        <w:t>die Berechnungssystematik des Security Score im Detail (siehe CADIS®-Handbuch, Kapitel 4.2),</w:t>
      </w:r>
    </w:p>
    <w:p>
      <w:pPr>
        <w:pStyle w:val="Compact"/>
        <w:numPr>
          <w:ilvl w:val="0"/>
          <w:numId w:val="3"/>
        </w:numPr>
        <w:rPr/>
      </w:pPr>
      <w:r>
        <w:rPr/>
        <w:t>die Qualifikationsanforderungen an Auditoren (siehe CADIS®-Handbuch, Kapitel 5),</w:t>
      </w:r>
    </w:p>
    <w:p>
      <w:pPr>
        <w:pStyle w:val="Compact"/>
        <w:numPr>
          <w:ilvl w:val="0"/>
          <w:numId w:val="3"/>
        </w:numPr>
        <w:rPr/>
      </w:pPr>
      <w:r>
        <w:rPr/>
        <w:t>das Prüfmodul Geheimschutz, das nicht durch die DEKRA, sondern ausschließlich durch den Hersteller/Auftraggeber geprüft wird und nicht in Security Score, Prüfergebnis und Freigabe einfließt (siehe CADIS®-Handbuch, Kapitel 4.3.1),</w:t>
      </w:r>
    </w:p>
    <w:p>
      <w:pPr>
        <w:pStyle w:val="Compact"/>
        <w:numPr>
          <w:ilvl w:val="0"/>
          <w:numId w:val="3"/>
        </w:numPr>
        <w:rPr/>
      </w:pPr>
      <w:r>
        <w:rPr/>
        <w:t>die Besonderheiten der Multi-Site-Prüfung (siehe CADIS®-Handbuch, Kapitel 11; hier nur als Verweis abgebildet).</w:t>
      </w:r>
    </w:p>
    <w:p>
      <w:pPr>
        <w:pStyle w:val="Compact"/>
        <w:ind w:left="240"/>
        <w:rPr/>
      </w:pPr>
      <w:r>
        <w:rPr/>
      </w:r>
    </w:p>
    <w:p>
      <w:pPr>
        <w:pStyle w:val="FirstParagraph"/>
        <w:rPr/>
      </w:pPr>
      <w:r>
        <w:rPr/>
        <w:t>Bei Abweichungen zwischen diesem Dokument und dem CADIS®-Handbuch gilt das CADIS®-Handbuch.</w:t>
      </w:r>
    </w:p>
    <w:p>
      <w:pPr>
        <w:pStyle w:val="Heading2"/>
        <w:rPr/>
      </w:pPr>
      <w:bookmarkStart w:id="13" w:name="geltungsbereich-und-abgrenzung"/>
      <w:bookmarkStart w:id="14" w:name="aufbau-des-dokuments"/>
      <w:bookmarkStart w:id="15" w:name="_Toc238102099"/>
      <w:bookmarkEnd w:id="13"/>
      <w:bookmarkEnd w:id="14"/>
      <w:r>
        <w:rPr/>
        <w:t>1.3 Aufbau des Dokuments</w:t>
      </w:r>
      <w:bookmarkEnd w:id="15"/>
    </w:p>
    <w:p>
      <w:pPr>
        <w:pStyle w:val="FirstParagraph"/>
        <w:rPr/>
      </w:pPr>
      <w:r>
        <w:rP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pPr>
        <w:pStyle w:val="Textkrper1"/>
        <w:rPr/>
      </w:pPr>
      <w:r>
        <w:rPr/>
        <w:t>Jede Prüfart in den Kapiteln 4 und 5 folgt derselben Gliederung:</w:t>
      </w:r>
    </w:p>
    <w:p>
      <w:pPr>
        <w:pStyle w:val="Compact"/>
        <w:numPr>
          <w:ilvl w:val="0"/>
          <w:numId w:val="12"/>
        </w:numPr>
        <w:rPr/>
      </w:pPr>
      <w:r>
        <w:rPr>
          <w:b/>
          <w:bCs/>
        </w:rPr>
        <w:t>Voraussetzungen</w:t>
      </w:r>
      <w:r>
        <w:rPr/>
        <w:t xml:space="preserve"> – was erfüllt sein muss, damit die Prüfart durchgeführt werden darf,</w:t>
      </w:r>
    </w:p>
    <w:p>
      <w:pPr>
        <w:pStyle w:val="Compact"/>
        <w:numPr>
          <w:ilvl w:val="0"/>
          <w:numId w:val="13"/>
        </w:numPr>
        <w:rPr/>
      </w:pPr>
      <w:r>
        <w:rPr>
          <w:b/>
          <w:bCs/>
        </w:rPr>
        <w:t>Durchführung</w:t>
      </w:r>
      <w:r>
        <w:rPr/>
        <w:t xml:space="preserve"> – der Ablauf als Abbildung und als Folge einzelner Prozessschritte,</w:t>
      </w:r>
    </w:p>
    <w:p>
      <w:pPr>
        <w:pStyle w:val="Compact"/>
        <w:numPr>
          <w:ilvl w:val="0"/>
          <w:numId w:val="14"/>
        </w:numPr>
        <w:rPr/>
      </w:pPr>
      <w:r>
        <w:rPr>
          <w:b/>
          <w:bCs/>
        </w:rPr>
        <w:t>Ergebnisse</w:t>
      </w:r>
      <w:r>
        <w:rPr/>
        <w:t xml:space="preserve"> – welche Dokumente und Statusänderungen entstehen.</w:t>
      </w:r>
    </w:p>
    <w:p>
      <w:pPr>
        <w:pStyle w:val="Compact"/>
        <w:ind w:left="720"/>
        <w:rPr/>
      </w:pPr>
      <w:r>
        <w:rPr/>
      </w:r>
    </w:p>
    <w:p>
      <w:pPr>
        <w:pStyle w:val="FirstParagraph"/>
        <w:rPr/>
      </w:pPr>
      <w:r>
        <w:rPr/>
        <w:t>Die Prozessschritte sind fortlaufend nummeriert und mit einem Präfix je Prüfart gekennzeichnet: Erstprüfung ohne Präfix (01–12), Maßnahmenplanbewertung „M“, Follow-Up „F“, Überwachungsprüfung „Ü“, Erweiterungsprüfung „E“.</w:t>
      </w:r>
    </w:p>
    <w:p>
      <w:pPr>
        <w:pStyle w:val="FirstParagraph"/>
        <w:rPr/>
      </w:pPr>
      <w:r>
        <w:rPr/>
      </w:r>
      <w:bookmarkStart w:id="16" w:name="aufbau-des-dokuments"/>
      <w:bookmarkStart w:id="17" w:name="verwendung-der-schlüsselwörter"/>
      <w:bookmarkStart w:id="18" w:name="aufbau-des-dokuments"/>
      <w:bookmarkStart w:id="19" w:name="verwendung-der-schlüsselwörter"/>
      <w:bookmarkEnd w:id="18"/>
      <w:bookmarkEnd w:id="19"/>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Heading1"/>
        <w:rPr/>
      </w:pPr>
      <w:bookmarkStart w:id="20" w:name="verwendung-der-schlüsselwörter"/>
      <w:bookmarkStart w:id="21" w:name="rollen-im-prüfverfahren"/>
      <w:bookmarkStart w:id="22" w:name="_Toc238102100"/>
      <w:bookmarkEnd w:id="20"/>
      <w:bookmarkEnd w:id="21"/>
      <w:r>
        <w:rPr/>
        <w:t>2 Rollen im Prüfverfahren</w:t>
      </w:r>
      <w:bookmarkEnd w:id="22"/>
    </w:p>
    <w:p>
      <w:pPr>
        <w:pStyle w:val="Heading2"/>
        <w:rPr/>
      </w:pPr>
      <w:bookmarkStart w:id="23" w:name="übersicht-der-rollen"/>
      <w:bookmarkStart w:id="24" w:name="_Toc238102101"/>
      <w:bookmarkEnd w:id="23"/>
      <w:r>
        <w:rPr/>
        <w:t>2.1 Übersicht der Rollen</w:t>
      </w:r>
      <w:bookmarkEnd w:id="24"/>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846"/>
        <w:gridCol w:w="7111"/>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84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711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Aufgaben und Verantwortung</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Hersteller / Auftraggeber</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Führt die Supplier Criticality Evaluation (SCE) durch, leitet LoE, Prüfmodule und Sonderanforderungen ab und erstellt den Scope-Entwurf. Stimmt Ausschlüssen aus dem Prüfscope ausdrücklich zu.</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 die Prüfung, bestätigt den Prüfscope, erstellt die Selbsteinschätzung im CADIS®-Prüfkatalog, stellt Nachweise bereit, wirkt an Interview und Vor-Ort-Prüfung mit, erstellt den Maßnahmenplan und setzt Korrekturmaßnahmen um.</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CADIS®-Fachbereich (DEKRA)</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Nimmt Aufträge an, weist Auditoren zu, erstellt die Prüfberichte und führt deren Qualitätssicherung durch, pflegt die CADIS®-Datenbank, erteilt Freigaben, überwacht Fristen und bearbeitet Einsprüche und Beschwerden.</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 Auditteam</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pPr>
        <w:pStyle w:val="Heading2"/>
        <w:rPr/>
      </w:pPr>
      <w:bookmarkStart w:id="25" w:name="übersicht-der-rollen"/>
      <w:bookmarkStart w:id="26" w:name="_Toc238102102"/>
      <w:bookmarkEnd w:id="25"/>
      <w:r>
        <w:rPr/>
        <w:t>2.2 Mindestbeteiligung je Level of Examination</w:t>
      </w:r>
      <w:bookmarkEnd w:id="26"/>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78"/>
        <w:gridCol w:w="2174"/>
        <w:gridCol w:w="2416"/>
        <w:gridCol w:w="258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7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217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1</w:t>
            </w:r>
          </w:p>
        </w:tc>
        <w:tc>
          <w:tcPr>
            <w:tcW w:w="241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2</w:t>
            </w:r>
          </w:p>
        </w:tc>
        <w:tc>
          <w:tcPr>
            <w:tcW w:w="258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3</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(Lead)</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(Interview)</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Weitere Auditoren / Fachexperten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 modulabhängig</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erforderlich, wenn Module nicht durch den Lead Auditor abgedeckt sind</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Selbsteinschätzung, Kick-Off, Closing</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Interviewteilnahme der verantwortlichen Funktionen</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Bereitstellung von Ansprechpartnern und Begehungszugang am Standort</w:t>
            </w:r>
          </w:p>
        </w:tc>
      </w:tr>
    </w:tbl>
    <w:p>
      <w:pPr>
        <w:pStyle w:val="Textkrper1"/>
        <w:rPr/>
      </w:pPr>
      <w:r>
        <w:rPr/>
      </w:r>
    </w:p>
    <w:p>
      <w:pPr>
        <w:pStyle w:val="Textkrper1"/>
        <w:rPr/>
      </w:pPr>
      <w:r>
        <w:rPr/>
        <w:t>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Heading2"/>
        <w:rPr/>
      </w:pPr>
      <w:r>
        <w:rPr/>
        <w:t>2.3 Zusammenarbeit im Auditteam</w:t>
      </w:r>
    </w:p>
    <w:p>
      <w:pPr>
        <w:pStyle w:val="Textkrper1"/>
        <w:rPr/>
      </w:pPr>
      <w:r>
        <w:rPr/>
        <w:t>Wird ein Auditteam gebildet, gelten für die Zusammenarbeit die folgenden Regeln.</w:t>
      </w:r>
    </w:p>
    <w:p>
      <w:pPr>
        <w:pStyle w:val="Textkrper1"/>
        <w:rPr/>
      </w:pPr>
      <w:r>
        <w:rPr>
          <w:b/>
          <w:bCs/>
        </w:rPr>
        <w:t xml:space="preserve">Rollen im Team: </w:t>
      </w:r>
      <w:r>
        <w:rPr/>
        <w:t>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p>
    <w:p>
      <w:pPr>
        <w:pStyle w:val="Textkrper1"/>
        <w:rPr/>
      </w:pPr>
      <w:r>
        <w:rPr>
          <w:b/>
          <w:bCs/>
        </w:rPr>
        <w:t xml:space="preserve">Aufteilung der Prüfmodule: </w:t>
      </w:r>
      <w:r>
        <w:rPr/>
        <w:t>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p>
    <w:p>
      <w:pPr>
        <w:pStyle w:val="Textkrper1"/>
        <w:rPr/>
      </w:pPr>
      <w:r>
        <w:rPr>
          <w:b/>
          <w:bCs/>
        </w:rPr>
        <w:t xml:space="preserve">Abstimmung während der Prüfung: </w:t>
      </w:r>
      <w:r>
        <w:rPr/>
        <w:t>Das Auditteam stimmt sich vor Phase 1, vor Phase 2 und am Ende der Phase 2 zur Vorbereitung des Closing Meetings ab. Querschnittsthemen werden gemeinsam bewertet, damit Reifegrade und Feststellungen über alle Prüfmodule hinweg konsistent sind.</w:t>
      </w:r>
    </w:p>
    <w:p>
      <w:pPr>
        <w:pStyle w:val="Textkrper1"/>
        <w:rPr/>
      </w:pPr>
      <w:r>
        <w:rPr>
          <w:b/>
          <w:bCs/>
        </w:rPr>
        <w:t xml:space="preserve">Konsolidierung und Entscheidung: </w:t>
      </w:r>
      <w:r>
        <w:rPr/>
        <w:t>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p>
    <w:p>
      <w:pPr>
        <w:pStyle w:val="Textkrper1"/>
        <w:rPr/>
      </w:pPr>
      <w:r>
        <w:rPr>
          <w:b/>
          <w:bCs/>
        </w:rPr>
        <w:t xml:space="preserve">Kommunikation nach außen: </w:t>
      </w:r>
      <w:r>
        <w:rPr/>
        <w:t>Das geprüfte Unternehmen kommuniziert ausschließlich mit dem Lead Auditor; Feststellungen werden nur durch den Lead Auditor mitgeteilt. Der Lead Auditor führt das Closing Meeting; die modulverantwortlichen Auditoren nehmen teil, soweit ihre Prüfmodule betroffen sind.</w:t>
      </w:r>
    </w:p>
    <w:p>
      <w:pPr>
        <w:pStyle w:val="Textkrper1"/>
        <w:rPr/>
      </w:pPr>
      <w:r>
        <w:rPr>
          <w:b/>
          <w:bCs/>
        </w:rPr>
        <w:t xml:space="preserve">Maßnahmenplan und Unterlagen: </w:t>
      </w:r>
      <w:r>
        <w:rPr/>
        <w:t>Die Maßnahmenplanbewertung erfolgt durch den Lead Auditor mit Zuarbeit der modulverantwortlichen Auditoren. Die Unterlagen für die Veto-Prüfung beziehungsweise bei Auditabbruch übermittelt der Lead Auditor (Schritt 11, Schritt 07).</w:t>
      </w:r>
    </w:p>
    <w:p>
      <w:pPr>
        <w:pStyle w:val="Textkrper1"/>
        <w:rPr/>
      </w:pPr>
      <w:r>
        <w:rPr>
          <w:b/>
          <w:bCs/>
        </w:rPr>
        <w:t xml:space="preserve">Folgeprüfungen und Ausfall: </w:t>
      </w:r>
      <w:r>
        <w:rPr/>
        <w:t>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p>
    <w:p>
      <w:pPr>
        <w:pStyle w:val="Heading1"/>
        <w:rPr/>
      </w:pPr>
      <w:bookmarkStart w:id="27" w:name="rollen-im-prüfverfahren"/>
      <w:bookmarkStart w:id="28" w:name="das-prüfverfahren-im-überblick"/>
      <w:bookmarkStart w:id="29" w:name="_Toc238102103"/>
      <w:bookmarkEnd w:id="27"/>
      <w:bookmarkEnd w:id="28"/>
      <w:r>
        <w:rPr/>
        <w:t>3 Das Prüfverfahren im Überblick</w:t>
      </w:r>
      <w:bookmarkEnd w:id="29"/>
    </w:p>
    <w:p>
      <w:pPr>
        <w:pStyle w:val="Heading2"/>
        <w:rPr/>
      </w:pPr>
      <w:bookmarkStart w:id="30" w:name="prüfzyklus"/>
      <w:bookmarkStart w:id="31" w:name="_Toc238102104"/>
      <w:bookmarkEnd w:id="30"/>
      <w:r>
        <w:rPr/>
        <w:t>3.1 Prüfzyklus</w:t>
      </w:r>
      <w:bookmarkEnd w:id="31"/>
    </w:p>
    <w:p>
      <w:pPr>
        <w:pStyle w:val="FirstParagraph"/>
        <w:rPr/>
      </w:pPr>
      <w:r>
        <w:rP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pPr>
        <w:pStyle w:val="Textkrper1"/>
        <w:rPr/>
      </w:pPr>
      <w:r>
        <w:rPr/>
        <w:t>Erstprüfung, Follow-Up, risikobasierte Überwachungsprüfung und Erweiterungsprüfung werden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pPr>
        <w:pStyle w:val="CaptionedFigure"/>
        <w:rPr/>
      </w:pPr>
      <w:r>
        <w:rPr/>
        <w:drawing>
          <wp:inline distT="0" distB="0" distL="0" distR="0">
            <wp:extent cx="5676900" cy="2620010"/>
            <wp:effectExtent l="0" t="0" r="0" b="0"/>
            <wp:docPr id="5" name="Picture" descr="Abbildung 1: Prüfzyklus und Abfolge der Prüfar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Abbildung 1: Prüfzyklus und Abfolge der Prüfarten"/>
                    <pic:cNvPicPr>
                      <a:picLocks noChangeAspect="1" noChangeArrowheads="1"/>
                    </pic:cNvPicPr>
                  </pic:nvPicPr>
                  <pic:blipFill>
                    <a:blip r:embed="rId3"/>
                    <a:stretch>
                      <a:fillRect/>
                    </a:stretch>
                  </pic:blipFill>
                  <pic:spPr bwMode="auto">
                    <a:xfrm>
                      <a:off x="0" y="0"/>
                      <a:ext cx="5676900" cy="2620010"/>
                    </a:xfrm>
                    <a:prstGeom prst="rect">
                      <a:avLst/>
                    </a:prstGeom>
                  </pic:spPr>
                </pic:pic>
              </a:graphicData>
            </a:graphic>
          </wp:inline>
        </w:drawing>
      </w:r>
    </w:p>
    <w:p>
      <w:pPr>
        <w:pStyle w:val="ImageCaption"/>
        <w:rPr/>
      </w:pPr>
      <w:r>
        <w:rPr/>
        <w:t>Abbildung 1: Prüfzyklus und Abfolge der Prüfarten</w:t>
      </w:r>
    </w:p>
    <w:p>
      <w:pPr>
        <w:pStyle w:val="Heading2"/>
        <w:rPr/>
      </w:pPr>
      <w:r>
        <w:rPr/>
      </w:r>
      <w:bookmarkStart w:id="32" w:name="prüfzyklus"/>
      <w:bookmarkStart w:id="33" w:name="fristen-im-überblick"/>
      <w:bookmarkStart w:id="34" w:name="_Toc238102105"/>
      <w:bookmarkStart w:id="35" w:name="prüfzyklus"/>
      <w:bookmarkStart w:id="36" w:name="fristen-im-überblick"/>
      <w:bookmarkStart w:id="37" w:name="_Toc238102105"/>
      <w:bookmarkEnd w:id="35"/>
      <w:bookmarkEnd w:id="36"/>
    </w:p>
    <w:p>
      <w:pPr>
        <w:pStyle w:val="Normal"/>
        <w:rPr/>
      </w:pPr>
      <w:r>
        <w:rPr/>
      </w:r>
    </w:p>
    <w:p>
      <w:pPr>
        <w:pStyle w:val="Normal"/>
        <w:rPr/>
      </w:pPr>
      <w:r>
        <w:rPr/>
      </w:r>
    </w:p>
    <w:p>
      <w:pPr>
        <w:pStyle w:val="Heading2"/>
        <w:rPr/>
      </w:pPr>
      <w:bookmarkStart w:id="38" w:name="_Toc238102105"/>
      <w:r>
        <w:rPr/>
        <w:t>3.2 Fristen im Überblick</w:t>
      </w:r>
      <w:bookmarkEnd w:id="38"/>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965"/>
        <w:gridCol w:w="59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9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Bezugspunkt</w:t>
            </w:r>
          </w:p>
        </w:tc>
        <w:tc>
          <w:tcPr>
            <w:tcW w:w="59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 bis erste Einreichung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14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Einreichungsversuche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3; danach Auditabbruch</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Verschiebung einer 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höchstens 6 Monate; hemmt keine Fristen; bei mehr als 3 Monaten erneute Scope-Bestätigung; sie hemmt auch das Toleranzfenster der Überwachungsprüfung nicht (CADIS®-Handbuch, Kapitel 6.10 und 6.13)</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Erneute Beauftragung nach Auditabbruch</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frühestens 3 Monate nach dem Abbruch (als neue Erstprüfung)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1 und LoE 2)</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2 bis 7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3)</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7 bis 21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Closing Meeting bis Einreichung Maßnahmenplan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Nachbesserung des Maßnahmenplans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weitere 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ab dem Closing Meeting; nach begründeter Herabstufung: aus Erst- oder Erweiterungsprüfung bis zur Überwachungsprüfung, in der Überwachungsprüfung insgesamt 6 Monate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nicht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 Erst- oder Erweiterungsprüfung: bis zur risikobasierten Überwachungsprüfung; neu in der Überwachungsprüfung festgestellt: 3 Monate ab dem Closing Meeting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Durchführung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Monate nach dem Closing Meeting der Erstprüfung; Toleranzfenster ± 6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Mitteilung der Prüffragen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spätestens 3 Monate vor der 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Einspruch gegen das Prüfergebnis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14 Kalendertage nach Zustellung des Prüfberichts</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Laufzeit der Freigabe</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2 Jahre ab dem Closing Meeting der Erstprüfung; ohne Überwachungsprüfung 12 Monate und 6 Wochen</w:t>
            </w:r>
          </w:p>
        </w:tc>
      </w:tr>
    </w:tbl>
    <w:p>
      <w:pPr>
        <w:pStyle w:val="FirstParagraph"/>
        <w:rPr/>
      </w:pPr>
      <w:r>
        <w:rP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Heading1"/>
        <w:rPr/>
      </w:pPr>
      <w:bookmarkStart w:id="39" w:name="das-prüfverfahren-im-überblick"/>
      <w:bookmarkStart w:id="40" w:name="fristen-im-überblick"/>
      <w:bookmarkStart w:id="41" w:name="standard-prüfarten"/>
      <w:bookmarkStart w:id="42" w:name="_Toc238102106"/>
      <w:bookmarkEnd w:id="39"/>
      <w:bookmarkEnd w:id="40"/>
      <w:bookmarkEnd w:id="41"/>
      <w:r>
        <w:rPr/>
        <w:t>4 Standard-Prüfarten</w:t>
      </w:r>
      <w:bookmarkEnd w:id="42"/>
    </w:p>
    <w:p>
      <w:pPr>
        <w:pStyle w:val="Heading2"/>
        <w:rPr/>
      </w:pPr>
      <w:bookmarkStart w:id="43" w:name="erstprüfung"/>
      <w:bookmarkStart w:id="44" w:name="_Toc238102107"/>
      <w:bookmarkEnd w:id="43"/>
      <w:r>
        <w:rPr/>
        <w:t>4.1 Erstprüfung</w:t>
      </w:r>
      <w:bookmarkEnd w:id="44"/>
    </w:p>
    <w:p>
      <w:pPr>
        <w:pStyle w:val="Heading3"/>
        <w:rPr>
          <w:lang w:val="de-DE"/>
        </w:rPr>
      </w:pPr>
      <w:bookmarkStart w:id="45" w:name="voraussetzungen"/>
      <w:bookmarkStart w:id="46" w:name="_Toc238102108"/>
      <w:bookmarkEnd w:id="45"/>
      <w:r>
        <w:rPr>
          <w:lang w:val="de-DE"/>
        </w:rPr>
        <w:t>4.1.1 Voraussetzungen</w:t>
      </w:r>
      <w:bookmarkEnd w:id="46"/>
    </w:p>
    <w:p>
      <w:pPr>
        <w:pStyle w:val="FirstParagraph"/>
        <w:rPr/>
      </w:pPr>
      <w:r>
        <w:rPr/>
        <w:t>Die Erstprüfung eröffnet den Prüfzyklus. Sie setzt keine vorangegangene CADIS®-Prüfung voraus. Vor dem Kick-Off müssen jedoch folgende Voraussetzungen erfüllt sein:</w:t>
      </w:r>
    </w:p>
    <w:p>
      <w:pPr>
        <w:pStyle w:val="Compact"/>
        <w:numPr>
          <w:ilvl w:val="0"/>
          <w:numId w:val="15"/>
        </w:numPr>
        <w:rPr/>
      </w:pPr>
      <w:r>
        <w:rPr/>
        <w:t>Das Ergebnis der Supplier Criticality Evaluation (SCE) liegt vor und ist in einen Scope-Entwurf überführt.</w:t>
      </w:r>
    </w:p>
    <w:p>
      <w:pPr>
        <w:pStyle w:val="Compact"/>
        <w:numPr>
          <w:ilvl w:val="0"/>
          <w:numId w:val="5"/>
        </w:numPr>
        <w:rPr/>
      </w:pPr>
      <w:r>
        <w:rPr/>
        <w:t>Die Prüfung ist durch das zu prüfende Unternehmen beauftragt und durch den CADIS®-Fachbereich angenommen.</w:t>
      </w:r>
    </w:p>
    <w:p>
      <w:pPr>
        <w:pStyle w:val="Compact"/>
        <w:numPr>
          <w:ilvl w:val="0"/>
          <w:numId w:val="5"/>
        </w:numPr>
        <w:rPr/>
      </w:pPr>
      <w:r>
        <w:rPr/>
        <w:t>Ein Auditor bzw. ein Auditteam ist zugewiesen, dessen Qualifikation alle Prüfmodule des Prüfscopes abdeckt.</w:t>
      </w:r>
    </w:p>
    <w:p>
      <w:pPr>
        <w:pStyle w:val="Compact"/>
        <w:numPr>
          <w:ilvl w:val="0"/>
          <w:numId w:val="5"/>
        </w:numPr>
        <w:rPr/>
      </w:pPr>
      <w:r>
        <w:rPr/>
        <w:t>Es liegt kein Interessenkonflikt vor.</w:t>
      </w:r>
    </w:p>
    <w:p>
      <w:pPr>
        <w:pStyle w:val="Compact"/>
        <w:widowControl/>
        <w:numPr>
          <w:ilvl w:val="0"/>
          <w:numId w:val="0"/>
        </w:numPr>
        <w:bidi w:val="0"/>
        <w:spacing w:lineRule="atLeast" w:line="280" w:before="0" w:after="40"/>
        <w:ind w:left="720"/>
        <w:contextualSpacing/>
        <w:jc w:val="left"/>
        <w:rPr/>
      </w:pPr>
      <w:r>
        <w:rPr/>
      </w:r>
    </w:p>
    <w:p>
      <w:pPr>
        <w:pStyle w:val="Blocktext1"/>
        <w:rPr/>
      </w:pPr>
      <w:r>
        <w:rPr>
          <w:b/>
          <w:bCs/>
        </w:rPr>
        <w:t>Wichtiger Hinweis: Ohne Bestätigung des Prüfscopes im Kick-Off (Schritt 04) darf die Einreichung des Prüfkatalogs (Schritt 06) und damit die Phase 1 nicht beginnen. Der Prüfscope umfasst mindestens die Standorte, das Level of Examination, die Prüfmodule sowie die geltenden Sonderanforderungen (Stufe 1–3). Die Prüfmodule und Prüfziele gelten einheitlich für alle Standorte des Prüfscopes.</w:t>
      </w:r>
    </w:p>
    <w:p>
      <w:pPr>
        <w:pStyle w:val="Heading3"/>
        <w:rPr>
          <w:lang w:val="de-DE"/>
        </w:rPr>
      </w:pPr>
      <w:bookmarkStart w:id="47" w:name="voraussetzungen"/>
      <w:bookmarkStart w:id="48" w:name="durchführung"/>
      <w:bookmarkStart w:id="49" w:name="_Toc238102109"/>
      <w:bookmarkEnd w:id="47"/>
      <w:bookmarkEnd w:id="48"/>
      <w:r>
        <w:rPr>
          <w:lang w:val="de-DE"/>
        </w:rPr>
        <w:t>4.1.2 Durchführung</w:t>
      </w:r>
      <w:bookmarkEnd w:id="49"/>
    </w:p>
    <w:p>
      <w:pPr>
        <w:pStyle w:val="FirstParagraph"/>
        <w:rPr/>
      </w:pPr>
      <w:r>
        <w:rP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pPr>
        <w:pStyle w:val="CaptionedFigure"/>
        <w:rPr/>
      </w:pPr>
      <w:r>
        <w:rPr/>
        <w:drawing>
          <wp:inline distT="0" distB="0" distL="0" distR="0">
            <wp:extent cx="5676900" cy="5080000"/>
            <wp:effectExtent l="0" t="0" r="0" b="0"/>
            <wp:docPr id="6" name="Image2" descr="Abbildung 2: Ablauf der Erst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bbildung 2: Ablauf der Erstprüfung"/>
                    <pic:cNvPicPr>
                      <a:picLocks noChangeAspect="1" noChangeArrowheads="1"/>
                    </pic:cNvPicPr>
                  </pic:nvPicPr>
                  <pic:blipFill>
                    <a:blip r:embed="rId4"/>
                    <a:stretch>
                      <a:fillRect/>
                    </a:stretch>
                  </pic:blipFill>
                  <pic:spPr bwMode="auto">
                    <a:xfrm>
                      <a:off x="0" y="0"/>
                      <a:ext cx="5676900" cy="5080000"/>
                    </a:xfrm>
                    <a:prstGeom prst="rect">
                      <a:avLst/>
                    </a:prstGeom>
                  </pic:spPr>
                </pic:pic>
              </a:graphicData>
            </a:graphic>
          </wp:inline>
        </w:drawing>
      </w:r>
    </w:p>
    <w:p>
      <w:pPr>
        <w:pStyle w:val="ImageCaption"/>
        <w:rPr/>
      </w:pPr>
      <w:r>
        <w:rPr/>
        <w:t>Abbildung 2: Ablauf der Erstprüfung</w:t>
      </w:r>
    </w:p>
    <w:p>
      <w:pPr>
        <w:pStyle w:val="Textkrper1"/>
        <w:rPr/>
      </w:pPr>
      <w:r>
        <w:rPr>
          <w:b/>
          <w:bCs/>
        </w:rPr>
        <w:t>Schritt 01: Supplier Criticality Evaluation und Scope-Entwurf</w:t>
      </w:r>
    </w:p>
    <w:p>
      <w:pPr>
        <w:pStyle w:val="Blocktext1"/>
        <w:rPr/>
      </w:pPr>
      <w:r>
        <w:rPr/>
        <w:t>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pPr>
        <w:pStyle w:val="Blocktext1"/>
        <w:rPr/>
      </w:pPr>
      <w:r>
        <w:rPr>
          <w:i/>
          <w:iCs/>
        </w:rPr>
        <w:t>Verantwortlich: Hersteller/Auftraggeber · Ergebnis: SCE-Ergebnis, Scope-Entwurf</w:t>
      </w:r>
    </w:p>
    <w:p>
      <w:pPr>
        <w:pStyle w:val="FirstParagraph"/>
        <w:rPr>
          <w:b/>
          <w:bCs/>
        </w:rPr>
      </w:pPr>
      <w:r>
        <w:rPr>
          <w:b/>
          <w:bCs/>
        </w:rPr>
      </w:r>
    </w:p>
    <w:p>
      <w:pPr>
        <w:pStyle w:val="FirstParagraph"/>
        <w:rPr>
          <w:b/>
          <w:bCs/>
        </w:rPr>
      </w:pPr>
      <w:r>
        <w:rPr>
          <w:b/>
          <w:bCs/>
        </w:rPr>
      </w:r>
    </w:p>
    <w:p>
      <w:pPr>
        <w:pStyle w:val="FirstParagraph"/>
        <w:rPr>
          <w:b/>
          <w:bCs/>
        </w:rPr>
      </w:pPr>
      <w:r>
        <w:rPr>
          <w:b/>
          <w:bCs/>
        </w:rPr>
      </w:r>
    </w:p>
    <w:p>
      <w:pPr>
        <w:pStyle w:val="FirstParagraph"/>
        <w:rPr/>
      </w:pPr>
      <w:r>
        <w:rPr>
          <w:b/>
          <w:bCs/>
        </w:rPr>
        <w:t>Schritt 02: Beauftragung und Auditorzuweisung</w:t>
      </w:r>
    </w:p>
    <w:p>
      <w:pPr>
        <w:pStyle w:val="Blocktext1"/>
        <w:rPr/>
      </w:pPr>
      <w:r>
        <w:rP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 Bei einem Auditteam benennt der CADIS®-Fachbereich einen Lead Auditor (Kapitel 2.3).</w:t>
      </w:r>
    </w:p>
    <w:p>
      <w:pPr>
        <w:pStyle w:val="Blocktext1"/>
        <w:rPr/>
      </w:pPr>
      <w:r>
        <w:rPr>
          <w:i/>
          <w:iCs/>
        </w:rPr>
        <w:t>Verantwortlich: CADIS®-Fachbereich · Ergebnis: Auftragsbestätigung, Auditorzuweisung, Terminrahmen</w:t>
      </w:r>
    </w:p>
    <w:p>
      <w:pPr>
        <w:pStyle w:val="FirstParagraph"/>
        <w:rPr/>
      </w:pPr>
      <w:r>
        <w:rPr>
          <w:b/>
          <w:bCs/>
        </w:rPr>
        <w:t>Schritt 03: Prüfung auf Interessenkonflikte</w:t>
      </w:r>
    </w:p>
    <w:p>
      <w:pPr>
        <w:pStyle w:val="Blocktext1"/>
        <w:rPr/>
      </w:pPr>
      <w:r>
        <w:rPr/>
        <w:t>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pPr>
        <w:pStyle w:val="Blocktext1"/>
        <w:rPr/>
      </w:pPr>
      <w:r>
        <w:rPr>
          <w:i/>
          <w:iCs/>
        </w:rPr>
        <w:t>Verantwortlich: Auditor · Ergebnis: dokumentierte Unparteilichkeitserklärung</w:t>
      </w:r>
    </w:p>
    <w:p>
      <w:pPr>
        <w:pStyle w:val="FirstParagraph"/>
        <w:rPr/>
      </w:pPr>
      <w:r>
        <w:rPr>
          <w:b/>
          <w:bCs/>
        </w:rPr>
        <w:t>Schritt 04: Kick-Off und Scope-Bestätigung</w:t>
      </w:r>
    </w:p>
    <w:p>
      <w:pPr>
        <w:pStyle w:val="Blocktext1"/>
        <w:rPr/>
      </w:pPr>
      <w:r>
        <w:rP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pPr>
        <w:pStyle w:val="Blocktext1"/>
        <w:rPr/>
      </w:pPr>
      <w:r>
        <w:rPr/>
        <w:t>Die Ergebnisse des Kick-Offs sind schriftlich zu dokumentieren. Das Kick-Off ist so zu terminieren, dass zwischen seinem Abschluss und der ersten Einreichung der Phase 1 mindestens 14 Kalendertage liegen. Bei einem Auditteam werden im Kick-Off das Team, der Lead Auditor und die Modulzuordnung vorgestellt (Kapitel 2.3).</w:t>
      </w:r>
    </w:p>
    <w:p>
      <w:pPr>
        <w:pStyle w:val="Blocktext1"/>
        <w:rPr/>
      </w:pPr>
      <w:r>
        <w:rPr>
          <w:i/>
          <w:iCs/>
        </w:rPr>
        <w:t>Verantwortlich: Auditor · Mitwirkung: geprüftes Unternehmen · Ergebnis: Kick-Off-Protokoll, bestätigter Prüfscope</w:t>
      </w:r>
    </w:p>
    <w:p>
      <w:pPr>
        <w:pStyle w:val="FirstParagraph"/>
        <w:rPr/>
      </w:pPr>
      <w:r>
        <w:rPr>
          <w:b/>
          <w:bCs/>
        </w:rPr>
        <w:t>Schritt 05: Prüfagenda anpassen und bestätigen</w:t>
      </w:r>
    </w:p>
    <w:p>
      <w:pPr>
        <w:pStyle w:val="Blocktext1"/>
        <w:rPr/>
      </w:pPr>
      <w:r>
        <w:rPr/>
        <w:t>Der Entwurf der Prüfagenda wird vom Auditor nach Schritt 03 und vor dem Kick-Off erstellt und im Kick-Off (Schritt 04 f) abgestimmt. Dieser Schritt umfasst die Anpassung und Bestätigung der finalen Agenda. 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 Bei einem Auditteam berücksichtigt die Agenda die Einsatzzeiten der Teammitglieder je Prüfmodul.</w:t>
      </w:r>
    </w:p>
    <w:p>
      <w:pPr>
        <w:pStyle w:val="Blocktext1"/>
        <w:rPr/>
      </w:pPr>
      <w:r>
        <w:rPr>
          <w:i/>
          <w:iCs/>
        </w:rPr>
        <w:t>Verantwortlich: Auditor · Ergebnis: abgestimmte Prüfagenda, Auditzeitberechnung</w:t>
      </w:r>
    </w:p>
    <w:p>
      <w:pPr>
        <w:pStyle w:val="FirstParagraph"/>
        <w:rPr/>
      </w:pPr>
      <w:r>
        <w:rPr>
          <w:b/>
          <w:bCs/>
        </w:rPr>
        <w:t>Schritt 06: Prüfkatalog und Nachweise einreichen</w:t>
      </w:r>
    </w:p>
    <w:p>
      <w:pPr>
        <w:pStyle w:val="Blocktext1"/>
        <w:rPr/>
      </w:pPr>
      <w:r>
        <w:rPr/>
        <w:t>Das geprüfte Unternehmen füllt den CADIS®-Prüfkatalog für alle Prüffragen im Scope aus. Für jede Prüffrage sind ein Reifegrad (0–3), eine nachvollziehbare Umsetzungsbeschreibung und – sofern der Reifegrad größer 0 ist – mindestens ein referenzierter Nachweis anzugeben. Bei Reifegrad 0 genügt die Angabe, dass keine Umsetzung besteht.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pPr>
        <w:pStyle w:val="Blocktext1"/>
        <w:rPr/>
      </w:pPr>
      <w:r>
        <w:rPr>
          <w:i/>
          <w:iCs/>
        </w:rPr>
        <w:t>Verantwortlich: geprüftes Unternehmen · Ergebnis: ausgefüllter Prüfkatalog, Nachweisablage</w:t>
      </w:r>
    </w:p>
    <w:p>
      <w:pPr>
        <w:pStyle w:val="FirstParagraph"/>
        <w:rPr/>
      </w:pPr>
      <w:r>
        <w:rPr>
          <w:b/>
          <w:bCs/>
        </w:rPr>
        <w:t>Schritt 07: Phase 1 – Vorabprüfung beziehungsweise Dokumentenprüfung</w:t>
      </w:r>
    </w:p>
    <w:p>
      <w:pPr>
        <w:pStyle w:val="Blocktext1"/>
        <w:rPr/>
      </w:pPr>
      <w:r>
        <w:rPr/>
        <w:t>Die Phase 1 ist der erste formale Prüfschritt. Ihr Inhalt richtet sich nach dem Level of Examination:</w:t>
        <w:br/>
      </w:r>
      <w:r>
        <w:rPr>
          <w:b/>
          <w:bCs/>
        </w:rPr>
        <w:t>LoE 1 (Pre-Check):</w:t>
      </w:r>
      <w:r>
        <w:rPr/>
        <w:t xml:space="preserve"> formale Vorabkontrolle, ob für alle Prüffragen im Scope ein Reifegrad gesetzt, eine nachvollziehbare Umsetzungsbeschreibung hinterlegt und – bei Reifegrad größer 0 – mindestens ein Nachweis referenziert ist.</w:t>
        <w:br/>
      </w:r>
      <w:r>
        <w:rPr>
          <w:b/>
          <w:bCs/>
        </w:rPr>
        <w:t>LoE 2 (Documentation Review):</w:t>
      </w:r>
      <w:r>
        <w:rP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rPr/>
        <w:t xml:space="preserve"> zusätzlich Vorbereitung der Vor-Ort-Prüfung; die Ergebnisse fließen in Interviewplan, Stichprobenumfang und Begehungsbereiche ein.</w:t>
      </w:r>
    </w:p>
    <w:p>
      <w:pPr>
        <w:pStyle w:val="Blocktext1"/>
        <w:rPr/>
      </w:pPr>
      <w:r>
        <w:rPr/>
        <w:t>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Auditor. Nach dem dritten erfolglosen Versuch ist die Prüfung abzubrechen. Weitere Abbruchgründe, die Folgen eines Abbruchs sowie die Regeln zur Verschiebung sind im CADIS®-Handbuch, Kapitel 6.13, festgelegt. Bei jedem Auditabbruch übermittelt der Auditor (bei einem Auditteam: der Lead Auditor) die bis dahin vorliegenden Unterlagen (ausgefüllter CADIS®-Prüfkatalog, JSON-Datei aus dem CADIS®-Audittool, Kick-Off-Material, Bestätigungsmail gemäß den CADIS®-Mailvorlagen, Handbuch Kapitel 14.1) per E-Mail an den CADIS®-Fachbereich (CADIS@dekra.com); dieser entscheidet über das weitere Vorgehen.</w:t>
      </w:r>
    </w:p>
    <w:p>
      <w:pPr>
        <w:pStyle w:val="Blocktext1"/>
        <w:rPr/>
      </w:pPr>
      <w:r>
        <w:rPr>
          <w:i/>
          <w:iCs/>
        </w:rPr>
        <w:t>Verantwortlich: Auditor · Ergebnis: Freigabe zur Phase 2, Nachbesserungsaufforderung oder Auditabbruch</w:t>
      </w:r>
    </w:p>
    <w:p>
      <w:pPr>
        <w:pStyle w:val="Blocktext1"/>
        <w:rPr/>
      </w:pPr>
      <w:r>
        <w:rPr>
          <w:b/>
          <w:bCs/>
        </w:rPr>
        <w:t>Bitte beachten:</w:t>
      </w:r>
      <w:r>
        <w:rP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pPr>
        <w:pStyle w:val="FirstParagraph"/>
        <w:rPr/>
      </w:pPr>
      <w:r>
        <w:rPr>
          <w:b/>
          <w:bCs/>
        </w:rPr>
        <w:t>Schritt 08: Phase 2 – Hauptprüfung</w:t>
      </w:r>
    </w:p>
    <w:p>
      <w:pPr>
        <w:pStyle w:val="Blocktext1"/>
        <w:rPr/>
      </w:pPr>
      <w:r>
        <w:rPr/>
        <w:t>Die Phase 2 ist die eigentliche Prüfung. Die Methodik richtet sich nach dem Level of Examination:</w:t>
        <w:br/>
      </w:r>
      <w:r>
        <w:rPr>
          <w:b/>
          <w:bCs/>
        </w:rPr>
        <w:t>LoE 1 – Plausibilitätsprüfung:</w:t>
      </w:r>
      <w:r>
        <w:rP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rPr/>
        <w:t xml:space="preserve"> Der Auditor führt ein strukturiertes Telefon- oder Remote-Interview durch und vertieft risikobasiert ausgewählte Prüfpunkte, um die praktische Umsetzung in der Organisation zu verifizieren.</w:t>
        <w:br/>
      </w:r>
      <w:r>
        <w:rPr>
          <w:b/>
          <w:bCs/>
        </w:rPr>
        <w:t>LoE 3 – Vor-Ort-Audit:</w:t>
      </w:r>
      <w:r>
        <w:rP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pPr>
        <w:pStyle w:val="Blocktext1"/>
        <w:rPr/>
      </w:pPr>
      <w:r>
        <w:rPr/>
        <w:t>Bei Prüfscopes mit mehreren Standorten sind zusätzlich die Regelungen zur Multi-Site-Prüfung (CADIS®-Handbuch, Kapitel 11) anzuwenden, insbesondere zur Stichprobenberechnung und zur standortbezogenen Prüfpunktauswahl.</w:t>
      </w:r>
    </w:p>
    <w:p>
      <w:pPr>
        <w:pStyle w:val="Blocktext1"/>
        <w:rPr/>
      </w:pPr>
      <w:r>
        <w:rPr>
          <w:b/>
          <w:bCs/>
        </w:rPr>
        <w:t xml:space="preserve">Auswahl der Prüfpunkte im Remote-Interview (LoE 2): </w:t>
      </w:r>
      <w:r>
        <w:rPr/>
        <w:t>Welche Prüffragen im Interview besprochen werden, steht erst nach Abschluss der Phase 1 fest. Der Auditor wählt sie auf Grundlage der Ergebnisse der Phase 1 risikobasiert aus und teilt dem geprüften Unternehmen die ausgewählten Prüffragen rechtzeitig vor Beginn der Phase 2 mit; in der Überwachungsprüfung erfolgt die Auswahl innerhalb der nach Schritt Ü-03 mitgeteilten Prüffragen. Die Auswahl bildet eine ausgewogene Mischung aus den Prüffragen des gesamten Prüfscopes: Jedes Prüfmodul des Scopes wird durch mindestens einen Prüfpunkt abgedeckt. Die Gewichtung innerhalb und zwischen den Modulen richtet sich nach Risiko und Aussagekraft, insbesondere nach Auffälligkeiten oder Widersprüchen aus Phase 1, niedrigen Reifegraden, dem Schutzbedarf und – in der Überwachungsprüfung – offenen Abweichungen und Beobachtungen. Bei Prüfscopes mit mehreren Standorten erfolgt die Auswahl je Standort (Kapitel 5.3). Der Umfang des Interviews richtet sich nach der Auditzeit, die sich aus dem Auditvertrag und der Auditzeitberechnung (CADIS® Auditplan Generator) ergibt. Die vereinbarte Auditzeit ist einzuhalten und darf nicht wesentlich unterschritten werden; eine Unterschreitung ist nachvollziehbar zu begründen und zu dokumentieren. Die Auswahl der Prüfpunkte und ihre Begründung sind Bestandteil der Prüfdokumentation. Bei einem Auditteam legt der Lead Auditor die Verteilung der Interviewzeit auf die Prüfmodule fest (Kapitel 2.3).</w:t>
      </w:r>
    </w:p>
    <w:p>
      <w:pPr>
        <w:pStyle w:val="Blocktext1"/>
        <w:rPr/>
      </w:pPr>
      <w:r>
        <w:rPr>
          <w:i/>
          <w:iCs/>
        </w:rPr>
        <w:t>Verantwortlich: Auditor · Mitwirkung: geprüftes Unternehmen · Ergebnis: Prüfnachweise, Auditnotizen</w:t>
      </w:r>
    </w:p>
    <w:p>
      <w:pPr>
        <w:pStyle w:val="FirstParagraph"/>
        <w:rPr/>
      </w:pPr>
      <w:r>
        <w:rPr>
          <w:b/>
          <w:bCs/>
        </w:rPr>
        <w:t>Schritt 09: Bewertung, Security Score und Feststellungen</w:t>
      </w:r>
    </w:p>
    <w:p>
      <w:pPr>
        <w:pStyle w:val="Blocktext1"/>
        <w:rPr/>
      </w:pPr>
      <w:r>
        <w:rP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 Bei einem Auditteam konsolidiert der Lead Auditor die modulweisen Bewertungen und den Security Score (Kapitel 2.3).</w:t>
      </w:r>
    </w:p>
    <w:p>
      <w:pPr>
        <w:pStyle w:val="Blocktext1"/>
        <w:rPr/>
      </w:pPr>
      <w:r>
        <w:rPr>
          <w:i/>
          <w:iCs/>
        </w:rPr>
        <w:t>Verantwortlich: Auditor · Ergebnis: bewerteter Prüfkatalog, Security Score, Feststellungsliste</w:t>
      </w:r>
    </w:p>
    <w:p>
      <w:pPr>
        <w:pStyle w:val="FirstParagraph"/>
        <w:rPr/>
      </w:pPr>
      <w:r>
        <w:rPr>
          <w:b/>
          <w:bCs/>
        </w:rPr>
        <w:t>Schritt 10: Closing Meeting</w:t>
      </w:r>
    </w:p>
    <w:p>
      <w:pPr>
        <w:pStyle w:val="Blocktext1"/>
        <w:rPr/>
      </w:pPr>
      <w:r>
        <w:rPr/>
        <w:t>Das Closing Meeting findet am letzten Tag der Prüfung statt und bildet den formalen Abschluss der Prüfung.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pPr>
        <w:pStyle w:val="Blocktext1"/>
        <w:rPr/>
      </w:pPr>
      <w:r>
        <w:rPr/>
        <w:t>Das im Closing Meeting vorgestellte Ergebnis ist vorläufig; verbindlich wird es mit dem Prüfbericht. Bei einem Auditteam führt der Lead Auditor das Closing Meeting (Kapitel 2.3).</w:t>
      </w:r>
    </w:p>
    <w:p>
      <w:pPr>
        <w:pStyle w:val="Blocktext1"/>
        <w:rPr/>
      </w:pPr>
      <w:r>
        <w:rPr>
          <w:i/>
          <w:iCs/>
        </w:rPr>
        <w:t>Verantwortlich: Auditor · Mitwirkung: geprüftes Unternehmen · Ergebnis: vorläufiges Prüfergebnis, abgestimmte nächste Schritte</w:t>
      </w:r>
    </w:p>
    <w:p>
      <w:pPr>
        <w:pStyle w:val="FirstParagraph"/>
        <w:rPr/>
      </w:pPr>
      <w:r>
        <w:rPr>
          <w:b/>
          <w:bCs/>
        </w:rPr>
        <w:t>Schritt 11: Prüfbericht erstellen</w:t>
      </w:r>
    </w:p>
    <w:p>
      <w:pPr>
        <w:pStyle w:val="Blocktext1"/>
        <w:rPr/>
      </w:pPr>
      <w:r>
        <w:rP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pPr>
      <w:r>
        <w:rPr/>
        <w:t>Unterlagen für die Veto-Prüfung: Vor der Qualitätssicherung des Prüfberichts übermittelt der Auditor (bei einem Auditteam: der Lead Auditor) folgende Unterlagen per E-Mail an den CADIS®-Fachbereich (CADIS@dekra.com): a) den ausgefüllten CADIS®-Prüfkatalog, b) die JSON-Datei aus dem CADIS®-Audittool, c) das Kick-Off-Material, d) die Bestätigungsmail (gemäß den CADIS®-Mailvorlagen, Handbuch Kapitel 14.1).</w:t>
      </w:r>
    </w:p>
    <w:p>
      <w:pPr>
        <w:pStyle w:val="Blocktext1"/>
        <w:rPr/>
      </w:pPr>
      <w:r>
        <w:rPr>
          <w:i/>
          <w:iCs/>
        </w:rPr>
        <w:t>Verantwortlich: CADIS®-Fachbereich · Mitwirkung: Auditor (fachliche Zuarbeit) · Ergebnis: Prüfbericht</w:t>
      </w:r>
    </w:p>
    <w:p>
      <w:pPr>
        <w:pStyle w:val="FirstParagraph"/>
        <w:rPr/>
      </w:pPr>
      <w:r>
        <w:rPr>
          <w:b/>
          <w:bCs/>
        </w:rPr>
        <w:t>Schritt 12: Ergebnismeldung und Freigabeentscheidung</w:t>
      </w:r>
    </w:p>
    <w:p>
      <w:pPr>
        <w:pStyle w:val="Blocktext1"/>
        <w:rPr/>
      </w:pPr>
      <w:r>
        <w:rP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pPr>
        <w:pStyle w:val="Blocktext1"/>
        <w:rPr/>
      </w:pPr>
      <w:r>
        <w:rPr>
          <w:i/>
          <w:iCs/>
        </w:rPr>
        <w:t>Verantwortlich: CADIS®-Fachbereich · Mitwirkung: geprüftes Unternehmen · Ergebnis: Eintrag in der CADIS®-Datenbank, Freigabeentscheidung</w:t>
      </w:r>
    </w:p>
    <w:p>
      <w:pPr>
        <w:pStyle w:val="Blocktext1"/>
        <w:rPr/>
      </w:pPr>
      <w:r>
        <w:rPr>
          <w:b/>
          <w:bCs/>
        </w:rPr>
        <w:t>Wichtiger Hinweis:</w:t>
      </w:r>
      <w:r>
        <w:rP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pPr>
        <w:pStyle w:val="Heading3"/>
        <w:rPr>
          <w:lang w:val="de-DE"/>
        </w:rPr>
      </w:pPr>
      <w:bookmarkStart w:id="50" w:name="durchführung"/>
      <w:bookmarkStart w:id="51" w:name="ergebnisse"/>
      <w:bookmarkStart w:id="52" w:name="_Toc238102110"/>
      <w:bookmarkEnd w:id="50"/>
      <w:bookmarkEnd w:id="51"/>
      <w:r>
        <w:rPr>
          <w:lang w:val="de-DE"/>
        </w:rPr>
        <w:t>4.1.3 Ergebnisse</w:t>
      </w:r>
      <w:bookmarkEnd w:id="52"/>
    </w:p>
    <w:p>
      <w:pPr>
        <w:pStyle w:val="FirstParagraph"/>
        <w:rPr/>
      </w:pPr>
      <w:r>
        <w:rPr/>
        <w:t>Ergebnis der Erstprüfung ist der Prüfbericht mit einem der drei Prüfergebnisse „konform“, „nicht kritisch abweichend“ oder „kritisch abweichend“ (siehe Kapitel 6.3). Daraus ergibt sich der weitere Verlauf:</w:t>
      </w:r>
    </w:p>
    <w:p>
      <w:pPr>
        <w:pStyle w:val="Compact"/>
        <w:numPr>
          <w:ilvl w:val="0"/>
          <w:numId w:val="16"/>
        </w:numPr>
        <w:rPr/>
      </w:pPr>
      <w:r>
        <w:rPr>
          <w:b/>
          <w:bCs/>
        </w:rPr>
        <w:t>konform:</w:t>
      </w:r>
      <w:r>
        <w:rPr/>
        <w:t xml:space="preserve"> Die Freigabe wird erteilt. Der Prüfzyklus wird im Folgejahr mit der risikobasierten Überwachungsprüfung fortgesetzt.</w:t>
      </w:r>
    </w:p>
    <w:p>
      <w:pPr>
        <w:pStyle w:val="Compact"/>
        <w:numPr>
          <w:ilvl w:val="0"/>
          <w:numId w:val="17"/>
        </w:numPr>
        <w:rPr/>
      </w:pPr>
      <w:r>
        <w:rPr>
          <w:b/>
          <w:bCs/>
        </w:rPr>
        <w:t>nicht kritisch abweichend:</w:t>
      </w:r>
      <w:r>
        <w:rPr/>
        <w:t xml:space="preserve"> Es ist ein Maßnahmenplan zu erstellen (Kapitel 4.2). Der Maßnahmenplan ist Voraussetzung für die Erstellung des Prüfberichts (Ausnahme: Schritt M-02) und wird gemeinsam mit ihm übermittelt. Auf dessen Basis kann eine temporäre Freigabe erteilt werden; strebt das Unternehmen ausdrücklich keine temporäre Freigabe an, entfällt der Maßnahmenplan.</w:t>
      </w:r>
    </w:p>
    <w:p>
      <w:pPr>
        <w:pStyle w:val="Compact"/>
        <w:numPr>
          <w:ilvl w:val="0"/>
          <w:numId w:val="18"/>
        </w:numPr>
        <w:rPr/>
      </w:pPr>
      <w:r>
        <w:rPr>
          <w:b/>
          <w:bCs/>
        </w:rPr>
        <w:t>kritisch abweichend:</w:t>
      </w:r>
      <w:r>
        <w:rPr/>
        <w:t xml:space="preserve"> Es ist ein Maßnahmenplan zu erstellen; er ist Voraussetzung für die Erstellung des Prüfberichts (Ausnahme: Schritt M-02).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pPr>
        <w:pStyle w:val="Compact"/>
        <w:rPr/>
      </w:pPr>
      <w:r>
        <w:rPr/>
      </w:r>
    </w:p>
    <w:p>
      <w:pPr>
        <w:pStyle w:val="Heading2"/>
        <w:rPr/>
      </w:pPr>
      <w:bookmarkStart w:id="53" w:name="erstprüfung"/>
      <w:bookmarkStart w:id="54" w:name="ergebnisse"/>
      <w:bookmarkStart w:id="55" w:name="maßnahmenplanbewertung"/>
      <w:bookmarkStart w:id="56" w:name="_Toc238102111"/>
      <w:bookmarkEnd w:id="53"/>
      <w:bookmarkEnd w:id="54"/>
      <w:bookmarkEnd w:id="55"/>
      <w:r>
        <w:rPr/>
        <w:t>4.2 Maßnahmenplanbewertung</w:t>
      </w:r>
      <w:bookmarkEnd w:id="56"/>
    </w:p>
    <w:p>
      <w:pPr>
        <w:pStyle w:val="Heading3"/>
        <w:rPr>
          <w:lang w:val="de-DE"/>
        </w:rPr>
      </w:pPr>
      <w:bookmarkStart w:id="57" w:name="voraussetzungen-1"/>
      <w:bookmarkStart w:id="58" w:name="_Toc238102112"/>
      <w:bookmarkEnd w:id="57"/>
      <w:r>
        <w:rPr>
          <w:lang w:val="de-DE"/>
        </w:rPr>
        <w:t>4.2.1 Voraussetzungen</w:t>
      </w:r>
      <w:bookmarkEnd w:id="58"/>
    </w:p>
    <w:p>
      <w:pPr>
        <w:pStyle w:val="FirstParagraph"/>
        <w:rPr/>
      </w:pPr>
      <w:r>
        <w:rPr/>
        <w:t>Eine Maßnahmenplanbewertung wird durchgeführt, wenn folgende Voraussetzungen erfüllt sind:</w:t>
      </w:r>
    </w:p>
    <w:p>
      <w:pPr>
        <w:pStyle w:val="Compact"/>
        <w:numPr>
          <w:ilvl w:val="0"/>
          <w:numId w:val="19"/>
        </w:numPr>
        <w:rPr/>
      </w:pPr>
      <w:r>
        <w:rPr/>
        <w:t>Eine Prüfung (Erstprüfung, Überwachungsprüfung oder Erweiterungsprüfung) wurde mit mindestens einer Abweichung durchgeführt; das Closing Meeting hat stattgefunden und der Prüfbericht ist noch nicht erstellt.</w:t>
      </w:r>
    </w:p>
    <w:p>
      <w:pPr>
        <w:pStyle w:val="Compact"/>
        <w:numPr>
          <w:ilvl w:val="0"/>
          <w:numId w:val="20"/>
        </w:numPr>
        <w:rPr/>
      </w:pPr>
      <w:r>
        <w:rPr/>
        <w:t>Die Bewertung erfolgt durch denselben Auditor, der die zugrunde liegende Prüfung durchgeführt hat. Bei einem Auditteam erfolgt die Bewertung durch den Lead Auditor mit Zuarbeit der modulverantwortlichen Auditoren (Kapitel 2.3).</w:t>
      </w:r>
    </w:p>
    <w:p>
      <w:pPr>
        <w:pStyle w:val="Compact"/>
        <w:numPr>
          <w:ilvl w:val="0"/>
          <w:numId w:val="21"/>
        </w:numPr>
        <w:rPr/>
      </w:pPr>
      <w:r>
        <w:rP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pPr>
        <w:pStyle w:val="Compact"/>
        <w:rPr/>
      </w:pPr>
      <w:r>
        <w:rPr/>
      </w:r>
    </w:p>
    <w:p>
      <w:pPr>
        <w:pStyle w:val="FirstParagraph"/>
        <w:rPr/>
      </w:pPr>
      <w:r>
        <w:rPr/>
        <w:t>Ein Maßnahmenplan ist verbindlicher Bestandteil der Prüfung bei Vorliegen von Abweichungen (Ausnahme: Schritt M-02). Bei dem Ergebnis „nicht kritisch abweichend“ ist er Voraussetzung für eine temporäre Freigabe; bei dem Ergebnis „kritisch abweichend“ ist er zwingend erforderlich, um eine Herabstufung auf „nicht kritisch abweichend“ zu ermöglichen.</w:t>
      </w:r>
    </w:p>
    <w:p>
      <w:pPr>
        <w:pStyle w:val="Heading3"/>
        <w:rPr/>
      </w:pPr>
      <w:bookmarkStart w:id="59" w:name="voraussetzungen-1"/>
      <w:bookmarkStart w:id="60" w:name="durchführung-1"/>
      <w:bookmarkStart w:id="61" w:name="_Toc238102113"/>
      <w:bookmarkEnd w:id="59"/>
      <w:bookmarkEnd w:id="60"/>
      <w:r>
        <w:rPr/>
        <w:t>4.2.2 Durchführung</w:t>
      </w:r>
      <w:bookmarkEnd w:id="61"/>
    </w:p>
    <w:p>
      <w:pPr>
        <w:pStyle w:val="CaptionedFigure"/>
        <w:rPr/>
      </w:pPr>
      <w:r>
        <w:rPr/>
        <w:drawing>
          <wp:inline distT="0" distB="0" distL="0" distR="0">
            <wp:extent cx="5676900" cy="4148455"/>
            <wp:effectExtent l="0" t="0" r="0" b="0"/>
            <wp:docPr id="7" name="Image3" descr="Abbildung 3: Ablauf der Maßnahmenplanbewertung und des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bbildung 3: Ablauf der Maßnahmenplanbewertung und des Follow-Ups"/>
                    <pic:cNvPicPr>
                      <a:picLocks noChangeAspect="1" noChangeArrowheads="1"/>
                    </pic:cNvPicPr>
                  </pic:nvPicPr>
                  <pic:blipFill>
                    <a:blip r:embed="rId5"/>
                    <a:stretch>
                      <a:fillRect/>
                    </a:stretch>
                  </pic:blipFill>
                  <pic:spPr bwMode="auto">
                    <a:xfrm>
                      <a:off x="0" y="0"/>
                      <a:ext cx="5676900" cy="4148455"/>
                    </a:xfrm>
                    <a:prstGeom prst="rect">
                      <a:avLst/>
                    </a:prstGeom>
                  </pic:spPr>
                </pic:pic>
              </a:graphicData>
            </a:graphic>
          </wp:inline>
        </w:drawing>
      </w:r>
    </w:p>
    <w:p>
      <w:pPr>
        <w:pStyle w:val="ImageCaption"/>
        <w:rPr/>
      </w:pPr>
      <w:r>
        <w:rPr/>
        <w:t>Abbildung 3: Ablauf der Maßnahmenplanbewertung und des Follow-Ups</w:t>
      </w:r>
    </w:p>
    <w:p>
      <w:pPr>
        <w:pStyle w:val="Textkrper1"/>
        <w:rPr>
          <w:b/>
          <w:bCs/>
        </w:rPr>
      </w:pPr>
      <w:r>
        <w:rPr>
          <w:b/>
          <w:bCs/>
        </w:rPr>
      </w:r>
    </w:p>
    <w:p>
      <w:pPr>
        <w:pStyle w:val="Textkrper1"/>
        <w:rPr/>
      </w:pPr>
      <w:r>
        <w:rPr>
          <w:b/>
          <w:bCs/>
        </w:rPr>
        <w:t>Schritt M-01: Maßnahmenplan erstellen und einreichen</w:t>
      </w:r>
    </w:p>
    <w:p>
      <w:pPr>
        <w:pStyle w:val="Blocktext1"/>
        <w:rPr/>
      </w:pPr>
      <w:r>
        <w:rP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pPr>
        <w:pStyle w:val="Blocktext1"/>
        <w:rPr/>
      </w:pPr>
      <w:r>
        <w:rPr>
          <w:i/>
          <w:iCs/>
        </w:rPr>
        <w:t>Verantwortlich: geprüftes Unternehmen · Ergebnis: eingereichter Maßnahmenplan</w:t>
      </w:r>
    </w:p>
    <w:p>
      <w:pPr>
        <w:pStyle w:val="FirstParagraph"/>
        <w:rPr>
          <w:b/>
          <w:bCs/>
        </w:rPr>
      </w:pPr>
      <w:r>
        <w:rPr>
          <w:b/>
          <w:bCs/>
        </w:rPr>
      </w:r>
    </w:p>
    <w:p>
      <w:pPr>
        <w:pStyle w:val="FirstParagraph"/>
        <w:rPr>
          <w:b/>
          <w:bCs/>
        </w:rPr>
      </w:pPr>
      <w:r>
        <w:rPr>
          <w:b/>
          <w:bCs/>
        </w:rPr>
      </w:r>
    </w:p>
    <w:p>
      <w:pPr>
        <w:pStyle w:val="FirstParagraph"/>
        <w:rPr/>
      </w:pPr>
      <w:r>
        <w:rPr>
          <w:b/>
          <w:bCs/>
        </w:rPr>
        <w:t>Schritt M-02: Maßnahmenplan bewerten</w:t>
      </w:r>
    </w:p>
    <w:p>
      <w:pPr>
        <w:pStyle w:val="Blocktext1"/>
        <w:rPr/>
      </w:pPr>
      <w:r>
        <w:rPr/>
        <w:t>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 (Ausnahme von Kapitel 4.1.3 und 4.2.1). Eine Freigabe oder temporäre Freigabe wird nicht erteilt.</w:t>
      </w:r>
    </w:p>
    <w:p>
      <w:pPr>
        <w:pStyle w:val="Blocktext1"/>
        <w:rPr/>
      </w:pPr>
      <w:r>
        <w:rPr>
          <w:i/>
          <w:iCs/>
        </w:rPr>
        <w:t>Verantwortlich: Auditor · Ergebnis: Maßnahmenplan geeignet, Nachbesserungsaufforderung oder Eskalation</w:t>
      </w:r>
    </w:p>
    <w:p>
      <w:pPr>
        <w:pStyle w:val="FirstParagraph"/>
        <w:rPr/>
      </w:pPr>
      <w:r>
        <w:rPr>
          <w:b/>
          <w:bCs/>
        </w:rPr>
        <w:t>Schritt M-03: Fristen festlegen und Maßnahmenplan freigeben</w:t>
      </w:r>
    </w:p>
    <w:p>
      <w:pPr>
        <w:pStyle w:val="Blocktext1"/>
        <w:rPr/>
      </w:pPr>
      <w:r>
        <w:rPr/>
        <w:t>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ab dem Closing Meeting beziehungsweise, sofern keines stattfindet, ab der Mitteilung der Feststellungen (Kapitel 3.2).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pPr>
        <w:pStyle w:val="Blocktext1"/>
        <w:rPr/>
      </w:pPr>
      <w:r>
        <w:rPr>
          <w:i/>
          <w:iCs/>
        </w:rPr>
        <w:t>Verantwortlich: Auditor · Ergebnis: freigegebener Maßnahmenplan mit Fristen</w:t>
      </w:r>
    </w:p>
    <w:p>
      <w:pPr>
        <w:pStyle w:val="FirstParagraph"/>
        <w:rPr/>
      </w:pPr>
      <w:r>
        <w:rPr>
          <w:b/>
          <w:bCs/>
        </w:rPr>
        <w:t>Schritt M-04: Statusaktualisierung und Fristenüberwachung</w:t>
      </w:r>
    </w:p>
    <w:p>
      <w:pPr>
        <w:pStyle w:val="Blocktext1"/>
        <w:rPr/>
      </w:pPr>
      <w:r>
        <w:rP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pPr>
        <w:pStyle w:val="Blocktext1"/>
        <w:rPr/>
      </w:pPr>
      <w:r>
        <w:rPr>
          <w:i/>
          <w:iCs/>
        </w:rPr>
        <w:t>Verantwortlich: CADIS®-Fachbereich · Ergebnis: aktualisierter Status, Fristenüberwachung</w:t>
      </w:r>
    </w:p>
    <w:p>
      <w:pPr>
        <w:pStyle w:val="Heading3"/>
        <w:rPr>
          <w:lang w:val="de-DE"/>
        </w:rPr>
      </w:pPr>
      <w:bookmarkStart w:id="62" w:name="durchführung-1"/>
      <w:bookmarkStart w:id="63" w:name="ergebnisse-1"/>
      <w:bookmarkStart w:id="64" w:name="_Toc238102114"/>
      <w:bookmarkEnd w:id="62"/>
      <w:bookmarkEnd w:id="63"/>
      <w:r>
        <w:rPr>
          <w:lang w:val="de-DE"/>
        </w:rPr>
        <w:t>4.2.3 Ergebnisse</w:t>
      </w:r>
      <w:bookmarkEnd w:id="64"/>
    </w:p>
    <w:p>
      <w:pPr>
        <w:pStyle w:val="FirstParagraph"/>
        <w:rPr/>
      </w:pPr>
      <w:r>
        <w:rP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 Wird eine kritische Abweichung im Follow-Up begründet herabgestuft, gilt Schritt F-04.</w:t>
      </w:r>
    </w:p>
    <w:p>
      <w:pPr>
        <w:pStyle w:val="Heading2"/>
        <w:rPr/>
      </w:pPr>
      <w:bookmarkStart w:id="65" w:name="maßnahmenplanbewertung"/>
      <w:bookmarkStart w:id="66" w:name="ergebnisse-1"/>
      <w:bookmarkStart w:id="67" w:name="follow-up"/>
      <w:bookmarkStart w:id="68" w:name="_Toc238102115"/>
      <w:bookmarkEnd w:id="65"/>
      <w:bookmarkEnd w:id="66"/>
      <w:bookmarkEnd w:id="67"/>
      <w:r>
        <w:rPr/>
        <w:t>4.3 Follow-Up</w:t>
      </w:r>
      <w:bookmarkEnd w:id="68"/>
    </w:p>
    <w:p>
      <w:pPr>
        <w:pStyle w:val="Heading3"/>
        <w:rPr>
          <w:lang w:val="de-DE"/>
        </w:rPr>
      </w:pPr>
      <w:bookmarkStart w:id="69" w:name="voraussetzungen-2"/>
      <w:bookmarkStart w:id="70" w:name="_Toc238102116"/>
      <w:bookmarkEnd w:id="69"/>
      <w:r>
        <w:rPr>
          <w:lang w:val="de-DE"/>
        </w:rPr>
        <w:t>4.3.1 Voraussetzungen</w:t>
      </w:r>
      <w:bookmarkEnd w:id="70"/>
    </w:p>
    <w:p>
      <w:pPr>
        <w:pStyle w:val="FirstParagraph"/>
        <w:rPr/>
      </w:pPr>
      <w:r>
        <w:rPr/>
        <w:t>Ein Follow-Up kann durchgeführt werden, wenn folgende Voraussetzungen erfüllt sind:</w:t>
      </w:r>
    </w:p>
    <w:p>
      <w:pPr>
        <w:pStyle w:val="Compact"/>
        <w:numPr>
          <w:ilvl w:val="0"/>
          <w:numId w:val="22"/>
        </w:numPr>
        <w:rPr/>
      </w:pPr>
      <w:r>
        <w:rPr/>
        <w:t>Die zugrunde liegende Prüfung wurde mit Abweichungen abgeschlossen.</w:t>
      </w:r>
    </w:p>
    <w:p>
      <w:pPr>
        <w:pStyle w:val="Compact"/>
        <w:numPr>
          <w:ilvl w:val="0"/>
          <w:numId w:val="23"/>
        </w:numPr>
        <w:rPr/>
      </w:pPr>
      <w:r>
        <w:rPr/>
        <w:t>Ein freigegebener Maßnahmenplan liegt vor.</w:t>
      </w:r>
    </w:p>
    <w:p>
      <w:pPr>
        <w:pStyle w:val="Compact"/>
        <w:numPr>
          <w:ilvl w:val="0"/>
          <w:numId w:val="24"/>
        </w:numPr>
        <w:rPr/>
      </w:pPr>
      <w:r>
        <w:rPr/>
        <w:t>Die für die jeweilige Abweichungsklasse geltende Umsetzungsfrist ist nicht abgelaufen.</w:t>
      </w:r>
    </w:p>
    <w:p>
      <w:pPr>
        <w:pStyle w:val="Compact"/>
        <w:rPr/>
      </w:pPr>
      <w:r>
        <w:rPr/>
      </w:r>
    </w:p>
    <w:p>
      <w:pPr>
        <w:pStyle w:val="FirstParagraph"/>
        <w:rPr/>
      </w:pPr>
      <w:r>
        <w:rP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pPr>
        <w:pStyle w:val="Heading3"/>
        <w:rPr>
          <w:lang w:val="de-DE"/>
        </w:rPr>
      </w:pPr>
      <w:bookmarkStart w:id="71" w:name="voraussetzungen-2"/>
      <w:bookmarkStart w:id="72" w:name="durchführung-2"/>
      <w:bookmarkStart w:id="73" w:name="_Toc238102117"/>
      <w:bookmarkEnd w:id="71"/>
      <w:bookmarkEnd w:id="72"/>
      <w:r>
        <w:rPr>
          <w:lang w:val="de-DE"/>
        </w:rPr>
        <w:t>4.3.2 Durchführung</w:t>
      </w:r>
      <w:bookmarkEnd w:id="73"/>
    </w:p>
    <w:p>
      <w:pPr>
        <w:pStyle w:val="FirstParagraph"/>
        <w:rPr/>
      </w:pPr>
      <w:r>
        <w:rPr/>
        <w:t>Der Ablauf des Follow-Ups ist im unteren Teil von Abbildung 3 dargestellt.</w:t>
      </w:r>
    </w:p>
    <w:p>
      <w:pPr>
        <w:pStyle w:val="Textkrper1"/>
        <w:rPr/>
      </w:pPr>
      <w:r>
        <w:rPr>
          <w:b/>
          <w:bCs/>
        </w:rPr>
        <w:t>Schritt F-01: Korrekturmaßnahmen umsetzen</w:t>
      </w:r>
    </w:p>
    <w:p>
      <w:pPr>
        <w:pStyle w:val="Blocktext1"/>
        <w:rPr/>
      </w:pPr>
      <w:r>
        <w:rPr/>
        <w:t>Das geprüfte Unternehmen setzt die im Maßnahmenplan festgelegten Korrekturmaßnahmen um und dokumentiert die Umsetzung nachvollziehbar. Die Nachweisführung soll die Wirksamkeit belegen und nicht nur die Existenz einer Maßnahme.</w:t>
      </w:r>
    </w:p>
    <w:p>
      <w:pPr>
        <w:pStyle w:val="Blocktext1"/>
        <w:rPr/>
      </w:pPr>
      <w:r>
        <w:rPr>
          <w:i/>
          <w:iCs/>
        </w:rPr>
        <w:t>Verantwortlich: geprüftes Unternehmen · Ergebnis: umgesetzte Maßnahmen, Wirksamkeitsnachweise</w:t>
      </w:r>
    </w:p>
    <w:p>
      <w:pPr>
        <w:pStyle w:val="FirstParagraph"/>
        <w:rPr/>
      </w:pPr>
      <w:r>
        <w:rPr>
          <w:b/>
          <w:bCs/>
        </w:rPr>
        <w:t>Schritt F-02: Nachweise einreichen und Follow-Up anfordern</w:t>
      </w:r>
    </w:p>
    <w:p>
      <w:pPr>
        <w:pStyle w:val="Blocktext1"/>
        <w:rPr/>
      </w:pPr>
      <w:r>
        <w:rPr/>
        <w:t>Das geprüfte Unternehmen reicht die Nachweise ein und beauftragt das Follow-Up. Der Zeitpunkt ist so zu wählen, dass die Verifizierung innerhalb der geltenden Umsetzungsfrist abgeschlossen werden kann.</w:t>
      </w:r>
    </w:p>
    <w:p>
      <w:pPr>
        <w:pStyle w:val="Blocktext1"/>
        <w:rPr/>
      </w:pPr>
      <w:r>
        <w:rPr>
          <w:i/>
          <w:iCs/>
        </w:rPr>
        <w:t>Verantwortlich: geprüftes Unternehmen · Ergebnis: Follow-Up-Beauftragung, Nachweispaket</w:t>
      </w:r>
    </w:p>
    <w:p>
      <w:pPr>
        <w:pStyle w:val="FirstParagraph"/>
        <w:rPr/>
      </w:pPr>
      <w:r>
        <w:rPr>
          <w:b/>
          <w:bCs/>
        </w:rPr>
        <w:t>Schritt F-03: Wirksamkeit verifizieren</w:t>
      </w:r>
    </w:p>
    <w:p>
      <w:pPr>
        <w:pStyle w:val="Blocktext1"/>
        <w:rPr/>
      </w:pPr>
      <w:r>
        <w:rPr/>
        <w:t>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Follow-Up muss dasselbe Maß an Nachvollziehbarkeit bieten wie die zugrunde liegende Prüfung; die Wahl der Methode liegt im Ermessen des Auditors.</w:t>
      </w:r>
    </w:p>
    <w:p>
      <w:pPr>
        <w:pStyle w:val="Blocktext1"/>
        <w:rPr/>
      </w:pPr>
      <w:r>
        <w:rPr>
          <w:i/>
          <w:iCs/>
        </w:rPr>
        <w:t>Verantwortlich: Auditor · Ergebnis: Bewertung je Abweichung</w:t>
      </w:r>
    </w:p>
    <w:p>
      <w:pPr>
        <w:pStyle w:val="FirstParagraph"/>
        <w:rPr/>
      </w:pPr>
      <w:r>
        <w:rPr>
          <w:b/>
          <w:bCs/>
        </w:rPr>
        <w:t>Schritt F-04: Statusaktualisierung und Freigabe</w:t>
      </w:r>
    </w:p>
    <w:p>
      <w:pPr>
        <w:pStyle w:val="Blocktext1"/>
        <w:rPr/>
      </w:pPr>
      <w:r>
        <w:rP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p>
    <w:p>
      <w:pPr>
        <w:pStyle w:val="Blocktext1"/>
        <w:rPr/>
      </w:pPr>
      <w:r>
        <w:rPr>
          <w:i/>
          <w:iCs/>
        </w:rPr>
        <w:t>Verantwortlich: CADIS®-Fachbereich · Mitwirkung: Auditor · Ergebnis: Follow-Up-Bericht, aktualisierter Freigabestatus</w:t>
      </w:r>
    </w:p>
    <w:p>
      <w:pPr>
        <w:pStyle w:val="Heading3"/>
        <w:rPr>
          <w:lang w:val="de-DE"/>
        </w:rPr>
      </w:pPr>
      <w:bookmarkStart w:id="74" w:name="durchführung-2"/>
      <w:bookmarkStart w:id="75" w:name="ergebnisse-2"/>
      <w:bookmarkStart w:id="76" w:name="_Toc238102118"/>
      <w:bookmarkEnd w:id="74"/>
      <w:bookmarkEnd w:id="75"/>
      <w:r>
        <w:rPr>
          <w:lang w:val="de-DE"/>
        </w:rPr>
        <w:t>4.3.3 Ergebnisse</w:t>
      </w:r>
      <w:bookmarkEnd w:id="76"/>
    </w:p>
    <w:p>
      <w:pPr>
        <w:pStyle w:val="FirstParagraph"/>
        <w:rPr/>
      </w:pPr>
      <w:r>
        <w:rPr/>
        <w:t>Ergebnis des Follow-Ups ist der Follow-Up-Bericht, der den Bearbeitungsstand jeder Abweichung ausweist. Werden kritische Abweichungen nicht innerhalb von 3 Monaten (in der Überwachungsprüfung bei begründeter Herabstufung innerhalb von insgesamt 6 Monaten, siehe Schritt Ü-05 a))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pPr>
        <w:pStyle w:val="Heading2"/>
        <w:rPr/>
      </w:pPr>
      <w:bookmarkStart w:id="77" w:name="follow-up"/>
      <w:bookmarkStart w:id="78" w:name="ergebnisse-2"/>
      <w:bookmarkStart w:id="79" w:name="risikobasierte-überwachungsprüfung"/>
      <w:bookmarkStart w:id="80" w:name="_Toc238102119"/>
      <w:bookmarkEnd w:id="77"/>
      <w:bookmarkEnd w:id="78"/>
      <w:bookmarkEnd w:id="79"/>
      <w:r>
        <w:rPr/>
        <w:t>4.4 Risikobasierte Überwachungsprüfung</w:t>
      </w:r>
      <w:bookmarkEnd w:id="80"/>
    </w:p>
    <w:p>
      <w:pPr>
        <w:pStyle w:val="Heading3"/>
        <w:rPr>
          <w:lang w:val="de-DE"/>
        </w:rPr>
      </w:pPr>
      <w:bookmarkStart w:id="81" w:name="voraussetzungen-3"/>
      <w:bookmarkStart w:id="82" w:name="_Toc238102120"/>
      <w:bookmarkEnd w:id="81"/>
      <w:r>
        <w:rPr>
          <w:lang w:val="de-DE"/>
        </w:rPr>
        <w:t>4.4.1 Voraussetzungen</w:t>
      </w:r>
      <w:bookmarkEnd w:id="82"/>
    </w:p>
    <w:p>
      <w:pPr>
        <w:pStyle w:val="FirstParagraph"/>
        <w:rPr/>
      </w:pPr>
      <w:r>
        <w:rPr/>
        <w:t>Die risikobasierte Überwachungsprüfung ist Bestandteil des zweijährigen Prüfzyklus und wird 12 Monate nach dem Closing Meeting der Erstprüfung durchgeführt; das Toleranzfenster beträgt ± 6 Wochen. Voraussetzungen sind:</w:t>
      </w:r>
    </w:p>
    <w:p>
      <w:pPr>
        <w:pStyle w:val="Compact"/>
        <w:numPr>
          <w:ilvl w:val="0"/>
          <w:numId w:val="25"/>
        </w:numPr>
        <w:rPr/>
      </w:pPr>
      <w:r>
        <w:rPr/>
        <w:t>Eine abgeschlossene Erstprüfung mit erteilter Freigabe oder temporärer Freigabe.</w:t>
      </w:r>
    </w:p>
    <w:p>
      <w:pPr>
        <w:pStyle w:val="Compact"/>
        <w:numPr>
          <w:ilvl w:val="0"/>
          <w:numId w:val="26"/>
        </w:numPr>
        <w:rPr/>
      </w:pPr>
      <w:r>
        <w:rPr/>
        <w:t>Die Beauftragung der Überwachungsprüfung durch das geprüfte Unternehmen.</w:t>
      </w:r>
    </w:p>
    <w:p>
      <w:pPr>
        <w:pStyle w:val="Compact"/>
        <w:numPr>
          <w:ilvl w:val="0"/>
          <w:numId w:val="27"/>
        </w:numPr>
        <w:rPr/>
      </w:pPr>
      <w:r>
        <w:rPr/>
        <w:t>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pPr>
        <w:pStyle w:val="Heading3"/>
        <w:rPr/>
      </w:pPr>
      <w:bookmarkStart w:id="83" w:name="voraussetzungen-3"/>
      <w:bookmarkStart w:id="84" w:name="durchführung-3"/>
      <w:bookmarkStart w:id="85" w:name="_Toc238102121"/>
      <w:bookmarkEnd w:id="83"/>
      <w:bookmarkEnd w:id="84"/>
      <w:r>
        <w:rPr/>
        <w:t>4.4.2 Durchführung</w:t>
      </w:r>
      <w:bookmarkEnd w:id="85"/>
    </w:p>
    <w:p>
      <w:pPr>
        <w:pStyle w:val="CaptionedFigure"/>
        <w:rPr/>
      </w:pPr>
      <w:r>
        <w:rPr/>
        <w:drawing>
          <wp:inline distT="0" distB="0" distL="0" distR="0">
            <wp:extent cx="5676900" cy="2749550"/>
            <wp:effectExtent l="0" t="0" r="0" b="0"/>
            <wp:docPr id="8" name="Image4" descr="Abbildung 4: Ablauf der risikobasierten Überwachungs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bbildung 4: Ablauf der risikobasierten Überwachungsprüfung"/>
                    <pic:cNvPicPr>
                      <a:picLocks noChangeAspect="1" noChangeArrowheads="1"/>
                    </pic:cNvPicPr>
                  </pic:nvPicPr>
                  <pic:blipFill>
                    <a:blip r:embed="rId6"/>
                    <a:stretch>
                      <a:fillRect/>
                    </a:stretch>
                  </pic:blipFill>
                  <pic:spPr bwMode="auto">
                    <a:xfrm>
                      <a:off x="0" y="0"/>
                      <a:ext cx="5676900" cy="2749550"/>
                    </a:xfrm>
                    <a:prstGeom prst="rect">
                      <a:avLst/>
                    </a:prstGeom>
                  </pic:spPr>
                </pic:pic>
              </a:graphicData>
            </a:graphic>
          </wp:inline>
        </w:drawing>
      </w:r>
    </w:p>
    <w:p>
      <w:pPr>
        <w:pStyle w:val="ImageCaption"/>
        <w:rPr/>
      </w:pPr>
      <w:r>
        <w:rPr/>
        <w:t>Abbildung 4: Ablauf der risikobasierten Überwachungsprüfung</w:t>
      </w:r>
    </w:p>
    <w:p>
      <w:pPr>
        <w:pStyle w:val="Textkrper1"/>
        <w:rPr/>
      </w:pPr>
      <w:r>
        <w:rPr>
          <w:b/>
          <w:bCs/>
        </w:rPr>
        <w:t>Schritt Ü-01: Beauftragung für das zweite Zyklusjahr</w:t>
      </w:r>
    </w:p>
    <w:p>
      <w:pPr>
        <w:pStyle w:val="Blocktext1"/>
        <w:rPr/>
      </w:pPr>
      <w:r>
        <w:rPr/>
        <w:t>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pPr>
        <w:pStyle w:val="Blocktext1"/>
        <w:rPr/>
      </w:pPr>
      <w:r>
        <w:rPr>
          <w:i/>
          <w:iCs/>
        </w:rPr>
        <w:t>Verantwortlich: CADIS®-Fachbereich · Mitwirkung: geprüftes Unternehmen · Ergebnis: beauftragte Überwachungsprüfung</w:t>
      </w:r>
    </w:p>
    <w:p>
      <w:pPr>
        <w:pStyle w:val="FirstParagraph"/>
        <w:rPr/>
      </w:pPr>
      <w:r>
        <w:rPr>
          <w:b/>
          <w:bCs/>
        </w:rPr>
        <w:t>Schritt Ü-02: Risikobasierte Prüfplanung</w:t>
      </w:r>
    </w:p>
    <w:p>
      <w:pPr>
        <w:pStyle w:val="Blocktext1"/>
        <w:rPr/>
      </w:pPr>
      <w:r>
        <w:rPr/>
        <w:t>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pPr>
        <w:pStyle w:val="Blocktext1"/>
        <w:rPr/>
      </w:pPr>
      <w:r>
        <w:rPr/>
        <w:t>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pPr>
        <w:pStyle w:val="Blocktext1"/>
        <w:rPr/>
      </w:pPr>
      <w:r>
        <w:rPr>
          <w:i/>
          <w:iCs/>
        </w:rPr>
        <w:t>Verantwortlich: Auditor · Ergebnis: risikobasierte Prüfpunktauswahl</w:t>
      </w:r>
    </w:p>
    <w:p>
      <w:pPr>
        <w:pStyle w:val="FirstParagraph"/>
        <w:rPr/>
      </w:pPr>
      <w:r>
        <w:rPr>
          <w:b/>
          <w:bCs/>
        </w:rPr>
        <w:t>Schritt Ü-03: Prüffragen mitteilen</w:t>
      </w:r>
    </w:p>
    <w:p>
      <w:pPr>
        <w:pStyle w:val="Blocktext1"/>
        <w:rPr/>
      </w:pPr>
      <w:r>
        <w:rPr/>
        <w:t>Der Auditor teilt dem geprüften Unternehmen die ausgewählten Prüffragen mit. Die Mitteilung erfolgt spätestens 3 Monate vor der Prüfung, damit das Unternehmen die Selbsteinschätzung und die Nachweise vorbereiten kann.</w:t>
      </w:r>
    </w:p>
    <w:p>
      <w:pPr>
        <w:pStyle w:val="Blocktext1"/>
        <w:rPr/>
      </w:pPr>
      <w:r>
        <w:rPr>
          <w:i/>
          <w:iCs/>
        </w:rPr>
        <w:t>Verantwortlich: Auditor · Ergebnis: mitgeteilter Prüfumfang</w:t>
      </w:r>
    </w:p>
    <w:p>
      <w:pPr>
        <w:pStyle w:val="FirstParagraph"/>
        <w:rPr/>
      </w:pPr>
      <w:r>
        <w:rPr>
          <w:b/>
          <w:bCs/>
        </w:rPr>
        <w:t>Schritt Ü-04: Durchführung der Überwachungsprüfung</w:t>
      </w:r>
    </w:p>
    <w:p>
      <w:pPr>
        <w:pStyle w:val="Blocktext1"/>
        <w:rPr/>
      </w:pPr>
      <w:r>
        <w:rPr/>
        <w:t>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 Die Überwachungsprüfung kann mit einer Erweiterungsprüfung kombiniert werden (Kapitel 5.1.3).</w:t>
      </w:r>
    </w:p>
    <w:p>
      <w:pPr>
        <w:pStyle w:val="Blocktext1"/>
        <w:rPr/>
      </w:pPr>
      <w:r>
        <w:rPr>
          <w:i/>
          <w:iCs/>
        </w:rPr>
        <w:t>Verantwortlich: Auditor · Mitwirkung: geprüftes Unternehmen · Ergebnis: Prüfnachweise</w:t>
      </w:r>
    </w:p>
    <w:p>
      <w:pPr>
        <w:pStyle w:val="FirstParagraph"/>
        <w:rPr/>
      </w:pPr>
      <w:r>
        <w:rPr>
          <w:b/>
          <w:bCs/>
        </w:rPr>
        <w:t>Schritt Ü-05: Bewertung und Feststellungen</w:t>
      </w:r>
    </w:p>
    <w:p>
      <w:pPr>
        <w:pStyle w:val="Blocktext1"/>
        <w:rPr/>
      </w:pPr>
      <w:r>
        <w:rPr/>
        <w:t>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c) Sind nicht kritische Abweichungen aus der vorangegangenen Prüfung nicht wirksam abgestellt, werden sie zu kritischen Abweichungen; die bestehende Freigabe erlischt mit unmittelbarer Wirkung, und es gilt Buchstabe a). Die Fristen nach a) bis c) beginnen mit dem Closing Meeting beziehungsweise, sofern keines stattfindet, mit dem Tag der Mitteilung der Feststellungen (Kapitel 3.2).</w:t>
      </w:r>
    </w:p>
    <w:p>
      <w:pPr>
        <w:pStyle w:val="Blocktext1"/>
        <w:rPr/>
      </w:pPr>
      <w:r>
        <w:rPr>
          <w:i/>
          <w:iCs/>
        </w:rPr>
        <w:t>Verantwortlich: Auditor · Ergebnis: Bewertung, Feststellungen, Fristen</w:t>
      </w:r>
    </w:p>
    <w:p>
      <w:pPr>
        <w:pStyle w:val="FirstParagraph"/>
        <w:rPr/>
      </w:pPr>
      <w:r>
        <w:rPr>
          <w:b/>
          <w:bCs/>
        </w:rPr>
        <w:t>Schritt Ü-06: Bericht, Meldung und Freigabestatus</w:t>
      </w:r>
    </w:p>
    <w:p>
      <w:pPr>
        <w:pStyle w:val="Blocktext1"/>
        <w:rPr/>
      </w:pPr>
      <w:r>
        <w:rPr/>
        <w:t>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freigegebener Maßnahmenplan nach Kapitel 4.2 Voraussetzung für die Erstellung des Berichts; er entfällt nur, wenn das geprüfte Unternehmen ausdrücklich keine temporäre Freigabe anstrebt und keine kritische Abweichung festgestellt wurde. Die Unterlagen für die Veto-Prüfung sind entsprechend Schritt 11 zu übermitteln.</w:t>
      </w:r>
    </w:p>
    <w:p>
      <w:pPr>
        <w:pStyle w:val="Blocktext1"/>
        <w:rPr/>
      </w:pPr>
      <w:r>
        <w:rPr>
          <w:i/>
          <w:iCs/>
        </w:rPr>
        <w:t>Verantwortlich: CADIS®-Fachbereich · Mitwirkung: Auditor · Ergebnis: Bericht, aktualisierter Freigabestatus</w:t>
      </w:r>
    </w:p>
    <w:p>
      <w:pPr>
        <w:pStyle w:val="Heading3"/>
        <w:rPr>
          <w:lang w:val="de-DE"/>
        </w:rPr>
      </w:pPr>
      <w:bookmarkStart w:id="86" w:name="durchführung-3"/>
      <w:bookmarkStart w:id="87" w:name="ergebnisse-3"/>
      <w:bookmarkStart w:id="88" w:name="_Toc238102122"/>
      <w:bookmarkEnd w:id="86"/>
      <w:bookmarkEnd w:id="87"/>
      <w:r>
        <w:rPr>
          <w:lang w:val="de-DE"/>
        </w:rPr>
        <w:t>4.4.3 Ergebnisse</w:t>
      </w:r>
      <w:bookmarkEnd w:id="88"/>
    </w:p>
    <w:p>
      <w:pPr>
        <w:pStyle w:val="FirstParagraph"/>
        <w:rPr/>
      </w:pPr>
      <w:r>
        <w:rP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pPr>
        <w:pStyle w:val="Heading1"/>
        <w:rPr/>
      </w:pPr>
      <w:bookmarkStart w:id="89" w:name="standard-prüfarten"/>
      <w:bookmarkStart w:id="90" w:name="risikobasierte-überwachungsprüfung"/>
      <w:bookmarkStart w:id="91" w:name="ergebnisse-3"/>
      <w:bookmarkStart w:id="92" w:name="besondere-prüfarten"/>
      <w:bookmarkStart w:id="93" w:name="_Toc238102123"/>
      <w:bookmarkEnd w:id="89"/>
      <w:bookmarkEnd w:id="90"/>
      <w:bookmarkEnd w:id="91"/>
      <w:bookmarkEnd w:id="92"/>
      <w:r>
        <w:rPr/>
        <w:t>5 Besondere Prüfarten</w:t>
      </w:r>
      <w:bookmarkEnd w:id="93"/>
    </w:p>
    <w:p>
      <w:pPr>
        <w:pStyle w:val="Heading2"/>
        <w:rPr/>
      </w:pPr>
      <w:bookmarkStart w:id="94" w:name="erweiterungsprüfung"/>
      <w:bookmarkStart w:id="95" w:name="_Toc238102124"/>
      <w:bookmarkEnd w:id="94"/>
      <w:r>
        <w:rPr/>
        <w:t>5.1 Erweiterungsprüfung</w:t>
      </w:r>
      <w:bookmarkEnd w:id="95"/>
    </w:p>
    <w:p>
      <w:pPr>
        <w:pStyle w:val="Heading3"/>
        <w:rPr>
          <w:lang w:val="de-DE"/>
        </w:rPr>
      </w:pPr>
      <w:bookmarkStart w:id="96" w:name="voraussetzungen-4"/>
      <w:bookmarkStart w:id="97" w:name="_Toc238102125"/>
      <w:bookmarkEnd w:id="96"/>
      <w:r>
        <w:rPr>
          <w:lang w:val="de-DE"/>
        </w:rPr>
        <w:t>5.1.1 Voraussetzungen</w:t>
      </w:r>
      <w:bookmarkEnd w:id="97"/>
    </w:p>
    <w:p>
      <w:pPr>
        <w:pStyle w:val="FirstParagraph"/>
        <w:rPr/>
      </w:pPr>
      <w:r>
        <w:rPr/>
        <w:t>Die Erweiterungsprüfung dient der nachträglichen Erweiterung des Prüfscopes nach Abschluss einer Erstprüfung. Mögliche Scope-Erweiterungen sind zusätzliche Standorte, weitere Prüfmodule oder die Anhebung des Level of Examination; mit der Anhebung ändert sich auch die Stufe der Sonderanforderungen. Die Erweiterung kann vom Hersteller/Auftraggeber oder vom geprüften Unternehmen angestoßen werden. Voraussetzungen:</w:t>
      </w:r>
    </w:p>
    <w:p>
      <w:pPr>
        <w:pStyle w:val="Compact"/>
        <w:numPr>
          <w:ilvl w:val="0"/>
          <w:numId w:val="28"/>
        </w:numPr>
        <w:rPr/>
      </w:pPr>
      <w:r>
        <w:rPr/>
        <w:t>Eine abgeschlossene Erstprüfung für den bestehenden Prüfscope liegt vor.</w:t>
      </w:r>
    </w:p>
    <w:p>
      <w:pPr>
        <w:pStyle w:val="Compact"/>
        <w:numPr>
          <w:ilvl w:val="0"/>
          <w:numId w:val="29"/>
        </w:numPr>
        <w:rPr/>
      </w:pPr>
      <w:r>
        <w:rPr/>
        <w:t>Zum Zeitpunkt der Scope-Änderung sind keine kritischen Abweichungen aus der Erstprüfung offen; diese sind zuvor abzustellen oder begründet auf nicht kritisch herabzustufen. Offene nicht kritische Abweichungen (z. B. bei temporärer Freigabe) stehen der Erweiterung nicht entgegen.</w:t>
      </w:r>
    </w:p>
    <w:p>
      <w:pPr>
        <w:pStyle w:val="Compact"/>
        <w:numPr>
          <w:ilvl w:val="0"/>
          <w:numId w:val="30"/>
        </w:numPr>
        <w:rPr/>
      </w:pPr>
      <w:r>
        <w:rPr/>
        <w:t>Die Erweiterung wurde beauftragt; alle Scope-Änderungen werden dokumentiert. Der erweiterte Scope ist vor Beginn der Erweiterungsprüfung schriftlich bestätigt.</w:t>
      </w:r>
    </w:p>
    <w:p>
      <w:pPr>
        <w:pStyle w:val="Heading3"/>
        <w:rPr>
          <w:lang w:val="de-DE"/>
        </w:rPr>
      </w:pPr>
      <w:bookmarkStart w:id="98" w:name="voraussetzungen-4"/>
      <w:bookmarkStart w:id="99" w:name="durchführung-4"/>
      <w:bookmarkStart w:id="100" w:name="_Toc238102126"/>
      <w:bookmarkEnd w:id="98"/>
      <w:bookmarkEnd w:id="99"/>
      <w:r>
        <w:rPr>
          <w:lang w:val="de-DE"/>
        </w:rPr>
        <w:t>5.1.2 Durchführung</w:t>
      </w:r>
      <w:bookmarkEnd w:id="100"/>
    </w:p>
    <w:p>
      <w:pPr>
        <w:pStyle w:val="FirstParagraph"/>
        <w:rPr/>
      </w:pPr>
      <w:r>
        <w:rPr>
          <w:b/>
          <w:bCs/>
        </w:rPr>
        <w:t>Schritt E-01: Anstoß und Abstimmung der Scope-Änderung</w:t>
      </w:r>
    </w:p>
    <w:p>
      <w:pPr>
        <w:pStyle w:val="Blocktext1"/>
        <w:rPr/>
      </w:pPr>
      <w:r>
        <w:rPr/>
        <w:t>Das geprüfte Unternehmen oder der Hersteller/Auftraggeber stößt die Erweiterung an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p>
    <w:p>
      <w:pPr>
        <w:pStyle w:val="Blocktext1"/>
        <w:rPr/>
      </w:pPr>
      <w:r>
        <w:rPr>
          <w:i/>
          <w:iCs/>
        </w:rPr>
        <w:t>Verantwortlich: CADIS®-Fachbereich · Mitwirkung: geprüftes Unternehmen, Hersteller/Auftraggeber · Ergebnis: dokumentierte Scope-Änderung</w:t>
      </w:r>
    </w:p>
    <w:p>
      <w:pPr>
        <w:pStyle w:val="FirstParagraph"/>
        <w:rPr/>
      </w:pPr>
      <w:r>
        <w:rPr>
          <w:b/>
          <w:bCs/>
        </w:rPr>
        <w:t>Schritt E-02: Planung des Erweiterungsumfangs</w:t>
      </w:r>
    </w:p>
    <w:p>
      <w:pPr>
        <w:pStyle w:val="Blocktext1"/>
        <w:rPr/>
      </w:pPr>
      <w:r>
        <w:rPr/>
        <w:t>Der Auditor legt fest, welche Prüfmodule, Prüffragen und Standorte durch die Erweiterung zusätzlich zu prüfen sind. Ergebnisse der Erstprüfung, die von der 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der Prüfumfang in bereits geprüften Prüfmodulen richtet sich nach den nachfolgend genannten Regeln zur Reduzierung des Prüfumfangs. Eine gemischte Darstellung unterschiedlicher Prüftiefen innerhalb eines Prüfscopes ist nicht möglich; ausgenommen ist die standortbezogene Abstufung der Prüftiefe bei der Multi-Site-Prüfung nach CADIS®-Handbuch, Kapitel 11.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p>
    <w:p>
      <w:pPr>
        <w:pStyle w:val="Blocktext1"/>
        <w:rPr/>
      </w:pPr>
      <w:r>
        <w:rPr>
          <w:i/>
          <w:iCs/>
        </w:rPr>
        <w:t>Verantwortlich: Auditor · Ergebnis: Prüfplan der Erweiterungsprüfung</w:t>
      </w:r>
    </w:p>
    <w:p>
      <w:pPr>
        <w:pStyle w:val="FirstParagraph"/>
        <w:rPr/>
      </w:pPr>
      <w:r>
        <w:rPr>
          <w:b/>
          <w:bCs/>
        </w:rPr>
        <w:t>Schritt E-03: Durchführung der Erweiterungsprüfung</w:t>
      </w:r>
    </w:p>
    <w:p>
      <w:pPr>
        <w:pStyle w:val="Blocktext1"/>
        <w:rPr/>
      </w:pPr>
      <w:r>
        <w:rPr/>
        <w:t>Die Durchführung folgt den Schritten 06 bis 10 der Erstprüfung, bezogen auf den Erweiterungsumfang.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 Werden dabei Feststellungen in bereits geprüften Bereichen erkannt, sind diese als Feststellungen der Erweiterungsprüfung zu dokumentieren und zu behandeln.</w:t>
      </w:r>
    </w:p>
    <w:p>
      <w:pPr>
        <w:pStyle w:val="Blocktext1"/>
        <w:rPr/>
      </w:pPr>
      <w:r>
        <w:rPr>
          <w:i/>
          <w:iCs/>
        </w:rPr>
        <w:t>Verantwortlich: Auditor · Mitwirkung: geprüftes Unternehmen · Ergebnis: Prüfnachweise, Feststellungen</w:t>
      </w:r>
    </w:p>
    <w:p>
      <w:pPr>
        <w:pStyle w:val="FirstParagraph"/>
        <w:rPr/>
      </w:pPr>
      <w:r>
        <w:rPr>
          <w:b/>
          <w:bCs/>
        </w:rPr>
        <w:t>Schritt E-04: Bericht und Aktualisierung des Prüfscopes</w:t>
      </w:r>
    </w:p>
    <w:p>
      <w:pPr>
        <w:pStyle w:val="Blocktext1"/>
        <w:rPr/>
      </w:pPr>
      <w:r>
        <w:rP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 Die Unterlagen für die Veto-Prüfung sind entsprechend Schritt 11 zu übermitteln.</w:t>
      </w:r>
    </w:p>
    <w:p>
      <w:pPr>
        <w:pStyle w:val="Blocktext1"/>
        <w:rPr/>
      </w:pPr>
      <w:r>
        <w:rPr>
          <w:i/>
          <w:iCs/>
        </w:rPr>
        <w:t>Verantwortlich: CADIS®-Fachbereich · Mitwirkung: Auditor · Ergebnis: Bericht, erweiterter Prüfscope</w:t>
      </w:r>
    </w:p>
    <w:p>
      <w:pPr>
        <w:pStyle w:val="Heading3"/>
        <w:rPr>
          <w:lang w:val="de-DE"/>
        </w:rPr>
      </w:pPr>
      <w:bookmarkStart w:id="101" w:name="durchführung-4"/>
      <w:bookmarkStart w:id="102" w:name="ergebnisse-4"/>
      <w:bookmarkStart w:id="103" w:name="_Toc238102127"/>
      <w:bookmarkEnd w:id="101"/>
      <w:bookmarkEnd w:id="102"/>
      <w:r>
        <w:rPr>
          <w:lang w:val="de-DE"/>
        </w:rPr>
        <w:t>5.1.3 Ergebnisse</w:t>
      </w:r>
      <w:bookmarkEnd w:id="103"/>
    </w:p>
    <w:p>
      <w:pPr>
        <w:pStyle w:val="FirstParagraph"/>
        <w:rPr/>
      </w:pPr>
      <w:r>
        <w:rP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p>
    <w:p>
      <w:pPr>
        <w:pStyle w:val="Heading2"/>
        <w:rPr/>
      </w:pPr>
      <w:bookmarkStart w:id="104" w:name="erweiterungsprüfung"/>
      <w:bookmarkStart w:id="105" w:name="ergebnisse-4"/>
      <w:bookmarkStart w:id="106" w:name="erneute-prüfung"/>
      <w:bookmarkStart w:id="107" w:name="_Toc238102128"/>
      <w:bookmarkEnd w:id="104"/>
      <w:bookmarkEnd w:id="105"/>
      <w:bookmarkEnd w:id="106"/>
      <w:r>
        <w:rPr/>
        <w:t>5.2 Erneute Prüfung</w:t>
      </w:r>
      <w:bookmarkEnd w:id="107"/>
    </w:p>
    <w:p>
      <w:pPr>
        <w:pStyle w:val="FirstParagraph"/>
        <w:rPr/>
      </w:pPr>
      <w:r>
        <w:rP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pPr>
        <w:pStyle w:val="Textkrper1"/>
        <w:rPr/>
      </w:pPr>
      <w:r>
        <w:rPr/>
        <w:t>Der Prüfscope für den Folgezyklus ist neu festzulegen und muss mindestens die Standorte, das Level of Examination, die Prüfmodule sowie gegebenenfalls geltende Sonderanforderungen umfassen.</w:t>
      </w:r>
    </w:p>
    <w:p>
      <w:pPr>
        <w:pStyle w:val="Blocktext1"/>
        <w:rPr/>
      </w:pPr>
      <w:r>
        <w:rPr>
          <w:b/>
          <w:bCs/>
        </w:rPr>
        <w:t>Wichtiger Hinweis:</w:t>
      </w:r>
      <w:r>
        <w:rPr/>
        <w:t xml:space="preserve"> Eine Reduzierung des Prüfscopes oder der Prüfaufwände unter Bezugnahme auf Ergebnisse oder Festlegungen eines vorangegangenen Zyklus ist nicht zulässig.</w:t>
      </w:r>
    </w:p>
    <w:p>
      <w:pPr>
        <w:pStyle w:val="Heading2"/>
        <w:rPr/>
      </w:pPr>
      <w:bookmarkStart w:id="108" w:name="erneute-prüfung"/>
      <w:bookmarkStart w:id="109" w:name="prüfung-mehrerer-standorte-multi-site"/>
      <w:bookmarkStart w:id="110" w:name="_Toc238102129"/>
      <w:bookmarkEnd w:id="108"/>
      <w:bookmarkEnd w:id="109"/>
      <w:r>
        <w:rPr/>
        <w:t>5.3 Prüfung mehrerer Standorte (Multi-Site)</w:t>
      </w:r>
      <w:bookmarkEnd w:id="110"/>
    </w:p>
    <w:p>
      <w:pPr>
        <w:pStyle w:val="FirstParagraph"/>
        <w:rPr/>
      </w:pPr>
      <w:r>
        <w:rPr/>
        <w:t>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pPr>
        <w:pStyle w:val="Heading1"/>
        <w:rPr/>
      </w:pPr>
      <w:bookmarkStart w:id="111" w:name="besondere-prüfarten"/>
      <w:bookmarkStart w:id="112" w:name="prüfung-mehrerer-standorte-multi-site"/>
      <w:bookmarkStart w:id="113" w:name="bewertung-prüfergebnis-und-freigabe"/>
      <w:bookmarkStart w:id="114" w:name="_Toc238102130"/>
      <w:bookmarkEnd w:id="111"/>
      <w:bookmarkEnd w:id="112"/>
      <w:r>
        <w:rPr/>
        <w:t>6 Bewertung, Prüfergebnis und Freigabe</w:t>
      </w:r>
      <w:bookmarkEnd w:id="114"/>
    </w:p>
    <w:p>
      <w:pPr>
        <w:pStyle w:val="Heading2"/>
        <w:rPr/>
      </w:pPr>
      <w:bookmarkStart w:id="115" w:name="reifegrad-und-security-score"/>
      <w:bookmarkStart w:id="116" w:name="_Toc238102131"/>
      <w:bookmarkEnd w:id="115"/>
      <w:r>
        <w:rPr/>
        <w:t>6.1 Reifegrad und Security Score</w:t>
      </w:r>
      <w:bookmarkEnd w:id="116"/>
    </w:p>
    <w:p>
      <w:pPr>
        <w:pStyle w:val="FirstParagraph"/>
        <w:rPr/>
      </w:pPr>
      <w:r>
        <w:rP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pPr>
        <w:pStyle w:val="Heading2"/>
        <w:rPr/>
      </w:pPr>
      <w:bookmarkStart w:id="117" w:name="reifegrad-und-security-score"/>
      <w:bookmarkStart w:id="118" w:name="feststellungsarten"/>
      <w:bookmarkStart w:id="119" w:name="_Toc238102132"/>
      <w:bookmarkEnd w:id="117"/>
      <w:bookmarkEnd w:id="118"/>
      <w:r>
        <w:rPr/>
        <w:t>6.2 Feststellungsarten</w:t>
      </w:r>
      <w:bookmarkEnd w:id="119"/>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028"/>
        <w:gridCol w:w="692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02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Feststellungsart</w:t>
            </w:r>
          </w:p>
        </w:tc>
        <w:tc>
          <w:tcPr>
            <w:tcW w:w="692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Gravierender Mangel, der die Sicherheit von Informationen unmittelbar gefährdet oder grundlegende Zweifel an der Funktionsfähigkeit des jeweiligen Managementsystems bzw. an der Erreichung der Schutzziele aufkommen lässt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Mangel, der die Informationssicherheit nicht unmittelbar ernsthaft gefährdet und die grundsätzliche Funktionsfähigkeit des jeweiligen Managementsystems nicht infrage stellt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Beobachtung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Sachverhalt ohne unmittelbares Risiko, der auf eine mögliche zukünftige Gefährdung hinweisen kann (nicht zwingend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Ohne Feststellung (konform)</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Anforderungen sind vollständig, wirksam und nachvollziehbar umgesetzt (prüfpunktbezogen).</w:t>
            </w:r>
          </w:p>
        </w:tc>
      </w:tr>
    </w:tbl>
    <w:p>
      <w:pPr>
        <w:pStyle w:val="Heading2"/>
        <w:rPr/>
      </w:pPr>
      <w:bookmarkStart w:id="120" w:name="feststellungsarten"/>
      <w:bookmarkStart w:id="121" w:name="_Toc238102133"/>
      <w:bookmarkEnd w:id="120"/>
      <w:r>
        <w:rPr/>
        <w:t>6.3 Prüfergebnisse</w:t>
      </w:r>
      <w:bookmarkEnd w:id="121"/>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47"/>
        <w:gridCol w:w="2921"/>
        <w:gridCol w:w="429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47"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Prüfergebnis</w:t>
            </w:r>
          </w:p>
        </w:tc>
        <w:tc>
          <w:tcPr>
            <w:tcW w:w="292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Kriterium</w:t>
            </w:r>
          </w:p>
        </w:tc>
        <w:tc>
          <w:tcPr>
            <w:tcW w:w="429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kritische Abweichung und/oder Security Score unter 1,01</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Abstellung oder begründete Herabstufung innerhalb von 3 Monaten, sonst vollständige Neuprüfung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nicht kritische Abweichung und/oder Security Score unter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 Schließung bis zur Überwachungsprüfung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Konform</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Abweichungen und Security Score von mindestens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Überwachungsprüfung im Folgejahr</w:t>
            </w:r>
          </w:p>
        </w:tc>
      </w:tr>
    </w:tbl>
    <w:p>
      <w:pPr>
        <w:pStyle w:val="FirstParagraph"/>
        <w:rPr/>
      </w:pPr>
      <w:r>
        <w:rP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und dokumentiert das Ergebnis dieser Prüfung (CADIS®-Handbuch, Kapitel 4.10).</w:t>
      </w:r>
    </w:p>
    <w:p>
      <w:pPr>
        <w:pStyle w:val="Heading2"/>
        <w:rPr/>
      </w:pPr>
      <w:bookmarkStart w:id="122" w:name="freigabearten"/>
      <w:bookmarkStart w:id="123" w:name="_Toc238102134"/>
      <w:bookmarkEnd w:id="122"/>
      <w:r>
        <w:rPr/>
        <w:t>6.4 Freigabearten</w:t>
      </w:r>
      <w:bookmarkEnd w:id="123"/>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465"/>
        <w:gridCol w:w="74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4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Freigabeart</w:t>
            </w:r>
          </w:p>
        </w:tc>
        <w:tc>
          <w:tcPr>
            <w:tcW w:w="74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 und Voraussetzung</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 Bis zum Abschluss einer Erweiterungsprüfung gilt die bestehende Freigabe unverändert.</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Temporäre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bei nicht kritischen Abweichungen unter Auflagen erteilt. Voraussetzung: freigegebener Maßnahmenplan und fristgerechte Schließung der Abweichungen.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Keine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kritischen Abweichungen oder nicht fristgerecht geschlossenen Abweichungen oder bei nicht eingereichtem beziehungsweise nicht freigegebenem Maßnahmenplan. Voraussetzung für eine spätere Freigabe: erfolgreiche Abstellung innerhalb der geltenden Frist; nach Fristablauf vollständige Neuprüfung.</w:t>
            </w:r>
          </w:p>
        </w:tc>
      </w:tr>
    </w:tbl>
    <w:p>
      <w:pPr>
        <w:pStyle w:val="Heading2"/>
        <w:rPr/>
      </w:pPr>
      <w:bookmarkStart w:id="124" w:name="freigabearten"/>
      <w:bookmarkStart w:id="125" w:name="_Toc238102135"/>
      <w:bookmarkEnd w:id="124"/>
      <w:r>
        <w:rPr/>
        <w:t>6.5 Einspruch und Beschwerde</w:t>
      </w:r>
      <w:bookmarkEnd w:id="125"/>
    </w:p>
    <w:p>
      <w:pPr>
        <w:pStyle w:val="FirstParagraph"/>
        <w:spacing w:before="0" w:after="160"/>
        <w:rPr/>
      </w:pPr>
      <w:bookmarkStart w:id="126" w:name="bewertung-prüfergebnis-und-freigabe"/>
      <w:r>
        <w:rPr/>
        <w:t>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hemmt keine laufenden Fristen aus dem Maßnahmenplan oder dem Prüfzyklus. Die Einreichung des Maßnahmenplans stellt keine Anerkennung des Prüfergebnisses dar und schließt einen späteren Einspruch nicht aus. Ein Einspruch ist gegen die Berichte aller Prüfarten zulässig. Wird ihm stattgegeben, stellt der CADIS®-Fachbereich einen berichtigten Prüfbericht aus und aktualisiert die CADIS®-Datenbank.</w:t>
      </w:r>
      <w:bookmarkEnd w:id="126"/>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74" w:right="1474" w:gutter="0" w:header="567" w:top="2268" w:footer="38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w:charset w:val="01"/>
    <w:family w:val="roman"/>
    <w:pitch w:val="variable"/>
  </w:font>
  <w:font w:name="Noto Sans Black">
    <w:charset w:val="01"/>
    <w:family w:val="roman"/>
    <w:pitch w:val="variable"/>
  </w:font>
  <w:font w:name="Liberation Sans">
    <w:altName w:val="Arial"/>
    <w:charset w:val="01"/>
    <w:family w:val="swiss"/>
    <w:pitch w:val="variable"/>
  </w:font>
  <w:font w:name="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BasisTabelle"/>
      <w:tblpPr w:vertAnchor="page" w:horzAnchor="page" w:topFromText="142" w:tblpX="1475" w:tblpY="16217"/>
      <w:tblW w:w="6746"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849"/>
      <w:gridCol w:w="5896"/>
    </w:tblGrid>
    <w:tr>
      <w:trPr>
        <w:trHeight w:val="244" w:hRule="exact"/>
      </w:trPr>
      <w:tc>
        <w:tcPr>
          <w:tcW w:w="849" w:type="dxa"/>
          <w:tcBorders/>
        </w:tcPr>
        <w:p>
          <w:pPr>
            <w:pStyle w:val="Footer"/>
            <w:widowControl/>
            <w:spacing w:before="0" w:after="0"/>
            <w:jc w:val="left"/>
            <w:rPr>
              <w:rFonts w:ascii="Noto Sans" w:hAnsi="Noto Sans" w:eastAsia="Noto Sans" w:cs=""/>
              <w:kern w:val="2"/>
              <w:lang w:val="de-DE" w:eastAsia="en-US" w:bidi="ar-SA"/>
            </w:rPr>
          </w:pPr>
          <w:sdt>
            <w:sdtPr>
              <w:id w:val="1224565471"/>
              <w:lock w:val="sdtContentLocked"/>
              <w:text/>
            </w:sdtPr>
            <w:sdtContent>
              <w:r>
                <w:rPr>
                  <w:rFonts w:eastAsia="Noto Sans" w:cs=""/>
                  <w:kern w:val="2"/>
                  <w:lang w:val="de-DE" w:eastAsia="en-US" w:bidi="ar-SA"/>
                </w:rPr>
              </w:r>
              <w:r>
                <w:rPr>
                  <w:rFonts w:eastAsia="Noto Sans" w:cs=""/>
                  <w:kern w:val="2"/>
                  <w:lang w:val="de-DE" w:eastAsia="en-US" w:bidi="ar-SA"/>
                </w:rPr>
                <w:t>Seite</w:t>
              </w:r>
            </w:sdtContent>
          </w:sdt>
        </w:p>
      </w:tc>
      <w:tc>
        <w:tcPr>
          <w:tcW w:w="5896" w:type="dxa"/>
          <w:tcBorders/>
        </w:tcPr>
        <w:p>
          <w:pPr>
            <w:pStyle w:val="Footer"/>
            <w:widowControl/>
            <w:spacing w:before="0" w:after="0"/>
            <w:jc w:val="left"/>
            <w:rPr>
              <w:rFonts w:ascii="Noto Sans" w:hAnsi="Noto Sans" w:eastAsia="Noto Sans" w:cs=""/>
              <w:kern w:val="2"/>
              <w:lang w:val="de-DE" w:eastAsia="en-US" w:bidi="ar-SA"/>
            </w:rPr>
          </w:pPr>
          <w:sdt>
            <w:sdtPr>
              <w:id w:val="-1839683844"/>
            </w:sdtPr>
            <w:sdtContent>
              <w:r>
                <w:rPr>
                  <w:rFonts w:eastAsia="Noto Sans" w:cs=""/>
                  <w:kern w:val="2"/>
                  <w:lang w:val="de-DE" w:eastAsia="en-US" w:bidi="ar-SA"/>
                </w:rPr>
              </w:r>
              <w:r>
                <w:rPr>
                  <w:rFonts w:eastAsia="Noto Sans" w:cs=""/>
                  <w:kern w:val="2"/>
                  <w:lang w:val="de-DE" w:eastAsia="en-US" w:bidi="ar-SA"/>
                </w:rPr>
                <w:fldChar w:fldCharType="begin"/>
              </w:r>
              <w:r>
                <w:rPr>
                  <w:kern w:val="2"/>
                  <w:rFonts w:eastAsia="Noto Sans" w:cs=""/>
                  <w:lang w:val="de-DE" w:eastAsia="en-US" w:bidi="ar-SA"/>
                </w:rPr>
                <w:instrText xml:space="preserve"> PAGE </w:instrText>
              </w:r>
              <w:r>
                <w:rPr>
                  <w:kern w:val="2"/>
                  <w:rFonts w:eastAsia="Noto Sans" w:cs=""/>
                  <w:lang w:val="de-DE" w:eastAsia="en-US" w:bidi="ar-SA"/>
                </w:rPr>
                <w:fldChar w:fldCharType="separate"/>
              </w:r>
              <w:r>
                <w:rPr>
                  <w:kern w:val="2"/>
                  <w:rFonts w:eastAsia="Noto Sans" w:cs=""/>
                  <w:lang w:val="de-DE" w:eastAsia="en-US" w:bidi="ar-SA"/>
                </w:rPr>
                <w:t>30</w:t>
              </w:r>
              <w:r>
                <w:rPr>
                  <w:kern w:val="2"/>
                  <w:rFonts w:eastAsia="Noto Sans" w:cs=""/>
                  <w:lang w:val="de-DE" w:eastAsia="en-US" w:bidi="ar-SA"/>
                </w:rPr>
                <w:fldChar w:fldCharType="end"/>
              </w:r>
              <w:r>
                <w:rPr>
                  <w:rFonts w:eastAsia="Noto Sans" w:cs=""/>
                  <w:kern w:val="2"/>
                  <w:lang w:val="de-DE" w:eastAsia="en-US" w:bidi="ar-SA"/>
                </w:rPr>
                <w:t>/</w:t>
              </w:r>
              <w:r>
                <w:rPr>
                  <w:rFonts w:eastAsia="Noto Sans" w:cs=""/>
                  <w:kern w:val="2"/>
                  <w:lang w:val="de-DE" w:eastAsia="en-US" w:bidi="ar-SA"/>
                </w:rPr>
                <w:fldChar w:fldCharType="begin"/>
              </w:r>
              <w:r>
                <w:rPr>
                  <w:kern w:val="2"/>
                  <w:rFonts w:eastAsia="Noto Sans" w:cs=""/>
                  <w:lang w:val="de-DE" w:eastAsia="en-US" w:bidi="ar-SA"/>
                </w:rPr>
                <w:instrText xml:space="preserve"> NUMPAGES </w:instrText>
              </w:r>
              <w:r>
                <w:rPr>
                  <w:kern w:val="2"/>
                  <w:rFonts w:eastAsia="Noto Sans" w:cs=""/>
                  <w:lang w:val="de-DE" w:eastAsia="en-US" w:bidi="ar-SA"/>
                </w:rPr>
                <w:fldChar w:fldCharType="separate"/>
              </w:r>
              <w:r>
                <w:rPr>
                  <w:kern w:val="2"/>
                  <w:rFonts w:eastAsia="Noto Sans" w:cs=""/>
                  <w:lang w:val="de-DE" w:eastAsia="en-US" w:bidi="ar-SA"/>
                </w:rPr>
                <w:t>30</w:t>
              </w:r>
              <w:r>
                <w:rPr>
                  <w:kern w:val="2"/>
                  <w:rFonts w:eastAsia="Noto Sans" w:cs=""/>
                  <w:lang w:val="de-DE" w:eastAsia="en-US" w:bidi="ar-SA"/>
                </w:rPr>
                <w:fldChar w:fldCharType="end"/>
              </w:r>
              <w:r>
                <w:rPr>
                  <w:rFonts w:eastAsia="Noto Sans" w:cs=""/>
                  <w:kern w:val="2"/>
                  <w:lang w:val="de-DE" w:eastAsia="en-US" w:bidi="ar-SA"/>
                </w:rPr>
              </w:r>
            </w:sdtContent>
          </w:sdt>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40"/>
      <w:rPr>
        <w:rFonts w:ascii="Noto Sans" w:hAnsi="Noto Sans" w:cs="Noto Sans"/>
        <w:color w:val="134D00"/>
        <w:sz w:val="44"/>
        <w:szCs w:val="24"/>
      </w:rPr>
    </w:pPr>
    <w:r>
      <w:rPr>
        <w:rFonts w:cs="Noto Sans"/>
        <w:color w:val="134D00"/>
        <w:sz w:val="44"/>
        <w:szCs w:val="24"/>
      </w:rPr>
      <w:t>CADIS®-Prozessbeschreibung</w:t>
    </w:r>
  </w:p>
  <w:p>
    <w:pPr>
      <w:pStyle w:val="Kontaktdaten"/>
      <w:rPr/>
    </w:pPr>
    <w:r>
      <w:rPr/>
      <w:drawing>
        <wp:anchor behindDoc="1" distT="0" distB="0" distL="0" distR="0" simplePos="0" locked="0" layoutInCell="0" allowOverlap="1" relativeHeight="34">
          <wp:simplePos x="0" y="0"/>
          <wp:positionH relativeFrom="page">
            <wp:posOffset>-342265</wp:posOffset>
          </wp:positionH>
          <wp:positionV relativeFrom="page">
            <wp:posOffset>702310</wp:posOffset>
          </wp:positionV>
          <wp:extent cx="903605" cy="1134110"/>
          <wp:effectExtent l="0" t="0" r="0" b="0"/>
          <wp:wrapNone/>
          <wp:docPr id="9" name="Grafik 18559069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855906970" descr=""/>
                  <pic:cNvPicPr>
                    <a:picLocks noChangeAspect="1" noChangeArrowheads="1"/>
                  </pic:cNvPicPr>
                </pic:nvPicPr>
                <pic:blipFill>
                  <a:blip r:embed="rId1"/>
                  <a:stretch>
                    <a:fillRect/>
                  </a:stretch>
                </pic:blipFill>
                <pic:spPr bwMode="auto">
                  <a:xfrm>
                    <a:off x="0" y="0"/>
                    <a:ext cx="903605" cy="1134110"/>
                  </a:xfrm>
                  <a:prstGeom prst="rect">
                    <a:avLst/>
                  </a:prstGeom>
                </pic:spPr>
              </pic:pic>
            </a:graphicData>
          </a:graphic>
        </wp:anchor>
      </w:drawing>
      <w:drawing>
        <wp:anchor behindDoc="1" distT="0" distB="0" distL="0" distR="0" simplePos="0" locked="0" layoutInCell="0" allowOverlap="1" relativeHeight="64">
          <wp:simplePos x="0" y="0"/>
          <wp:positionH relativeFrom="page">
            <wp:posOffset>5581015</wp:posOffset>
          </wp:positionH>
          <wp:positionV relativeFrom="page">
            <wp:posOffset>457200</wp:posOffset>
          </wp:positionV>
          <wp:extent cx="1259840" cy="353060"/>
          <wp:effectExtent l="0" t="0" r="0" b="0"/>
          <wp:wrapNone/>
          <wp:docPr id="10" name="Grafik 5029050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502905064" descr=""/>
                  <pic:cNvPicPr>
                    <a:picLocks noChangeAspect="1" noChangeArrowheads="1"/>
                  </pic:cNvPicPr>
                </pic:nvPicPr>
                <pic:blipFill>
                  <a:blip r:embed="rId2"/>
                  <a:stretch>
                    <a:fillRect/>
                  </a:stretch>
                </pic:blipFill>
                <pic:spPr bwMode="auto">
                  <a:xfrm>
                    <a:off x="0" y="0"/>
                    <a:ext cx="1259840" cy="35306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3"/>
  </w:num>
  <w:num w:numId="13">
    <w:abstractNumId w:val="3"/>
  </w:num>
  <w:num w:numId="14">
    <w:abstractNumId w:val="3"/>
  </w:num>
  <w:num w:numId="15">
    <w:abstractNumId w:val="5"/>
    <w:lvlOverride w:ilvl="0">
      <w:startOverride w:val="1"/>
    </w:lvlOverride>
  </w:num>
  <w:num w:numId="16">
    <w:abstractNumId w:val="3"/>
  </w:num>
  <w:num w:numId="17">
    <w:abstractNumId w:val="3"/>
  </w:num>
  <w:num w:numId="18">
    <w:abstractNumId w:val="3"/>
  </w:num>
  <w:num w:numId="19">
    <w:abstractNumId w:val="5"/>
    <w:lvlOverride w:ilvl="0">
      <w:startOverride w:val="1"/>
    </w:lvlOverride>
  </w:num>
  <w:num w:numId="20">
    <w:abstractNumId w:val="5"/>
  </w:num>
  <w:num w:numId="21">
    <w:abstractNumId w:val="5"/>
  </w:num>
  <w:num w:numId="22">
    <w:abstractNumId w:val="5"/>
    <w:lvlOverride w:ilvl="0">
      <w:startOverride w:val="1"/>
    </w:lvlOverride>
  </w:num>
  <w:num w:numId="23">
    <w:abstractNumId w:val="5"/>
  </w:num>
  <w:num w:numId="24">
    <w:abstractNumId w:val="5"/>
  </w:num>
  <w:num w:numId="25">
    <w:abstractNumId w:val="5"/>
    <w:lvlOverride w:ilvl="0">
      <w:startOverride w:val="1"/>
    </w:lvlOverride>
  </w:num>
  <w:num w:numId="26">
    <w:abstractNumId w:val="5"/>
  </w:num>
  <w:num w:numId="27">
    <w:abstractNumId w:val="5"/>
  </w:num>
  <w:num w:numId="28">
    <w:abstractNumId w:val="5"/>
    <w:lvlOverride w:ilvl="0">
      <w:startOverride w:val="1"/>
    </w:lvlOverride>
  </w:num>
  <w:num w:numId="29">
    <w:abstractNumId w:val="5"/>
  </w:num>
  <w:num w:numId="30">
    <w:abstractNumId w:val="5"/>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ans" w:hAnsi="Noto Sans" w:eastAsia="Noto San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uiPriority="9" w:semiHidden="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semiHidden="1"/>
    <w:lsdException w:name="toc 2" w:uiPriority="39" w:semiHidden="1"/>
    <w:lsdException w:name="toc 3" w:uiPriority="39" w:semiHidden="1"/>
    <w:lsdException w:name="toc 4" w:uiPriority="39" w:semiHidden="1"/>
    <w:lsdException w:name="toc 5" w:uiPriority="39" w:semiHidden="1"/>
    <w:lsdException w:name="toc 6" w:uiPriority="39" w:semiHidden="1"/>
    <w:lsdException w:name="toc 7" w:uiPriority="39" w:semiHidden="1"/>
    <w:lsdException w:name="toc 8" w:uiPriority="39" w:semiHidden="1"/>
    <w:lsdException w:name="toc 9" w:uiPriority="39" w:semiHidden="1"/>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uiPriority="35" w:semiHidden="1"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uiPriority="1" w:semiHidden="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uiPriority="22" w:semiHidden="1" w:qFormat="1"/>
    <w:lsdException w:name="Emphasis" w:uiPriority="20"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uiPriority="37" w:semiHidden="1"/>
    <w:lsdException w:name="TOC Heading" w:uiPriority="39" w:semiHidden="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styleId="Normal" w:default="1">
    <w:name w:val="Normal"/>
    <w:semiHidden/>
    <w:qFormat/>
    <w:rsid w:val="0055013b"/>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Heading1">
    <w:name w:val="Heading 1"/>
    <w:basedOn w:val="Normal"/>
    <w:next w:val="Normal"/>
    <w:link w:val="berschrift1Zchn"/>
    <w:uiPriority w:val="99"/>
    <w:semiHidden/>
    <w:qFormat/>
    <w:rsid w:val="002f6ee3"/>
    <w:pPr>
      <w:keepNext w:val="true"/>
      <w:keepLines/>
      <w:pBdr>
        <w:left w:val="single" w:sz="36" w:space="0" w:color="C1D62F"/>
      </w:pBdr>
      <w:spacing w:before="120" w:after="200"/>
      <w:outlineLvl w:val="0"/>
    </w:pPr>
    <w:rPr>
      <w:rFonts w:ascii="Noto Sans Black" w:hAnsi="Noto Sans Black" w:eastAsia="" w:cs="Noto Sans Black" w:eastAsiaTheme="majorEastAsia"/>
      <w:b/>
      <w:color w:val="063D2C"/>
      <w:sz w:val="40"/>
      <w:szCs w:val="32"/>
    </w:rPr>
  </w:style>
  <w:style w:type="paragraph" w:styleId="Heading2">
    <w:name w:val="Heading 2"/>
    <w:basedOn w:val="Normal"/>
    <w:next w:val="Normal"/>
    <w:link w:val="berschrift2Zchn"/>
    <w:uiPriority w:val="99"/>
    <w:semiHidden/>
    <w:qFormat/>
    <w:rsid w:val="002e2d9e"/>
    <w:pPr>
      <w:keepNext w:val="true"/>
      <w:keepLines/>
      <w:spacing w:before="280" w:after="120"/>
      <w:outlineLvl w:val="1"/>
    </w:pPr>
    <w:rPr>
      <w:rFonts w:ascii="Noto Sans Black" w:hAnsi="Noto Sans Black" w:eastAsia="" w:cs="Noto Sans Black" w:eastAsiaTheme="majorEastAsia"/>
      <w:b/>
      <w:color w:val="017D40"/>
      <w:sz w:val="28"/>
      <w:szCs w:val="26"/>
    </w:rPr>
  </w:style>
  <w:style w:type="paragraph" w:styleId="Heading3">
    <w:name w:val="Heading 3"/>
    <w:basedOn w:val="Normal"/>
    <w:next w:val="Normal"/>
    <w:link w:val="berschrift3Zchn"/>
    <w:uiPriority w:val="9"/>
    <w:unhideWhenUsed/>
    <w:qFormat/>
    <w:rsid w:val="00c95364"/>
    <w:pPr>
      <w:keepNext w:val="true"/>
      <w:keepLines/>
      <w:spacing w:lineRule="auto" w:line="276" w:before="280" w:after="120"/>
      <w:outlineLvl w:val="2"/>
    </w:pPr>
    <w:rPr>
      <w:rFonts w:ascii="Noto Sans Black" w:hAnsi="Noto Sans Black" w:eastAsia="Arial" w:cs="Noto Sans Black"/>
      <w:b/>
      <w:color w:val="063D2C"/>
      <w:kern w:val="0"/>
      <w:sz w:val="24"/>
      <w:szCs w:val="28"/>
      <w:lang w:val="en-GB" w:eastAsia="de-DE"/>
      <w14:ligatures w14:val="none"/>
    </w:rPr>
  </w:style>
  <w:style w:type="character" w:styleId="DefaultParagraphFont" w:default="1">
    <w:name w:val="Default Paragraph Font"/>
    <w:uiPriority w:val="1"/>
    <w:semiHidden/>
    <w:unhideWhenUsed/>
    <w:qFormat/>
    <w:rPr/>
  </w:style>
  <w:style w:type="character" w:styleId="TitelZchn" w:customStyle="1">
    <w:name w:val="Titel Zchn"/>
    <w:basedOn w:val="DefaultParagraphFont"/>
    <w:link w:val="Title"/>
    <w:uiPriority w:val="6"/>
    <w:qFormat/>
    <w:rsid w:val="0055013b"/>
    <w:rPr>
      <w:rFonts w:eastAsia="" w:cs="Noto Sans" w:cstheme="minorHAnsi" w:eastAsiaTheme="majorEastAsia"/>
      <w:b/>
      <w:bCs/>
      <w:kern w:val="2"/>
      <w:sz w:val="36"/>
      <w:szCs w:val="36"/>
    </w:rPr>
  </w:style>
  <w:style w:type="character" w:styleId="UntertitelZchn" w:customStyle="1">
    <w:name w:val="Untertitel Zchn"/>
    <w:basedOn w:val="DefaultParagraphFont"/>
    <w:link w:val="Subtitle"/>
    <w:uiPriority w:val="99"/>
    <w:semiHidden/>
    <w:qFormat/>
    <w:rsid w:val="0055013b"/>
    <w:rPr>
      <w:rFonts w:eastAsia="" w:eastAsiaTheme="minorEastAsia"/>
      <w:color w:themeColor="text1" w:themeTint="a5" w:val="5A5A5A"/>
      <w:spacing w:val="15"/>
    </w:rPr>
  </w:style>
  <w:style w:type="character" w:styleId="KopfzeileZchn" w:customStyle="1">
    <w:name w:val="Kopfzeile Zchn"/>
    <w:basedOn w:val="DefaultParagraphFont"/>
    <w:link w:val="Header"/>
    <w:uiPriority w:val="99"/>
    <w:qFormat/>
    <w:rsid w:val="0055013b"/>
    <w:rPr/>
  </w:style>
  <w:style w:type="character" w:styleId="FuzeileZchn" w:customStyle="1">
    <w:name w:val="Fußzeile Zchn"/>
    <w:basedOn w:val="DefaultParagraphFont"/>
    <w:link w:val="Footer"/>
    <w:uiPriority w:val="40"/>
    <w:qFormat/>
    <w:rsid w:val="0055013b"/>
    <w:rPr>
      <w:sz w:val="16"/>
      <w:szCs w:val="16"/>
    </w:rPr>
  </w:style>
  <w:style w:type="character" w:styleId="Hyperlink">
    <w:name w:val="Hyperlink"/>
    <w:basedOn w:val="DefaultParagraphFont"/>
    <w:uiPriority w:val="99"/>
    <w:rsid w:val="00bb3a1b"/>
    <w:rPr>
      <w:color w:themeColor="hyperlink" w:val="008143"/>
      <w:u w:val="single"/>
    </w:rPr>
  </w:style>
  <w:style w:type="character" w:styleId="UnresolvedMention">
    <w:name w:val="Unresolved Mention"/>
    <w:basedOn w:val="DefaultParagraphFont"/>
    <w:uiPriority w:val="99"/>
    <w:semiHidden/>
    <w:qFormat/>
    <w:rsid w:val="00bb3a1b"/>
    <w:rPr>
      <w:color w:val="605E5C"/>
      <w:shd w:fill="E1DFDD" w:val="clear"/>
    </w:rPr>
  </w:style>
  <w:style w:type="character" w:styleId="PlaceholderText">
    <w:name w:val="Placeholder Text"/>
    <w:basedOn w:val="DefaultParagraphFont"/>
    <w:uiPriority w:val="99"/>
    <w:semiHidden/>
    <w:qFormat/>
    <w:rsid w:val="009b4c5c"/>
    <w:rPr>
      <w:color w:val="808080"/>
    </w:rPr>
  </w:style>
  <w:style w:type="character" w:styleId="Strong">
    <w:name w:val="Strong"/>
    <w:basedOn w:val="DefaultParagraphFont"/>
    <w:uiPriority w:val="22"/>
    <w:qFormat/>
    <w:rsid w:val="00707d2a"/>
    <w:rPr>
      <w:b/>
      <w:bCs/>
    </w:rPr>
  </w:style>
  <w:style w:type="character" w:styleId="Emphasis">
    <w:name w:val="Emphasis"/>
    <w:basedOn w:val="DefaultParagraphFont"/>
    <w:uiPriority w:val="20"/>
    <w:qFormat/>
    <w:rsid w:val="00707d2a"/>
    <w:rPr>
      <w:i/>
      <w:iCs/>
    </w:rPr>
  </w:style>
  <w:style w:type="character" w:styleId="FunotentextZchn" w:customStyle="1">
    <w:name w:val="Fußnotentext Zchn"/>
    <w:basedOn w:val="DefaultParagraphFont"/>
    <w:link w:val="FootnoteText"/>
    <w:uiPriority w:val="99"/>
    <w:semiHidden/>
    <w:qFormat/>
    <w:rsid w:val="004c1218"/>
    <w:rPr>
      <w:sz w:val="20"/>
      <w:szCs w:val="20"/>
    </w:rPr>
  </w:style>
  <w:style w:type="character" w:styleId="FootnoteCharacters">
    <w:name w:val="Footnote Characters"/>
    <w:basedOn w:val="DefaultParagraphFont"/>
    <w:uiPriority w:val="99"/>
    <w:semiHidden/>
    <w:qFormat/>
    <w:rsid w:val="004c1218"/>
    <w:rPr>
      <w:vertAlign w:val="superscript"/>
    </w:rPr>
  </w:style>
  <w:style w:type="character" w:styleId="FootnoteReference">
    <w:name w:val="Footnote Reference"/>
    <w:rPr>
      <w:vertAlign w:val="superscript"/>
    </w:rPr>
  </w:style>
  <w:style w:type="character" w:styleId="annotationreference">
    <w:name w:val="annotation reference"/>
    <w:basedOn w:val="DefaultParagraphFont"/>
    <w:uiPriority w:val="99"/>
    <w:semiHidden/>
    <w:unhideWhenUsed/>
    <w:qFormat/>
    <w:rsid w:val="00271cb2"/>
    <w:rPr>
      <w:sz w:val="16"/>
      <w:szCs w:val="16"/>
    </w:rPr>
  </w:style>
  <w:style w:type="character" w:styleId="KommentartextZchn" w:customStyle="1">
    <w:name w:val="Kommentartext Zchn"/>
    <w:basedOn w:val="DefaultParagraphFont"/>
    <w:link w:val="AnnotationText"/>
    <w:uiPriority w:val="99"/>
    <w:qFormat/>
    <w:rsid w:val="003129a9"/>
    <w:rPr>
      <w:sz w:val="20"/>
      <w:szCs w:val="20"/>
    </w:rPr>
  </w:style>
  <w:style w:type="character" w:styleId="KommentarthemaZchn" w:customStyle="1">
    <w:name w:val="Kommentarthema Zchn"/>
    <w:basedOn w:val="KommentartextZchn"/>
    <w:link w:val="annotationsubject"/>
    <w:uiPriority w:val="99"/>
    <w:semiHidden/>
    <w:qFormat/>
    <w:rsid w:val="003129a9"/>
    <w:rPr>
      <w:b/>
      <w:bCs/>
      <w:sz w:val="20"/>
      <w:szCs w:val="20"/>
    </w:rPr>
  </w:style>
  <w:style w:type="character" w:styleId="berschrift3Zchn" w:customStyle="1">
    <w:name w:val="Überschrift 3 Zchn"/>
    <w:basedOn w:val="DefaultParagraphFont"/>
    <w:link w:val="Heading3"/>
    <w:uiPriority w:val="9"/>
    <w:qFormat/>
    <w:rsid w:val="00c95364"/>
    <w:rPr>
      <w:rFonts w:ascii="Noto Sans Black" w:hAnsi="Noto Sans Black" w:eastAsia="Arial" w:cs="Noto Sans Black"/>
      <w:b/>
      <w:color w:val="063D2C"/>
      <w:kern w:val="0"/>
      <w:sz w:val="24"/>
      <w:szCs w:val="28"/>
      <w:lang w:val="en-GB" w:eastAsia="de-DE"/>
      <w14:ligatures w14:val="none"/>
    </w:rPr>
  </w:style>
  <w:style w:type="character" w:styleId="berschrift1Zchn" w:customStyle="1">
    <w:name w:val="Überschrift 1 Zchn"/>
    <w:basedOn w:val="DefaultParagraphFont"/>
    <w:link w:val="Heading1"/>
    <w:uiPriority w:val="99"/>
    <w:semiHidden/>
    <w:qFormat/>
    <w:rsid w:val="002f6ee3"/>
    <w:rPr>
      <w:rFonts w:ascii="Noto Sans Black" w:hAnsi="Noto Sans Black" w:eastAsia="" w:cs="Noto Sans Black" w:eastAsiaTheme="majorEastAsia"/>
      <w:b/>
      <w:color w:val="063D2C"/>
      <w:sz w:val="40"/>
      <w:szCs w:val="32"/>
    </w:rPr>
  </w:style>
  <w:style w:type="character" w:styleId="berschrift2Zchn" w:customStyle="1">
    <w:name w:val="Überschrift 2 Zchn"/>
    <w:basedOn w:val="DefaultParagraphFont"/>
    <w:link w:val="Heading2"/>
    <w:uiPriority w:val="99"/>
    <w:semiHidden/>
    <w:qFormat/>
    <w:rsid w:val="002e2d9e"/>
    <w:rPr>
      <w:rFonts w:ascii="Noto Sans Black" w:hAnsi="Noto Sans Black" w:eastAsia="" w:cs="Noto Sans Black" w:eastAsiaTheme="majorEastAsia"/>
      <w:b/>
      <w:color w:val="017D40"/>
      <w:sz w:val="28"/>
      <w:szCs w:val="26"/>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lietext" w:customStyle="1">
    <w:name w:val="Fließtext"/>
    <w:basedOn w:val="Normal"/>
    <w:uiPriority w:val="10"/>
    <w:qFormat/>
    <w:rsid w:val="0003048f"/>
    <w:pPr>
      <w:spacing w:lineRule="atLeast" w:line="320" w:before="200" w:after="200"/>
    </w:pPr>
    <w:rPr/>
  </w:style>
  <w:style w:type="paragraph" w:styleId="Einleitung" w:customStyle="1">
    <w:name w:val="Einleitung"/>
    <w:basedOn w:val="Flietext"/>
    <w:uiPriority w:val="9"/>
    <w:qFormat/>
    <w:rsid w:val="0003048f"/>
    <w:pPr>
      <w:spacing w:before="600" w:after="200"/>
    </w:pPr>
    <w:rPr>
      <w:b/>
      <w:bCs/>
    </w:rPr>
  </w:style>
  <w:style w:type="paragraph" w:styleId="AufzhlungHighlight" w:customStyle="1">
    <w:name w:val="Aufzählung Highlight"/>
    <w:basedOn w:val="Normal"/>
    <w:uiPriority w:val="7"/>
    <w:qFormat/>
    <w:rsid w:val="0003048f"/>
    <w:pPr>
      <w:numPr>
        <w:ilvl w:val="0"/>
        <w:numId w:val="1"/>
      </w:numPr>
      <w:spacing w:lineRule="atLeast" w:line="360" w:before="120" w:after="120"/>
    </w:pPr>
    <w:rPr>
      <w:sz w:val="24"/>
      <w:szCs w:val="24"/>
    </w:rPr>
  </w:style>
  <w:style w:type="paragraph" w:styleId="Title">
    <w:name w:val="Title"/>
    <w:basedOn w:val="Normal"/>
    <w:link w:val="TitelZchn"/>
    <w:uiPriority w:val="6"/>
    <w:qFormat/>
    <w:rsid w:val="00b81e0c"/>
    <w:pPr>
      <w:spacing w:before="120" w:after="120"/>
      <w:contextualSpacing/>
    </w:pPr>
    <w:rPr>
      <w:rFonts w:eastAsia="" w:cs="Noto Sans" w:cstheme="minorHAnsi" w:eastAsiaTheme="majorEastAsia"/>
      <w:b/>
      <w:bCs/>
      <w:kern w:val="2"/>
      <w:sz w:val="36"/>
      <w:szCs w:val="36"/>
    </w:rPr>
  </w:style>
  <w:style w:type="paragraph" w:styleId="Subtitle">
    <w:name w:val="Subtitle"/>
    <w:basedOn w:val="Normal"/>
    <w:next w:val="Normal"/>
    <w:link w:val="UntertitelZchn"/>
    <w:uiPriority w:val="99"/>
    <w:semiHidden/>
    <w:qFormat/>
    <w:rsid w:val="00006f9c"/>
    <w:pPr>
      <w:spacing w:before="0" w:after="160"/>
    </w:pPr>
    <w:rPr>
      <w:rFonts w:eastAsia="" w:eastAsiaTheme="minorEastAsia"/>
      <w:color w:themeColor="text1" w:themeTint="a5" w:val="5A5A5A"/>
      <w:spacing w:val="15"/>
    </w:rPr>
  </w:style>
  <w:style w:type="paragraph" w:styleId="Medientitel" w:customStyle="1">
    <w:name w:val="Medientitel"/>
    <w:basedOn w:val="Normal"/>
    <w:uiPriority w:val="4"/>
    <w:qFormat/>
    <w:rsid w:val="00006f9c"/>
    <w:pPr/>
    <w:rPr>
      <w:sz w:val="32"/>
      <w:szCs w:val="32"/>
    </w:rPr>
  </w:style>
  <w:style w:type="paragraph" w:styleId="Thema" w:customStyle="1">
    <w:name w:val="Thema"/>
    <w:basedOn w:val="Normal"/>
    <w:uiPriority w:val="5"/>
    <w:qFormat/>
    <w:rsid w:val="00b81e0c"/>
    <w:pPr>
      <w:spacing w:lineRule="atLeast" w:line="360" w:before="0" w:after="120"/>
      <w:contextualSpacing/>
    </w:pPr>
    <w:rPr>
      <w:sz w:val="24"/>
      <w:szCs w:val="24"/>
      <w:u w:val="single"/>
    </w:rPr>
  </w:style>
  <w:style w:type="paragraph" w:styleId="HeaderandFooter">
    <w:name w:val="Header and Footer"/>
    <w:basedOn w:val="Normal"/>
    <w:qFormat/>
    <w:pPr/>
    <w:rPr/>
  </w:style>
  <w:style w:type="paragraph" w:styleId="Header">
    <w:name w:val="Header"/>
    <w:basedOn w:val="Normal"/>
    <w:link w:val="KopfzeileZchn"/>
    <w:uiPriority w:val="99"/>
    <w:rsid w:val="00006f9c"/>
    <w:pPr>
      <w:tabs>
        <w:tab w:val="clear" w:pos="708"/>
        <w:tab w:val="center" w:pos="4536" w:leader="none"/>
        <w:tab w:val="right" w:pos="9072" w:leader="none"/>
      </w:tabs>
    </w:pPr>
    <w:rPr/>
  </w:style>
  <w:style w:type="paragraph" w:styleId="Footer">
    <w:name w:val="Footer"/>
    <w:basedOn w:val="Normal"/>
    <w:link w:val="FuzeileZchn"/>
    <w:uiPriority w:val="40"/>
    <w:rsid w:val="000f76e9"/>
    <w:pPr>
      <w:tabs>
        <w:tab w:val="clear" w:pos="708"/>
        <w:tab w:val="center" w:pos="4536" w:leader="none"/>
        <w:tab w:val="right" w:pos="9072" w:leader="none"/>
      </w:tabs>
      <w:spacing w:lineRule="atLeast" w:line="240"/>
    </w:pPr>
    <w:rPr>
      <w:sz w:val="16"/>
      <w:szCs w:val="16"/>
    </w:rPr>
  </w:style>
  <w:style w:type="paragraph" w:styleId="Kontaktdaten" w:customStyle="1">
    <w:name w:val="Kontaktdaten"/>
    <w:basedOn w:val="Normal"/>
    <w:uiPriority w:val="40"/>
    <w:qFormat/>
    <w:rsid w:val="000f76e9"/>
    <w:pPr>
      <w:spacing w:lineRule="atLeast" w:line="240"/>
    </w:pPr>
    <w:rPr>
      <w:sz w:val="16"/>
      <w:szCs w:val="16"/>
    </w:rPr>
  </w:style>
  <w:style w:type="paragraph" w:styleId="Infotext" w:customStyle="1">
    <w:name w:val="Infotext"/>
    <w:basedOn w:val="Normal"/>
    <w:uiPriority w:val="20"/>
    <w:qFormat/>
    <w:rsid w:val="00bb3a1b"/>
    <w:pPr>
      <w:spacing w:lineRule="atLeast" w:line="280"/>
    </w:pPr>
    <w:rPr>
      <w:i/>
      <w:iCs/>
      <w:sz w:val="20"/>
      <w:szCs w:val="20"/>
    </w:rPr>
  </w:style>
  <w:style w:type="paragraph" w:styleId="InfotextHeadline" w:customStyle="1">
    <w:name w:val="Infotext Headline"/>
    <w:basedOn w:val="Infotext"/>
    <w:uiPriority w:val="19"/>
    <w:qFormat/>
    <w:rsid w:val="00bb3a1b"/>
    <w:pPr>
      <w:spacing w:before="1000" w:after="120"/>
      <w:contextualSpacing/>
    </w:pPr>
    <w:rPr>
      <w:b/>
      <w:bCs/>
    </w:rPr>
  </w:style>
  <w:style w:type="paragraph" w:styleId="ListParagraph">
    <w:name w:val="List Paragraph"/>
    <w:basedOn w:val="Normal"/>
    <w:uiPriority w:val="34"/>
    <w:qFormat/>
    <w:rsid w:val="00564e6c"/>
    <w:pPr>
      <w:spacing w:lineRule="auto" w:line="276" w:before="0" w:after="160"/>
      <w:ind w:left="720"/>
      <w:contextualSpacing/>
    </w:pPr>
    <w:rPr>
      <w:rFonts w:eastAsia="" w:eastAsiaTheme="minorEastAsia"/>
      <w:kern w:val="0"/>
      <w:sz w:val="21"/>
      <w:szCs w:val="21"/>
      <w14:ligatures w14:val="none"/>
    </w:rPr>
  </w:style>
  <w:style w:type="paragraph" w:styleId="FootnoteText">
    <w:name w:val="Footnote Text"/>
    <w:basedOn w:val="Normal"/>
    <w:link w:val="FunotentextZchn"/>
    <w:uiPriority w:val="99"/>
    <w:semiHidden/>
    <w:rsid w:val="004c1218"/>
    <w:pPr/>
    <w:rPr>
      <w:sz w:val="20"/>
      <w:szCs w:val="20"/>
    </w:rPr>
  </w:style>
  <w:style w:type="paragraph" w:styleId="AnnotationText">
    <w:name w:val="Annotation Text"/>
    <w:basedOn w:val="Normal"/>
    <w:link w:val="KommentartextZchn"/>
    <w:uiPriority w:val="99"/>
    <w:rsid w:val="003129a9"/>
    <w:pPr/>
    <w:rPr>
      <w:sz w:val="20"/>
      <w:szCs w:val="20"/>
    </w:rPr>
  </w:style>
  <w:style w:type="paragraph" w:styleId="annotationsubject">
    <w:name w:val="annotation subject"/>
    <w:basedOn w:val="AnnotationText"/>
    <w:next w:val="AnnotationText"/>
    <w:link w:val="KommentarthemaZchn"/>
    <w:uiPriority w:val="99"/>
    <w:semiHidden/>
    <w:qFormat/>
    <w:rsid w:val="003129a9"/>
    <w:pPr/>
    <w:rPr>
      <w:b/>
      <w:bCs/>
    </w:rPr>
  </w:style>
  <w:style w:type="paragraph" w:styleId="Revision">
    <w:name w:val="Revision"/>
    <w:uiPriority w:val="99"/>
    <w:semiHidden/>
    <w:qFormat/>
    <w:rsid w:val="00a63e65"/>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RevisionListeStufe1" w:customStyle="1">
    <w:name w:val="Revision Liste (Stufe 1)"/>
    <w:basedOn w:val="Normal"/>
    <w:qFormat/>
    <w:rsid w:val="00e61d8d"/>
    <w:pPr>
      <w:numPr>
        <w:ilvl w:val="0"/>
        <w:numId w:val="2"/>
      </w:numPr>
      <w:tabs>
        <w:tab w:val="clear" w:pos="708"/>
        <w:tab w:val="left" w:pos="0" w:leader="none"/>
      </w:tabs>
      <w:spacing w:before="120" w:after="120"/>
      <w:jc w:val="both"/>
    </w:pPr>
    <w:rPr>
      <w:rFonts w:ascii="Arial" w:hAnsi="Arial" w:cs="Arial"/>
      <w:color w:val="800000"/>
      <w:kern w:val="0"/>
      <w:lang w:eastAsia="de-DE"/>
      <w14:ligatures w14:val="none"/>
    </w:rPr>
  </w:style>
  <w:style w:type="paragraph" w:styleId="RevisionListeFolgeabsatzStufe1" w:customStyle="1">
    <w:name w:val="Revision Liste Folgeabsatz (Stufe 1)"/>
    <w:basedOn w:val="Normal"/>
    <w:qFormat/>
    <w:rsid w:val="00e61d8d"/>
    <w:pPr>
      <w:numPr>
        <w:ilvl w:val="1"/>
        <w:numId w:val="2"/>
      </w:numPr>
      <w:spacing w:before="120" w:after="120"/>
      <w:jc w:val="both"/>
    </w:pPr>
    <w:rPr>
      <w:rFonts w:ascii="Arial" w:hAnsi="Arial" w:cs="Arial"/>
      <w:color w:val="800000"/>
      <w:kern w:val="0"/>
      <w:lang w:eastAsia="de-DE"/>
      <w14:ligatures w14:val="none"/>
    </w:rPr>
  </w:style>
  <w:style w:type="paragraph" w:styleId="RevisionListeStufe2" w:customStyle="1">
    <w:name w:val="Revision Liste (Stufe 2)"/>
    <w:basedOn w:val="Normal"/>
    <w:qFormat/>
    <w:rsid w:val="00e61d8d"/>
    <w:pPr>
      <w:numPr>
        <w:ilvl w:val="2"/>
        <w:numId w:val="2"/>
      </w:numPr>
      <w:spacing w:before="120" w:after="120"/>
      <w:jc w:val="both"/>
    </w:pPr>
    <w:rPr>
      <w:rFonts w:ascii="Arial" w:hAnsi="Arial" w:cs="Arial"/>
      <w:color w:val="800000"/>
      <w:kern w:val="0"/>
      <w:lang w:eastAsia="de-DE"/>
      <w14:ligatures w14:val="none"/>
    </w:rPr>
  </w:style>
  <w:style w:type="paragraph" w:styleId="RevisionListeFolgeabsatzStufe2" w:customStyle="1">
    <w:name w:val="Revision Liste Folgeabsatz (Stufe 2)"/>
    <w:basedOn w:val="Normal"/>
    <w:qFormat/>
    <w:rsid w:val="00e61d8d"/>
    <w:pPr>
      <w:numPr>
        <w:ilvl w:val="3"/>
        <w:numId w:val="2"/>
      </w:numPr>
      <w:spacing w:before="120" w:after="120"/>
      <w:jc w:val="both"/>
    </w:pPr>
    <w:rPr>
      <w:rFonts w:ascii="Arial" w:hAnsi="Arial" w:cs="Arial"/>
      <w:color w:val="800000"/>
      <w:kern w:val="0"/>
      <w:lang w:eastAsia="de-DE"/>
      <w14:ligatures w14:val="none"/>
    </w:rPr>
  </w:style>
  <w:style w:type="paragraph" w:styleId="RevisionListeStufe3" w:customStyle="1">
    <w:name w:val="Revision Liste (Stufe 3)"/>
    <w:basedOn w:val="Normal"/>
    <w:qFormat/>
    <w:rsid w:val="00e61d8d"/>
    <w:pPr>
      <w:numPr>
        <w:ilvl w:val="4"/>
        <w:numId w:val="2"/>
      </w:numPr>
      <w:spacing w:before="120" w:after="120"/>
      <w:jc w:val="both"/>
    </w:pPr>
    <w:rPr>
      <w:rFonts w:ascii="Arial" w:hAnsi="Arial" w:cs="Arial"/>
      <w:color w:val="800000"/>
      <w:kern w:val="0"/>
      <w:lang w:eastAsia="de-DE"/>
      <w14:ligatures w14:val="none"/>
    </w:rPr>
  </w:style>
  <w:style w:type="paragraph" w:styleId="RevisionListeFolgeabsatzStufe3" w:customStyle="1">
    <w:name w:val="Revision Liste Folgeabsatz (Stufe 3)"/>
    <w:basedOn w:val="Normal"/>
    <w:qFormat/>
    <w:rsid w:val="00e61d8d"/>
    <w:pPr>
      <w:numPr>
        <w:ilvl w:val="5"/>
        <w:numId w:val="2"/>
      </w:numPr>
      <w:spacing w:before="120" w:after="120"/>
      <w:jc w:val="both"/>
    </w:pPr>
    <w:rPr>
      <w:rFonts w:ascii="Arial" w:hAnsi="Arial" w:cs="Arial"/>
      <w:color w:val="800000"/>
      <w:kern w:val="0"/>
      <w:lang w:eastAsia="de-DE"/>
      <w14:ligatures w14:val="none"/>
    </w:rPr>
  </w:style>
  <w:style w:type="paragraph" w:styleId="RevisionListeStufe4" w:customStyle="1">
    <w:name w:val="Revision Liste (Stufe 4)"/>
    <w:basedOn w:val="Normal"/>
    <w:qFormat/>
    <w:rsid w:val="00e61d8d"/>
    <w:pPr>
      <w:numPr>
        <w:ilvl w:val="6"/>
        <w:numId w:val="2"/>
      </w:numPr>
      <w:spacing w:before="120" w:after="120"/>
      <w:jc w:val="both"/>
    </w:pPr>
    <w:rPr>
      <w:rFonts w:ascii="Arial" w:hAnsi="Arial" w:cs="Arial"/>
      <w:color w:val="800000"/>
      <w:kern w:val="0"/>
      <w:lang w:eastAsia="de-DE"/>
      <w14:ligatures w14:val="none"/>
    </w:rPr>
  </w:style>
  <w:style w:type="paragraph" w:styleId="RevisionListeFolgeabsatzStufe4" w:customStyle="1">
    <w:name w:val="Revision Liste Folgeabsatz (Stufe 4)"/>
    <w:basedOn w:val="Normal"/>
    <w:qFormat/>
    <w:rsid w:val="00e61d8d"/>
    <w:pPr>
      <w:numPr>
        <w:ilvl w:val="7"/>
        <w:numId w:val="2"/>
      </w:numPr>
      <w:spacing w:before="120" w:after="120"/>
      <w:jc w:val="both"/>
    </w:pPr>
    <w:rPr>
      <w:rFonts w:ascii="Arial" w:hAnsi="Arial" w:cs="Arial"/>
      <w:color w:val="800000"/>
      <w:kern w:val="0"/>
      <w:lang w:eastAsia="de-DE"/>
      <w14:ligatures w14:val="none"/>
    </w:rPr>
  </w:style>
  <w:style w:type="paragraph" w:styleId="Default" w:customStyle="1">
    <w:name w:val="Default"/>
    <w:qFormat/>
    <w:rsid w:val="00f209ca"/>
    <w:pPr>
      <w:widowControl/>
      <w:bidi w:val="0"/>
      <w:spacing w:before="0" w:after="0"/>
      <w:jc w:val="left"/>
    </w:pPr>
    <w:rPr>
      <w:rFonts w:ascii="Noto Sans" w:hAnsi="Noto Sans" w:cs="Noto Sans" w:eastAsia="Noto Sans"/>
      <w:color w:val="000000"/>
      <w:kern w:val="0"/>
      <w:sz w:val="24"/>
      <w:szCs w:val="24"/>
      <w:lang w:val="de-DE" w:eastAsia="en-US" w:bidi="ar-SA"/>
    </w:rPr>
  </w:style>
  <w:style w:type="paragraph" w:styleId="NormalWeb">
    <w:name w:val="Normal (Web)"/>
    <w:basedOn w:val="Normal"/>
    <w:uiPriority w:val="99"/>
    <w:unhideWhenUsed/>
    <w:qFormat/>
    <w:rsid w:val="00bc0466"/>
    <w:pPr>
      <w:spacing w:beforeAutospacing="1" w:afterAutospacing="1"/>
    </w:pPr>
    <w:rPr>
      <w:rFonts w:ascii="Times New Roman" w:hAnsi="Times New Roman" w:eastAsia="Times New Roman" w:cs="Times New Roman"/>
      <w:kern w:val="0"/>
      <w:sz w:val="24"/>
      <w:szCs w:val="24"/>
      <w:lang w:eastAsia="de-DE"/>
      <w14:ligatures w14:val="none"/>
    </w:rPr>
  </w:style>
  <w:style w:type="paragraph" w:styleId="TOC1">
    <w:name w:val="TOC 1"/>
    <w:basedOn w:val="Normal"/>
    <w:next w:val="Normal"/>
    <w:autoRedefine/>
    <w:uiPriority w:val="39"/>
    <w:rsid w:val="00593bfb"/>
    <w:pPr>
      <w:spacing w:before="0" w:after="100"/>
    </w:pPr>
    <w:rPr/>
  </w:style>
  <w:style w:type="paragraph" w:styleId="TOC2">
    <w:name w:val="TOC 2"/>
    <w:basedOn w:val="Normal"/>
    <w:next w:val="Normal"/>
    <w:autoRedefine/>
    <w:uiPriority w:val="39"/>
    <w:rsid w:val="00593bfb"/>
    <w:pPr>
      <w:spacing w:before="0" w:after="100"/>
      <w:ind w:left="220"/>
    </w:pPr>
    <w:rPr/>
  </w:style>
  <w:style w:type="paragraph" w:styleId="TOC3">
    <w:name w:val="TOC 3"/>
    <w:basedOn w:val="Normal"/>
    <w:next w:val="Normal"/>
    <w:autoRedefine/>
    <w:uiPriority w:val="39"/>
    <w:rsid w:val="00593bfb"/>
    <w:pPr>
      <w:spacing w:before="0" w:after="100"/>
      <w:ind w:left="440"/>
    </w:pPr>
    <w:rPr/>
  </w:style>
  <w:style w:type="paragraph" w:styleId="Textkrper1" w:customStyle="1">
    <w:name w:val="Textkörper1"/>
    <w:basedOn w:val="Flietext"/>
    <w:qFormat/>
    <w:pPr>
      <w:spacing w:lineRule="atLeast" w:line="300" w:before="0" w:after="160"/>
    </w:pPr>
    <w:rPr/>
  </w:style>
  <w:style w:type="paragraph" w:styleId="FirstParagraph" w:customStyle="1">
    <w:name w:val="First Paragraph"/>
    <w:basedOn w:val="Textkrper1"/>
    <w:qFormat/>
    <w:pPr/>
    <w:rPr/>
  </w:style>
  <w:style w:type="paragraph" w:styleId="Compact" w:customStyle="1">
    <w:name w:val="Compact"/>
    <w:basedOn w:val="Textkrper1"/>
    <w:qFormat/>
    <w:pPr>
      <w:spacing w:lineRule="atLeast" w:line="280" w:before="0" w:after="40"/>
      <w:contextualSpacing/>
    </w:pPr>
    <w:rPr/>
  </w:style>
  <w:style w:type="paragraph" w:styleId="Blocktext1" w:customStyle="1">
    <w:name w:val="Blocktext1"/>
    <w:basedOn w:val="Textkrper1"/>
    <w:qFormat/>
    <w:pPr>
      <w:pBdr>
        <w:left w:val="single" w:sz="18" w:space="10" w:color="017D40"/>
      </w:pBdr>
      <w:spacing w:lineRule="atLeast" w:line="280" w:before="60" w:after="120"/>
      <w:ind w:left="284"/>
    </w:pPr>
    <w:rPr/>
  </w:style>
  <w:style w:type="paragraph" w:styleId="ImageCaption" w:customStyle="1">
    <w:name w:val="Image Caption"/>
    <w:basedOn w:val="Infotext"/>
    <w:qFormat/>
    <w:pPr>
      <w:spacing w:before="60" w:after="240"/>
    </w:pPr>
    <w:rPr>
      <w:color w:val="063D2C"/>
    </w:rPr>
  </w:style>
  <w:style w:type="paragraph" w:styleId="TableCaption" w:customStyle="1">
    <w:name w:val="Table Caption"/>
    <w:basedOn w:val="ImageCaption"/>
    <w:qFormat/>
    <w:pPr/>
    <w:rPr/>
  </w:style>
  <w:style w:type="paragraph" w:styleId="CaptionedFigure" w:customStyle="1">
    <w:name w:val="Captioned Figure"/>
    <w:basedOn w:val="Normal"/>
    <w:qFormat/>
    <w:pPr>
      <w:spacing w:before="240" w:after="0"/>
      <w:jc w:val="center"/>
    </w:pPr>
    <w:rPr/>
  </w:style>
  <w:style w:type="paragraph" w:styleId="SourceCode" w:customStyle="1">
    <w:name w:val="Source Code"/>
    <w:qFormat/>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zzzListeAufzhlungHighlight" w:customStyle="1">
    <w:name w:val="zzz_Liste_Aufzählung Highlight"/>
    <w:uiPriority w:val="99"/>
    <w:qFormat/>
    <w:rsid w:val="0003048f"/>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006f9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BasisTabelle">
    <w:name w:val="Basis Tabelle"/>
    <w:basedOn w:val="NormaleTabelle"/>
    <w:uiPriority w:val="99"/>
    <w:rsid w:val="00006f9c"/>
    <w:tblPr>
      <w:tblCellMar>
        <w:left w:w="0" w:type="dxa"/>
        <w:right w:w="0" w:type="dxa"/>
      </w:tblCellMar>
    </w:tblPr>
  </w:style>
  <w:style w:type="table" w:customStyle="1" w:styleId="Table">
    <w:name w:val="Table"/>
    <w:basedOn w:val="NormaleTabelle"/>
    <w:uiPriority w:val="99"/>
    <w:pPr>
      <w:spacing w:before="40" w:after="40"/>
    </w:pPr>
    <w:rPr>
      <w:sz w:val="19"/>
      <w:szCs w:val="19"/>
    </w:rPr>
    <w:tblPr>
      <w:tblBorders>
        <w:top w:val="single" w:color="C9D2CD" w:sz="4" w:space="0"/>
        <w:left w:val="single" w:color="C9D2CD" w:sz="4" w:space="0"/>
        <w:bottom w:val="single" w:color="C9D2CD" w:sz="4" w:space="0"/>
        <w:right w:val="single" w:color="C9D2CD" w:sz="4" w:space="0"/>
        <w:insideH w:val="single" w:color="C9D2CD" w:sz="4" w:space="0"/>
        <w:insideV w:val="single" w:color="C9D2CD" w:sz="4" w:space="0"/>
      </w:tblBorders>
      <w:tblCellMar>
        <w:top w:w="80" w:type="dxa"/>
        <w:bottom w:w="80" w:type="dxa"/>
      </w:tblCellMar>
    </w:tblPr>
    <w:tblStylePr w:type="firstRow">
      <w:rPr>
        <w:b/>
      </w:rPr>
      <w:tblPr/>
      <w:tcPr>
        <w:shd w:val="clear" w:color="auto" w:fill="017D40"/>
        <w:vAlign w:val="cente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6.wmf"/><Relationship Id="rId2" Type="http://schemas.openxmlformats.org/officeDocument/2006/relationships/image" Target="media/image7.wmf"/>
</Relationships>
</file>

<file path=word/theme/theme1.xml><?xml version="1.0" encoding="utf-8"?>
<a:theme xmlns:a="http://schemas.openxmlformats.org/drawingml/2006/main" xmlns:r="http://schemas.openxmlformats.org/officeDocument/2006/relationships" name="Office">
  <a:themeElements>
    <a:clrScheme name="DEKRA">
      <a:dk1>
        <a:srgbClr val="000000"/>
      </a:dk1>
      <a:lt1>
        <a:srgbClr val="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pitchFamily="0" charset="1"/>
        <a:ea typeface=""/>
        <a:cs typeface=""/>
      </a:majorFont>
      <a:minorFont>
        <a:latin typeface="Noto San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19</Pages>
  <Words>626</Words>
  <Characters>4723</Characters>
  <CharactersWithSpaces>5309</CharactersWithSpaces>
  <Paragraphs>40</Paragraphs>
  <Company>DEKRA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2026-08-19T06:18:00Z</dcterms:created>
  <dc:creator>Niclas Raimund</dc:creator>
  <dc:description/>
  <dc:language>en-US</dc:language>
  <cp:lastModifiedBy/>
  <dcterms:modified xsi:type="dcterms:W3CDTF">2026-10-25T10:12:56Z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