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das Prüfmodul Geheimschutz, das 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für die risikobasierte Überwachungsprüfung gilt ausschließlich das Toleranzfenster, eine darüber hinausgehende Verschiebung ist nicht möglich (siehe Kapitel 3.1)</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übermittelt der Auditor die bis dahin vorliegenden Unterlagen (ausgefüllter CADIS®-Prüfkatalog, JSON-Datei aus dem CADIS®-Audittool, Kick-Off-Material, Bestätigungsmail gemäß den CADIS®-Mailvorlagen) per E-Mail an den CADIS®-Fachbereich (CADIS@dekra.com);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übermittelt der Auditor folgende Unterlagen per E-Mail an den CADIS®-Fachbereich (CADIS@dekra.com): a) den ausgefüllten CADIS®-Prüfkatalog, b) die JSON-Datei aus dem CADIS®-Audittool, c) das Kick-Off-Material, d) die Bestätigungsmail (gemäß den CADIS®-Mailvorlagen).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 eine bestehende Freigabe erlischt.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zu übermitteln.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weitere Prüfmodule, die </w:t>
      </w:r>
      <w:del w:id="9036" w:author="Claude" w:date="2026-10-15T05:18:21Z">
        <w:r>
          <w:delText xml:space="preserve">Anpassung des Level of Examination</w:delText>
        </w:r>
      </w:del>
      <w:ins w:id="9037" w:author="Claude" w:date="2026-10-15T05:18:21Z">
        <w:r>
          <w:t xml:space="preserve">Anhebung des Level of Examination</w:t>
        </w:r>
      </w:ins>
      <w:r>
        <w:t xml:space="preserve"> oder der Einbezug geänderter Sonderanforderungen.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Zum Zeitpunkt der Scope-Änderung sind keine kritischen Abweichungen aus der Erstprüfung offen.</w:t>
      </w:r>
    </w:p>
    <w:p w14:paraId="1C4C6B91" w14:textId="77777777" w:rsidR="0020137F" w:rsidRDefault="00000000">
      <w:pPr>
        <w:pStyle w:val="Compact"/>
        <w:numPr>
          <w:ilvl w:val="0"/>
          <w:numId w:val="21"/>
        </w:numPr>
      </w:pPr>
      <w:r>
        <w:t>Die Erweiterung wurde beauftragt; alle Scope-Änderungen werden dokumentiert.</w:t>
      </w:r>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Schritt E-01: Antrag und Abstimmung der Scope-Änderung</w:t>
      </w:r>
    </w:p>
    <w:p w14:paraId="5ABB8D9D" w14:textId="77777777" w:rsidR="0020137F" w:rsidRDefault="00000000">
      <w:pPr>
        <w:pStyle w:val="Blocktext1"/>
      </w:pPr>
      <w: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Die Durchführung folgt den Schritten 06 bis 10 der Erstprüfung, bezogen auf den Erweiterungsumfang.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zu übermitteln.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w:t>
      </w:r>
      <w:ins w:id="9022" w:author="Claude" w:date="2026-10-15T05:18:21Z">
        <w:r>
          <w:t xml:space="preserve"> Verbleibt es nach der Konsistenzprüfung bei einer Unterschreitung des Schwellenwerts ohne Feststellung, sind die Prüfpunkte, die den Security Score maßgeblich bestimmen, als Abweichungen zu erfassen; der Maßnahmenplan bezieht sich auf diese Abweichungen.</w:t>
        </w:r>
      </w:ins>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