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Daniel Garcia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Proyectos Web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2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2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7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kWiPLXiteTbRnKrWBzVE4KJ+g==">AMUW2mVpn7q52iPWy4878zzWMbzhFXXQIVhqgJqpDlLpnx7EDtfkmqHSEYgqYfW3jCdk36v15sHpNKfzwRbuug5mwRO4eN3DY1IggyhE4TVe5v8Po9DE69c=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