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Subscription and License Agreement</w:t>
      </w:r>
    </w:p>
    <w:p>
      <w:pPr>
        <w:pStyle w:val="Subtitle"/>
      </w:pPr>
      <w:r>
        <w:t>Tenant Receipts landlord and property management service</w:t>
      </w:r>
    </w:p>
    <w:p>
      <w:r>
        <w:t>Draft for legal and commercial review. Complete every bracketed field, resolve all choices, attach the agreed service details, and obtain legal review before signature. This is a hosted software subscription; it does not transfer ownership of the software or create a real estate lease.</w:t>
      </w:r>
    </w:p>
    <w:p>
      <w:pPr>
        <w:pStyle w:val="Heading2"/>
      </w:pPr>
      <w:r>
        <w:t>Schedule A Parties and subscription order</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Order field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Agreed term</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Agreement number and effective date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[Reference] | [Effective date]</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Provider legal entity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[Exact registered entity], doing business as Nova Works LLC, a [State and entity type]</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Provider address and notices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[Address] | [Authorized notice email]</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Customer legal entity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[Exact registered company name], a [State and entity type]</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Customer address and notices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[Address] | [Authorized notice email]</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Authorized representatives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Provider [Name and title] | Customer [Name and title]</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Covered companies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[Customer only, or specifically listed affiliates and their organization IDs]</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Service and hosted access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Tenant Receipts landlord dashboard and agreed connection services at [Service URL]</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Service start and end dates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[Start date] through [End date]; fixed initial term of [X] years</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Activation milestone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[Written activation confirmation and acceptance procedure]</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Active unit allowance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[X] units pooled across the covered companies</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Account allocation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[X] owner account(s) + [X] manager accounts; total [X] licensed accounts to provision</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Owner pricing treatment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[Included at no extra charge / priced as stated on page 2]</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Renewal choice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No automatic renewal unless Schedule C expressly provides otherwise</w:t>
            </w:r>
          </w:p>
        </w:tc>
      </w:tr>
    </w:tbl>
    <w:p>
      <w:pPr>
        <w:spacing w:after="0"/>
      </w:pPr>
    </w:p>
    <w:p>
      <w:r>
        <w:t>The parties agree to Schedule A, the general terms, Schedule B on data processing, and completed Schedule C on special terms. An uncompleted field is not permission to impose an unstated charge or service commitment.</w:t>
      </w:r>
    </w:p>
    <w:p>
      <w:r>
        <w:br w:type="page"/>
      </w:r>
    </w:p>
    <w:p>
      <w:pPr>
        <w:pStyle w:val="Heading1"/>
      </w:pPr>
      <w:r>
        <w:t>Schedule A Fees and service commitments</w:t>
      </w:r>
    </w:p>
    <w:tbl>
      <w:tblPr>
        <w:tblW w:type="auto" w:w="0"/>
        <w:jc w:val="center"/>
        <w:tblLayout w:type="fixed"/>
        <w:tblLook w:firstColumn="1" w:firstRow="1" w:lastColumn="0" w:lastRow="0" w:noHBand="0" w:noVBand="1" w:val="04A0"/>
      </w:tblPr>
      <w:tblGrid>
        <w:gridCol w:w="3456"/>
        <w:gridCol w:w="6624"/>
      </w:tblGrid>
      <w:tr>
        <w:trPr>
          <w:cantSplit/>
          <w:tblHeader/>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Commercial field</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Agreed value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Base subscription fee</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USD [Amount] per [month / year]</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Committed base fees for initial term</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USD [Amount]; excluding expressly stated variable usage and taxes</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Invoice timing and payment terms</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[Monthly / annual / upfront]; due [X] days from invoice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One-time setup or migration</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USD [Amount or zero]; deliverables [Description]</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Additional active unit rate</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USD [Amount] per unit per [period], only after signed capacity increase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Additional manager rate</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USD [Amount] per manager per [period], only after signed account increase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Messages and usage limits</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[SMS segments per period]; overage USD [Rate]; spending cap USD [Amount]; storage [GB]</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Price during initial term</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Fixed base rates; variable charges only as listed above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Support scope and channel</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[Hours and time zone]; [Contact]; [Scope and response commitment, if any]</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Availability and recovery commitments</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[None beyond reasonable efforts / attached signed SLA]; backup and recovery [Details]</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Record retention during service</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[X] years after case closure, subject to lawful holds and agreed capacity</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Post-term export access</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[X] days, minimum 30 days unless lawful security restrictions apply</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Deletion after export period</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Within [X] days for active systems; backup expiry within [X] days, subject to lawful retention</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Additional work and renewal</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Only by signed amendment; renewal price and term by written agreement</w:t>
            </w:r>
          </w:p>
        </w:tc>
      </w:tr>
    </w:tbl>
    <w:p>
      <w:pPr>
        <w:spacing w:after="0"/>
      </w:pPr>
    </w:p>
    <w:p>
      <w:r>
        <w:t>Acceptance and commencement. Provider will give written activation notice after provisioning the agreed capacity and completing the listed activation milestone. Customer has 10 business days to identify material departures from the agreed scope. Provider will correct them before recurring billing begins unless Schedule C sets an expressly agreed alternative. Signature alone does not establish operational readiness.</w:t>
      </w:r>
    </w:p>
    <w:p>
      <w:r>
        <w:t>Any uptime percentage, recovery objective, dedicated environment, support deadline, or retention extension must be stated here or in a signed attachment. Marketing statements and demonstration data do not create those commitments.</w:t>
      </w:r>
    </w:p>
    <w:p>
      <w:r>
        <w:br w:type="page"/>
      </w:r>
    </w:p>
    <w:p>
      <w:pPr>
        <w:pStyle w:val="Heading1"/>
      </w:pPr>
      <w:r>
        <w:t>General terms for scope and licensing</w:t>
      </w:r>
    </w:p>
    <w:p>
      <w:pPr>
        <w:pStyle w:val="Heading2"/>
      </w:pPr>
      <w:r>
        <w:t>1 Subscription rights and term</w:t>
      </w:r>
    </w:p>
    <w:p>
      <w:r>
        <w:t>During the paid term, Provider grants Customer a nonexclusive, nontransferable right to access the hosted service for the internal property management operations of the covered companies. The service includes the core workflows described in section 3 and the special deliverables expressly listed in Schedule C. Customer buys access for the stated term, not a perpetual license, source code, or ownership of the platform.</w:t>
      </w:r>
    </w:p>
    <w:p>
      <w:pPr>
        <w:pStyle w:val="Heading2"/>
      </w:pPr>
      <w:r>
        <w:t>2 Unit capacity and user accounts</w:t>
      </w:r>
    </w:p>
    <w:p>
      <w:r>
        <w:t>An active rental unit is a distinct dwelling or separately managed rentable unit recorded as active within a covered company, whether occupied or vacant. A unit is counted once even when several managers have access. Archived units retained solely for historical review and common-area records do not consume active rental unit capacity unless Schedule C expressly changes that rule.</w:t>
      </w:r>
    </w:p>
    <w:p>
      <w:r>
        <w:t>Account capacity is separate from unit capacity. Each authorized owner or manager must use a unique sign-in; credentials and license keys may not be shared or resold. The owner counts toward the total accounts provisioned even when its price is included at no extra charge. Tenant connection accounts do not consume staff accounts and carry no subscription charge under this agreement.</w:t>
      </w:r>
    </w:p>
    <w:p>
      <w:r>
        <w:t>Customer may reassign an available manager account when personnel change, after removing the former user’s access. Pending invitation keys may reserve capacity until redeemed or revoked. Customer controls property assignments and promptly removes former personnel. Covered companies are listed expressly; common ownership alone does not authorize affiliate use or pooled allowances.</w:t>
      </w:r>
    </w:p>
    <w:p>
      <w:r>
        <w:t>Customer must request a signed increase before exceeding capacity. Provider will give notice and a reasonable opportunity to correct an excess; it will not silently charge unspecified overages or erase existing records. A capacity restriction may pause new units or user access while preserving authorized historical review. Customer and Provider will reconcile usage at the interval stated in Schedule C, or quarterly if none is stated.</w:t>
      </w:r>
    </w:p>
    <w:p>
      <w:pPr>
        <w:pStyle w:val="Heading2"/>
      </w:pPr>
      <w:r>
        <w:t>3 Core service scope</w:t>
      </w:r>
    </w:p>
    <w:p>
      <w:r>
        <w:t>The agreed service supports property and unit records; owner and manager roles and invitations; connected tenant submissions and staff-created requests; repair, documentation, and move-in or move-out cases; assignments, statuses, notes, attachments, schedules, and configurable response targets; recurring maintenance; reviewed contractor messaging; dated PDF records and fingerprints; and available print and property export functions. Provider will confirm these workflows at activation.</w:t>
      </w:r>
    </w:p>
    <w:p>
      <w:r>
        <w:t>Email, push, and SMS depend on configuration and third-party delivery services. The service does not include rent collection, accounting, emergency dispatch, property repairs, legal representation, or custom integrations unless expressly added in Schedule C. Provider may update the service but will not materially reduce the contracted core scope during the term without Customer’s written consent or the remedy in section 10.</w:t>
      </w:r>
    </w:p>
    <w:p>
      <w:r>
        <w:br w:type="page"/>
      </w:r>
    </w:p>
    <w:p>
      <w:pPr>
        <w:pStyle w:val="Heading1"/>
      </w:pPr>
      <w:r>
        <w:t>General terms for fees and records</w:t>
      </w:r>
    </w:p>
    <w:p>
      <w:pPr>
        <w:pStyle w:val="Heading2"/>
      </w:pPr>
      <w:r>
        <w:t>4 Fees and billing</w:t>
      </w:r>
    </w:p>
    <w:p>
      <w:r>
        <w:t>Customer will pay the fees stated in Schedule A. Installment billing does not shorten the fixed term or make it month to month. Base fees are fixed during the initial term. Provider may bill only listed, measured usage charges and applicable taxes, with sufficient detail to review them. Customer is responsible for legally applicable transaction taxes, excluding taxes on Provider’s income.</w:t>
      </w:r>
    </w:p>
    <w:p>
      <w:r>
        <w:t>Account and capacity changes require an amendment identifying the new limits, price, effective date, and any proration. Automated checkout, self-service license cancellation, or generic website terms do not amend a signed fixed-term order. Provider must configure or administer special billing so it does not duplicate invoices or impose conflicting standard charges.</w:t>
      </w:r>
    </w:p>
    <w:p>
      <w:r>
        <w:t>Customer may dispute an invoice in good faith within 30 days after receipt and must pay undisputed amounts on time. The parties will attempt prompt reconciliation. Provider may restrict write access for undisputed overdue charges only after written notice and at least 15 days to cure. Authorized reading and export remain available during that restriction, except where access would create a specific security or legal risk. No late fee applies unless Schedule C expressly sets a lawful fee.</w:t>
      </w:r>
    </w:p>
    <w:p>
      <w:pPr>
        <w:pStyle w:val="Heading2"/>
      </w:pPr>
      <w:r>
        <w:t>5 Customer records and software ownership</w:t>
      </w:r>
    </w:p>
    <w:p>
      <w:r>
        <w:t>Customer and its users retain their respective rights in submitted records, photos, files, and reports. This agreement does not transfer a tenant’s independent records or waive a tenant’s rights. Customer authorizes Provider to process data only as reasonably necessary to operate, secure, support, and deliver the service and comply with law, subject to Schedule B.</w:t>
      </w:r>
    </w:p>
    <w:p>
      <w:r>
        <w:t>Provider and its licensors retain the platform, code, designs, and documentation. Customer may retain and use lawfully exported records after the subscription ends. Customer must not resell access, bypass access controls, interfere with other companies’ data, or copy or reverse engineer the service except where applicable law permits it.</w:t>
      </w:r>
    </w:p>
    <w:p>
      <w:pPr>
        <w:pStyle w:val="Heading2"/>
      </w:pPr>
      <w:r>
        <w:t>6 Record integrity and lawful use</w:t>
      </w:r>
    </w:p>
    <w:p>
      <w:r>
        <w:t>Timeline corrections are added as new entries rather than rewriting the earlier entry in ordinary use. Available PDF fingerprints help detect whether file bytes differ from the recorded fingerprint. These features do not independently authenticate the reported facts, certify completion of work, supply an independent trusted timestamp, or guarantee admissibility or a favorable legal result.</w:t>
      </w:r>
    </w:p>
    <w:p>
      <w:r>
        <w:t>Customer remains responsible for accurate entries, repairs, inspections, response priorities, lawful entry, required notices, legal deadlines, evidence preservation, and compliance with housing and other applicable laws. Dashboard response targets are operational settings, not legal deadlines. Emergency situations require Customer’s established emergency procedures. Notifications are supplemental; Customer must monitor its queue and must not rely solely on message delivery.</w:t>
      </w:r>
    </w:p>
    <w:p>
      <w:r>
        <w:t>Customer must not harass, discriminate against, or retaliate against tenants or use contractor messaging for unsolicited marketing. Customer will obtain any legally required messaging permissions and verify recipients before sending. Provider may block unsafe or unlawful messages while notifying Customer when permitted.</w:t>
      </w:r>
    </w:p>
    <w:p>
      <w:r>
        <w:br w:type="page"/>
      </w:r>
    </w:p>
    <w:p>
      <w:pPr>
        <w:pStyle w:val="Heading1"/>
      </w:pPr>
      <w:r>
        <w:t>General terms for service and termination</w:t>
      </w:r>
    </w:p>
    <w:p>
      <w:pPr>
        <w:pStyle w:val="Heading2"/>
      </w:pPr>
      <w:r>
        <w:t>7 Support and service performance</w:t>
      </w:r>
    </w:p>
    <w:p>
      <w:r>
        <w:t>Provider will perform the service and agreed support with reasonable care and maintain the material workflows confirmed at activation. Customer will provide compatible devices, internet access, accurate setup data, and authorized staff. Provider will use reasonable efforts to communicate material outages and planned maintenance. No uptime percentage, recovery deadline, certification, or continuous availability warranty applies unless a signed service schedule expressly provides it.</w:t>
      </w:r>
    </w:p>
    <w:p>
      <w:pPr>
        <w:pStyle w:val="Heading2"/>
      </w:pPr>
      <w:r>
        <w:t>8 Confidentiality and security</w:t>
      </w:r>
    </w:p>
    <w:p>
      <w:r>
        <w:t>Each party will use the other’s nonpublic information only to perform this agreement, protect it with reasonable safeguards, and disclose it only to people or contractors who need it and have confidentiality obligations. Exceptions are information independently developed, rightfully obtained, public without breach, or legally required to be disclosed. Required disclosures will be limited and notified where law permits. Data handling follows Schedule B.</w:t>
      </w:r>
    </w:p>
    <w:p>
      <w:r>
        <w:t>Customer will secure credentials and devices, use available multifactor authentication where appropriate, and report suspected unauthorized access promptly. Provider may narrowly suspend access immediately to contain a credible security threat or comply with law, notify Customer when allowed, and restore safe access promptly. Suspension is not permission to delete Customer’s records.</w:t>
      </w:r>
    </w:p>
    <w:p>
      <w:pPr>
        <w:pStyle w:val="Heading2"/>
      </w:pPr>
      <w:r>
        <w:t>9 Expiration and renewal</w:t>
      </w:r>
    </w:p>
    <w:p>
      <w:r>
        <w:t>The initial term ends on the specified end date. Renewal requires a signed written agreement unless completed Schedule C expressly establishes automatic renewal, renewal length, notice deadlines, and renewal pricing. A renewal reminder or continuing read-only access does not create another paid term. Customer should request export before expiration.</w:t>
      </w:r>
    </w:p>
    <w:p>
      <w:pPr>
        <w:pStyle w:val="Heading2"/>
      </w:pPr>
      <w:r>
        <w:t>10 Early termination and remedies</w:t>
      </w:r>
    </w:p>
    <w:p>
      <w:r>
        <w:t>Either party may terminate for a material breach not cured within 30 days after written notice describing it. An immediately dangerous or unlawful act may justify immediate restriction and termination where a cure is not reasonably possible. Customer may terminate for an uncured material reduction of the agreed core service after the same cure period.</w:t>
      </w:r>
    </w:p>
    <w:p>
      <w:r>
        <w:t>If Customer terminates for Provider’s uncured material breach, Provider will refund prepaid base fees for the unused period and no future base fees are due. If Provider terminates for Customer’s uncured material breach, accrued fees remain due; no automatic acceleration of all future installments applies unless Schedule C expressly states a legally reviewed formula. Customer has no early cancellation for convenience unless Schedule C grants one. Closing a portal or cancelling a payment method is not notice terminating this agreement.</w:t>
      </w:r>
    </w:p>
    <w:p>
      <w:pPr>
        <w:pStyle w:val="Heading2"/>
      </w:pPr>
      <w:r>
        <w:t>11 Export and end of service</w:t>
      </w:r>
    </w:p>
    <w:p>
      <w:r>
        <w:t>Provider will maintain authorized read and available export access for the period in Schedule A, at least 30 days absent a specific lawful security restriction. Exports may include PDFs, attachments, and available case data; Customer must check missing-file reports and request correction promptly. Customer is responsible for keeping usable independent copies.</w:t>
      </w:r>
    </w:p>
    <w:p>
      <w:r>
        <w:t>After that period, Provider will delete or return data on the Schedule A timetable, subject to legal holds, required retention, and backup expiry. Retained data will remain protected and used only for the lawful retention purpose. Tenant copies already downloaded are not recalled. Transition services beyond ordinary exports require a separate quote; no indefinite free hosting is promised.</w:t>
      </w:r>
    </w:p>
    <w:p>
      <w:r>
        <w:br w:type="page"/>
      </w:r>
    </w:p>
    <w:p>
      <w:pPr>
        <w:pStyle w:val="Heading1"/>
      </w:pPr>
      <w:r>
        <w:t>General terms for risk and administration</w:t>
      </w:r>
    </w:p>
    <w:p>
      <w:pPr>
        <w:pStyle w:val="Heading2"/>
      </w:pPr>
      <w:r>
        <w:t>12 Warranty and limitations</w:t>
      </w:r>
    </w:p>
    <w:p>
      <w:r>
        <w:t>Provider warrants that it has the authority to grant the access rights in this agreement and will materially provide the agreed core service with reasonable care. Except for express promises here and rights that cannot lawfully be excluded, no implied warranty of merchantability, fitness for a particular purpose, or uninterrupted operation is given. The service is not legal advice, insurance, or a guarantee of maintenance compliance or litigation outcomes.</w:t>
      </w:r>
    </w:p>
    <w:p>
      <w:pPr>
        <w:pStyle w:val="Heading2"/>
      </w:pPr>
      <w:r>
        <w:t>13 Liability</w:t>
      </w:r>
    </w:p>
    <w:p>
      <w:r>
        <w:t>To the extent permitted by law, neither party is liable to the other for indirect, consequential, special, or punitive damages or lost profits arising from this agreement. Each party’s aggregate liability for ordinary claims is limited to the base subscription fees paid or payable for the 12 months immediately preceding the event giving rise to the claim.</w:t>
      </w:r>
    </w:p>
    <w:p>
      <w:r>
        <w:t>For a party’s breach of confidentiality or Schedule B data protection duties, the aggregate limit is twice that ordinary cap. These limits do not exclude liability for fraud, willful misconduct, gross negligence, amounts properly owed under this agreement, or liability that applicable law prohibits limiting. Schedule C may expressly replace the caps. The limits do not excuse either party’s duty to preserve or return data as agreed.</w:t>
      </w:r>
    </w:p>
    <w:p>
      <w:pPr>
        <w:pStyle w:val="Heading2"/>
      </w:pPr>
      <w:r>
        <w:t>14 Third party intellectual property claims</w:t>
      </w:r>
    </w:p>
    <w:p>
      <w:r>
        <w:t>Provider will defend Customer against a third-party claim that the contracted service itself infringes a United States copyright or trade secret, and pay resulting damages or settlements approved by Provider, subject to section 13. Customer must give prompt notice, permit Provider to control the defense with suitable counsel, and cooperate reasonably. Provider may obtain continued rights, replace the affected function without material loss, or terminate the affected service and refund unused prepaid fees. This duty does not cover Customer content, unauthorized changes, or uses outside the agreement. No settlement may admit Customer fault or impose nonmonetary duties without Customer’s consent.</w:t>
      </w:r>
    </w:p>
    <w:p>
      <w:pPr>
        <w:pStyle w:val="Heading2"/>
      </w:pPr>
      <w:r>
        <w:t>15 Notices and governing law</w:t>
      </w:r>
    </w:p>
    <w:p>
      <w:r>
        <w:t>Formal notices must be sent to the addresses or authorized notice emails in Schedule A and identify the agreement. An email notice is effective when acknowledged or on the next business day if sent without a delivery failure; a party may request a paper copy. Routine dashboard alerts do not substitute for formal termination or breach notices.</w:t>
      </w:r>
    </w:p>
    <w:p>
      <w:r>
        <w:t>Unless Schedule C states another agreed jurisdiction, Pennsylvania law governs without its conflict-of-law rules. The parties submit disputes to the state courts in Allegheny County, Pennsylvania, or the federal court with jurisdiction there, subject to mandatory law. They will first attempt good-faith resolution for 30 days; that period does not prevent urgent protective relief or require missing a filing deadline.</w:t>
      </w:r>
    </w:p>
    <w:p>
      <w:pPr>
        <w:pStyle w:val="Heading2"/>
      </w:pPr>
      <w:r>
        <w:t>16 Entire agreement and precedence</w:t>
      </w:r>
    </w:p>
    <w:p>
      <w:r>
        <w:t>Completed Schedule C overrides Schedule A and the general terms only for the clauses expressly identified. Schedule B controls personal-data processing conflicts. This signed agreement controls conflicting click-through terms, pricing pages, purchase orders, and earlier proposals. Unilateral website updates cannot change the fixed term, rates, material scope, or negotiated protections. Amendments require authorized written signatures. An invalid provision will be limited as necessary without invalidating the rest. Neither party may assign the agreement without consent, except to a successor to substantially all of its relevant business that assumes these duties and does not materially reduce the other party’s protection.</w:t>
      </w:r>
    </w:p>
    <w:p>
      <w:r>
        <w:br w:type="page"/>
      </w:r>
    </w:p>
    <w:p>
      <w:pPr>
        <w:pStyle w:val="Heading1"/>
      </w:pPr>
      <w:r>
        <w:t>Schedule B Data processing terms</w:t>
      </w:r>
    </w:p>
    <w:p>
      <w:pPr>
        <w:pStyle w:val="Heading2"/>
      </w:pPr>
      <w:r>
        <w:t>1 Instructions and data categories</w:t>
      </w:r>
    </w:p>
    <w:p>
      <w:r>
        <w:t>For personal data processed on Customer’s behalf, Customer determines the purposes and Provider acts as processor or service provider to the extent applicable law uses those roles. Customer instructs Provider to host and manage cases, files, accounts, notifications, reports, exports, and support during the service and agreed retention periods. Categories may include tenant and staff identifiers, property and unit information, requests, photos, files, schedules, access permissions, optional emergency contact information, contractor contacts, and account or activity logs. Customer will avoid unnecessary sensitive information and obtain required notices, permissions, and legal bases.</w:t>
      </w:r>
    </w:p>
    <w:p>
      <w:pPr>
        <w:pStyle w:val="Heading2"/>
      </w:pPr>
      <w:r>
        <w:t>2 Restricted use and subprocessors</w:t>
      </w:r>
    </w:p>
    <w:p>
      <w:r>
        <w:t>Provider will not sell Customer personal data, use it for targeted advertising, or disclose it for unrelated purposes. Provider may use vetted subprocessors with appropriate confidentiality, security, and processing obligations and remains responsible for their contracted processing. The deployment list must be confirmed before activation: [Names, services, locations, and hosting region]. The repository identifies Supabase, Stripe, Resend, Twilio, Firebase Cloud Messaging, and Cloudflare; only actually engaged services belong in the signed list.</w:t>
      </w:r>
    </w:p>
    <w:p>
      <w:r>
        <w:t>Provider will give at least 30 days’ notice before a new subprocessor materially changes Customer-data processing. Customer may raise a reasonable data-protection objection within 15 days. The parties will seek an alternative; if none is feasible, Customer may terminate the affected service with a pro rata refund for the unused prepaid period. Any required jurisdiction-specific privacy or international transfer terms must be attached before the relevant use begins.</w:t>
      </w:r>
    </w:p>
    <w:p>
      <w:pPr>
        <w:pStyle w:val="Heading2"/>
      </w:pPr>
      <w:r>
        <w:t>3 Safeguards and incident response</w:t>
      </w:r>
    </w:p>
    <w:p>
      <w:r>
        <w:t>Provider will use reasonable technical and organizational safeguards appropriate to the data, including access separation by company and role, protected credentials, encryption in transit, reasonable backup practices, and limited personnel access. Any encryption-at-rest, restore testing, audit, or certification commitment must be verified and stated in the attached security schedule [Reference]. No independent certification is represented by this draft.</w:t>
      </w:r>
    </w:p>
    <w:p>
      <w:r>
        <w:t>Provider will notify Customer without undue delay after becoming aware of a security incident affecting Customer personal data, with an initial notice within 72 hours where practicable or sooner where applicable law requires. Provider will give available information, take reasonable containment steps, and provide updates without waiting for a complete investigation. This contractual target does not extend any statutory notification deadline. Each party remains responsible for notices legally assigned to it and will coordinate reasonably with the other.</w:t>
      </w:r>
    </w:p>
    <w:p>
      <w:pPr>
        <w:pStyle w:val="Heading2"/>
      </w:pPr>
      <w:r>
        <w:t>4 Assistance and review</w:t>
      </w:r>
    </w:p>
    <w:p>
      <w:r>
        <w:t>Provider will reasonably assist Customer with lawful data access, correction, deletion, preservation, and security inquiries using available service functions. Customer will direct privacy requests concerning its processing; Provider will forward relevant requests promptly unless legally prohibited. Corrections may be recorded as additional entries; the history must not be presented as exempt from lawful deletion or correction duties. Lawful holds and exceptions must be evaluated before deletion.</w:t>
      </w:r>
    </w:p>
    <w:p>
      <w:r>
        <w:t>On reasonable written request, Provider will provide available security and processing information needed to evaluate compliance. Further audits will be scoped to protect other customers and service security, at Customer’s expense unless a material Provider breach is found. Returns, deletion, backup expiry, and retained-data safeguards follow Schedule A and section 11. Independently retained tenant copies and third-party data processing outside Provider’s instructions are governed by their respective rights and policies.</w:t>
      </w:r>
    </w:p>
    <w:p>
      <w:r>
        <w:br w:type="page"/>
      </w:r>
    </w:p>
    <w:p>
      <w:pPr>
        <w:pStyle w:val="Heading1"/>
      </w:pPr>
      <w:r>
        <w:t>Schedule C Special terms and execution</w:t>
      </w:r>
    </w:p>
    <w:p>
      <w:r>
        <w:t>Record all negotiated exceptions below or in a dated attachment signed by both parties. Write “None” where no exception applies. Identify the clause being replaced; general sales discussions are not amendments.</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Negotiated item</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Agreed exception or attachment</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Portfolio and entity pooling</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[Covered entities, unit definition changes, temporary turnover allowances, and reconciliation]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Account and owner pricing</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[Included owner accounts, manager capacity, and rates]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Multiyear price and increases</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[Discount, price lock, increase rules, and approved usage caps]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Renewal and early cancellation</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[No renewal / precise renewal terms]; [Convenience right and any reviewed termination formula / none]</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Custom implementation</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[Deliverables, milestone dates, acceptance criteria, and ownership of custom work]</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Security retention and support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[SLA, backup details, verified subprocessor list, legal holds, extended retention, and export fees]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Other clause amendments</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[Clause number and full replacement text, or none]</w:t>
            </w:r>
          </w:p>
        </w:tc>
      </w:tr>
    </w:tbl>
    <w:p>
      <w:pPr>
        <w:spacing w:after="0"/>
      </w:pPr>
    </w:p>
    <w:p>
      <w:pPr>
        <w:pStyle w:val="Heading2"/>
      </w:pPr>
      <w:r>
        <w:t>Authorized signatures</w:t>
      </w:r>
    </w:p>
    <w:p>
      <w:r>
        <w:t>By signing, each representative confirms authority to bind the named legal entity. The parties accept all completed schedules and signed attachments. Counterparts and electronic signatures may be used; each party will receive a complete reproducible copy of the executed agreement.</w:t>
      </w:r>
    </w:p>
    <w:p>
      <w:r>
        <w:t>PROVIDER</w:t>
        <w:br/>
        <w:t>Legal entity [Exact legal name]</w:t>
        <w:br/>
        <w:t>Signature __________________________________   Date __________________</w:t>
        <w:br/>
        <w:t>Printed name _______________________________   Title __________________</w:t>
      </w:r>
    </w:p>
    <w:p>
      <w:r>
        <w:t>CUSTOMER</w:t>
        <w:br/>
        <w:t>Legal entity [Exact legal name]</w:t>
        <w:br/>
        <w:t>Signature __________________________________   Date __________________</w:t>
        <w:br/>
        <w:t>Printed name _______________________________   Title __________________</w:t>
      </w:r>
    </w:p>
    <w:p>
      <w:r>
        <w:t>Attachments incorporated at signature [List exact document names, versions, and dates, or none]</w:t>
      </w:r>
    </w:p>
    <w:sectPr w:rsidR="00FC693F" w:rsidRPr="0006063C" w:rsidSect="00034616">
      <w:headerReference w:type="default" r:id="rId9"/>
      <w:footerReference w:type="default" r:id="rId10"/>
      <w:pgSz w:w="12240" w:h="15840"/>
      <w:pgMar w:top="936" w:right="1080" w:bottom="936" w:left="1080" w:header="17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Fixed term subscription and license agreement  |  DRAFT FOR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shd w:fill="10243D"/>
    </w:pPr>
    <w:r>
      <w:drawing>
        <wp:inline xmlns:a="http://schemas.openxmlformats.org/drawingml/2006/main" xmlns:pic="http://schemas.openxmlformats.org/drawingml/2006/picture">
          <wp:extent cx="393192" cy="393192"/>
          <wp:docPr id="1" name="Picture 1"/>
          <wp:cNvGraphicFramePr>
            <a:graphicFrameLocks noChangeAspect="1"/>
          </wp:cNvGraphicFramePr>
          <a:graphic>
            <a:graphicData uri="http://schemas.openxmlformats.org/drawingml/2006/picture">
              <pic:pic>
                <pic:nvPicPr>
                  <pic:cNvPr id="0" name="nova-logo.png"/>
                  <pic:cNvPicPr/>
                </pic:nvPicPr>
                <pic:blipFill>
                  <a:blip r:embed="rId1"/>
                  <a:stretch>
                    <a:fillRect/>
                  </a:stretch>
                </pic:blipFill>
                <pic:spPr>
                  <a:xfrm>
                    <a:off x="0" y="0"/>
                    <a:ext cx="393192" cy="39319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Fixed term subscription and license agreement</dc:subject>
  <dc:creator>Nova Works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