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Índice geral e plano de entrega</w:t>
      </w:r>
    </w:p>
    <w:p>
      <w:r>
        <w:rPr>
          <w:i/>
          <w:color w:val="5E6D7A"/>
        </w:rPr>
        <w:t>Mapa mestre dos cadernos, prioridades, limites e sequência sugerida.</w:t>
      </w:r>
    </w:p>
    <w:p>
      <w:r>
        <w:rPr>
          <w:b/>
          <w:color w:val="175F97"/>
        </w:rPr>
        <w:t xml:space="preserve">REGRA DE SEGURANÇA: </w:t>
      </w:r>
      <w:r>
        <w:t>Este documento descreve decisões comerciais e tarefas propostas. Não autoriza Codex, Vercel, Supabase ou qualquer operador a alterar, implantar, contratar ou migrar sistemas sem nova autorização explícita.</w:t>
      </w:r>
    </w:p>
    <w:p>
      <w:pPr>
        <w:pStyle w:val="Heading1"/>
      </w:pPr>
      <w:r>
        <w:t>Como usar estes arquivos</w:t>
      </w:r>
    </w:p>
    <w:p>
      <w:pPr>
        <w:pStyle w:val="ListBullet"/>
      </w:pPr>
      <w:r>
        <w:t>Abra primeiro este índice. Cada caderno tem um destino específico e identificadores de tarefas (SITE, MASTER, LOJA, PED, ADD, COM, OPS, CODEX).</w:t>
      </w:r>
    </w:p>
    <w:p>
      <w:pPr>
        <w:pStyle w:val="ListBullet"/>
      </w:pPr>
      <w:r>
        <w:t>Envie apenas o caderno pertinente ao Codex, acompanhado do repositório correto. Não presuma que os nomes de páginas, arquivos, componentes ou tabelas descritos já existam.</w:t>
      </w:r>
    </w:p>
    <w:p>
      <w:pPr>
        <w:pStyle w:val="ListBullet"/>
      </w:pPr>
      <w:r>
        <w:t>Primeira solicitação ao Codex: leitura do projeto, mapeamento do que existe, análise de impacto e proposta de alterações. Peça o diff e os testes antes de autorizar mudanças.</w:t>
      </w:r>
    </w:p>
    <w:p>
      <w:pPr>
        <w:pStyle w:val="ListBullet"/>
      </w:pPr>
      <w:r>
        <w:t>Regra transversal: nenhuma alteração de preços aprovados, deploy, migração de banco, alteração de domínio, conexão de pagamento ou instalação de serviços por iniciativa própria.</w:t>
      </w:r>
    </w:p>
    <w:p>
      <w:pPr>
        <w:pStyle w:val="Heading1"/>
      </w:pPr>
      <w:r>
        <w:t>Cadernos e destinos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3278"/>
            <w:shd w:fill="DDEAF4"/>
          </w:tcPr>
          <w:p>
            <w:r>
              <w:t>Arquivo</w:t>
            </w:r>
          </w:p>
        </w:tc>
        <w:tc>
          <w:tcPr>
            <w:tcW w:type="dxa" w:w="3278"/>
            <w:shd w:fill="DDEAF4"/>
          </w:tcPr>
          <w:p>
            <w:r>
              <w:t>Destino</w:t>
            </w:r>
          </w:p>
        </w:tc>
        <w:tc>
          <w:tcPr>
            <w:tcW w:type="dxa" w:w="3278"/>
            <w:shd w:fill="DDEAF4"/>
          </w:tcPr>
          <w:p>
            <w:r>
              <w:t>Conteúdo principal</w:t>
            </w:r>
          </w:p>
        </w:tc>
      </w:tr>
      <w:tr>
        <w:tc>
          <w:tcPr>
            <w:tcW w:type="dxa" w:w="3278"/>
            <w:vAlign w:val="center"/>
          </w:tcPr>
          <w:p>
            <w:r>
              <w:t>01_Site_Institucional</w:t>
            </w:r>
          </w:p>
        </w:tc>
        <w:tc>
          <w:tcPr>
            <w:tcW w:type="dxa" w:w="3278"/>
            <w:vAlign w:val="center"/>
          </w:tcPr>
          <w:p>
            <w:r>
              <w:t>Site público NovaesWeb</w:t>
            </w:r>
          </w:p>
        </w:tc>
        <w:tc>
          <w:tcPr>
            <w:tcW w:type="dxa" w:w="3278"/>
            <w:vAlign w:val="center"/>
          </w:tcPr>
          <w:p>
            <w:r>
              <w:t>Planos, preços, adicionais, formulários, oferta e FAQ</w:t>
            </w:r>
          </w:p>
        </w:tc>
      </w:tr>
      <w:tr>
        <w:tc>
          <w:tcPr>
            <w:tcW w:type="dxa" w:w="3278"/>
            <w:vAlign w:val="center"/>
          </w:tcPr>
          <w:p>
            <w:r>
              <w:t>02_Painel_Master</w:t>
            </w:r>
          </w:p>
        </w:tc>
        <w:tc>
          <w:tcPr>
            <w:tcW w:type="dxa" w:w="3278"/>
            <w:vAlign w:val="center"/>
          </w:tcPr>
          <w:p>
            <w:r>
              <w:t>Painel administrativo central</w:t>
            </w:r>
          </w:p>
        </w:tc>
        <w:tc>
          <w:tcPr>
            <w:tcW w:type="dxa" w:w="3278"/>
            <w:vAlign w:val="center"/>
          </w:tcPr>
          <w:p>
            <w:r>
              <w:t>Gestão comercial, clientes, planos, acessos, suporte e auditoria</w:t>
            </w:r>
          </w:p>
        </w:tc>
      </w:tr>
      <w:tr>
        <w:tc>
          <w:tcPr>
            <w:tcW w:type="dxa" w:w="3278"/>
            <w:vAlign w:val="center"/>
          </w:tcPr>
          <w:p>
            <w:r>
              <w:t>03_Sites_Lojistas</w:t>
            </w:r>
          </w:p>
        </w:tc>
        <w:tc>
          <w:tcPr>
            <w:tcW w:type="dxa" w:w="3278"/>
            <w:vAlign w:val="center"/>
          </w:tcPr>
          <w:p>
            <w:r>
              <w:t>Sites dos clientes + painel do lojista</w:t>
            </w:r>
          </w:p>
        </w:tc>
        <w:tc>
          <w:tcPr>
            <w:tcW w:type="dxa" w:w="3278"/>
            <w:vAlign w:val="center"/>
          </w:tcPr>
          <w:p>
            <w:r>
              <w:t>Cardápio, pedidos, papéis, entrega, funcionalidades por plano</w:t>
            </w:r>
          </w:p>
        </w:tc>
      </w:tr>
      <w:tr>
        <w:tc>
          <w:tcPr>
            <w:tcW w:type="dxa" w:w="3278"/>
            <w:vAlign w:val="center"/>
          </w:tcPr>
          <w:p>
            <w:r>
              <w:t>04_Pedidos_Cobranca</w:t>
            </w:r>
          </w:p>
        </w:tc>
        <w:tc>
          <w:tcPr>
            <w:tcW w:type="dxa" w:w="3278"/>
            <w:vAlign w:val="center"/>
          </w:tcPr>
          <w:p>
            <w:r>
              <w:t>Motor de regras e cobrança</w:t>
            </w:r>
          </w:p>
        </w:tc>
        <w:tc>
          <w:tcPr>
            <w:tcW w:type="dxa" w:w="3278"/>
            <w:vAlign w:val="center"/>
          </w:tcPr>
          <w:p>
            <w:r>
              <w:t>Aceites, franquias, excedentes, pró-rata, alertas, upgrades</w:t>
            </w:r>
          </w:p>
        </w:tc>
      </w:tr>
      <w:tr>
        <w:tc>
          <w:tcPr>
            <w:tcW w:type="dxa" w:w="3278"/>
            <w:vAlign w:val="center"/>
          </w:tcPr>
          <w:p>
            <w:r>
              <w:t>05_Modulos_Adicionais</w:t>
            </w:r>
          </w:p>
        </w:tc>
        <w:tc>
          <w:tcPr>
            <w:tcW w:type="dxa" w:w="3278"/>
            <w:vAlign w:val="center"/>
          </w:tcPr>
          <w:p>
            <w:r>
              <w:t>Catálogo e ativação de extras</w:t>
            </w:r>
          </w:p>
        </w:tc>
        <w:tc>
          <w:tcPr>
            <w:tcW w:type="dxa" w:w="3278"/>
            <w:vAlign w:val="center"/>
          </w:tcPr>
          <w:p>
            <w:r>
              <w:t>19 produtos planejados, preços, dependências e testes</w:t>
            </w:r>
          </w:p>
        </w:tc>
      </w:tr>
      <w:tr>
        <w:tc>
          <w:tcPr>
            <w:tcW w:type="dxa" w:w="3278"/>
            <w:vAlign w:val="center"/>
          </w:tcPr>
          <w:p>
            <w:r>
              <w:t>06_Vendas_Contratos</w:t>
            </w:r>
          </w:p>
        </w:tc>
        <w:tc>
          <w:tcPr>
            <w:tcW w:type="dxa" w:w="3278"/>
            <w:vAlign w:val="center"/>
          </w:tcPr>
          <w:p>
            <w:r>
              <w:t>Comercial, jurídico e atendimento</w:t>
            </w:r>
          </w:p>
        </w:tc>
        <w:tc>
          <w:tcPr>
            <w:tcW w:type="dxa" w:w="3278"/>
            <w:vAlign w:val="center"/>
          </w:tcPr>
          <w:p>
            <w:r>
              <w:t>Proposta, contratação, recebimento, suporte e cancelamento</w:t>
            </w:r>
          </w:p>
        </w:tc>
      </w:tr>
      <w:tr>
        <w:tc>
          <w:tcPr>
            <w:tcW w:type="dxa" w:w="3278"/>
            <w:vAlign w:val="center"/>
          </w:tcPr>
          <w:p>
            <w:r>
              <w:t>07_Infra_Lancamento</w:t>
            </w:r>
          </w:p>
        </w:tc>
        <w:tc>
          <w:tcPr>
            <w:tcW w:type="dxa" w:w="3278"/>
            <w:vAlign w:val="center"/>
          </w:tcPr>
          <w:p>
            <w:r>
              <w:t>Operação e segurança</w:t>
            </w:r>
          </w:p>
        </w:tc>
        <w:tc>
          <w:tcPr>
            <w:tcW w:type="dxa" w:w="3278"/>
            <w:vAlign w:val="center"/>
          </w:tcPr>
          <w:p>
            <w:r>
              <w:t>Vercel, Supabase, domínio, backup, custos e gates</w:t>
            </w:r>
          </w:p>
        </w:tc>
      </w:tr>
      <w:tr>
        <w:tc>
          <w:tcPr>
            <w:tcW w:type="dxa" w:w="3278"/>
            <w:vAlign w:val="center"/>
          </w:tcPr>
          <w:p>
            <w:r>
              <w:t>08_Pacotes_Codex</w:t>
            </w:r>
          </w:p>
        </w:tc>
        <w:tc>
          <w:tcPr>
            <w:tcW w:type="dxa" w:w="3278"/>
            <w:vAlign w:val="center"/>
          </w:tcPr>
          <w:p>
            <w:r>
              <w:t>Orquestração por repositório</w:t>
            </w:r>
          </w:p>
        </w:tc>
        <w:tc>
          <w:tcPr>
            <w:tcW w:type="dxa" w:w="3278"/>
            <w:vAlign w:val="center"/>
          </w:tcPr>
          <w:p>
            <w:r>
              <w:t>Prompts, fases de trabalho, critérios e roteiro</w:t>
            </w:r>
          </w:p>
        </w:tc>
      </w:tr>
    </w:tbl>
    <w:p/>
    <w:p>
      <w:pPr>
        <w:pStyle w:val="Heading1"/>
      </w:pPr>
      <w:r>
        <w:t>Legenda de certeza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4917"/>
            <w:shd w:fill="DDEAF4"/>
          </w:tcPr>
          <w:p>
            <w:r>
              <w:t>Classificação</w:t>
            </w:r>
          </w:p>
        </w:tc>
        <w:tc>
          <w:tcPr>
            <w:tcW w:type="dxa" w:w="4917"/>
            <w:shd w:fill="DDEAF4"/>
          </w:tcPr>
          <w:p>
            <w:r>
              <w:t>Interpretação</w:t>
            </w:r>
          </w:p>
        </w:tc>
      </w:tr>
      <w:tr>
        <w:tc>
          <w:tcPr>
            <w:tcW w:type="dxa" w:w="4917"/>
            <w:vAlign w:val="center"/>
          </w:tcPr>
          <w:p>
            <w:r>
              <w:t>APROVADO COMERCIALMENTE</w:t>
            </w:r>
          </w:p>
        </w:tc>
        <w:tc>
          <w:tcPr>
            <w:tcW w:type="dxa" w:w="4917"/>
            <w:vAlign w:val="center"/>
          </w:tcPr>
          <w:p>
            <w:r>
              <w:t>Decisão aceita no planejamento; não significa que esteja implementada.</w:t>
            </w:r>
          </w:p>
        </w:tc>
      </w:tr>
      <w:tr>
        <w:tc>
          <w:tcPr>
            <w:tcW w:type="dxa" w:w="4917"/>
            <w:vAlign w:val="center"/>
          </w:tcPr>
          <w:p>
            <w:r>
              <w:t>A VERIFICAR</w:t>
            </w:r>
          </w:p>
        </w:tc>
        <w:tc>
          <w:tcPr>
            <w:tcW w:type="dxa" w:w="4917"/>
            <w:vAlign w:val="center"/>
          </w:tcPr>
          <w:p>
            <w:r>
              <w:t>Exige inspeção do repositório, interface ou serviço antes de afirmar que funciona.</w:t>
            </w:r>
          </w:p>
        </w:tc>
      </w:tr>
      <w:tr>
        <w:tc>
          <w:tcPr>
            <w:tcW w:type="dxa" w:w="4917"/>
            <w:vAlign w:val="center"/>
          </w:tcPr>
          <w:p>
            <w:r>
              <w:t>PENDENTE</w:t>
            </w:r>
          </w:p>
        </w:tc>
        <w:tc>
          <w:tcPr>
            <w:tcW w:type="dxa" w:w="4917"/>
            <w:vAlign w:val="center"/>
          </w:tcPr>
          <w:p>
            <w:r>
              <w:t>Falta definição comercial, jurídica, financeira ou técnica; não inventar.</w:t>
            </w:r>
          </w:p>
        </w:tc>
      </w:tr>
      <w:tr>
        <w:tc>
          <w:tcPr>
            <w:tcW w:type="dxa" w:w="4917"/>
            <w:vAlign w:val="center"/>
          </w:tcPr>
          <w:p>
            <w:r>
              <w:t>ADICIONAL NÃO LANÇADO</w:t>
            </w:r>
          </w:p>
        </w:tc>
        <w:tc>
          <w:tcPr>
            <w:tcW w:type="dxa" w:w="4917"/>
            <w:vAlign w:val="center"/>
          </w:tcPr>
          <w:p>
            <w:r>
              <w:t>Não anunciar como disponível até implementação, homologação e aprovação explícitas.</w:t>
            </w:r>
          </w:p>
        </w:tc>
      </w:tr>
    </w:tbl>
    <w:p/>
    <w:p>
      <w:pPr>
        <w:pStyle w:val="Heading1"/>
      </w:pPr>
      <w:r>
        <w:t>Sequência recomendada de trabalho (não é execução automática)</w:t>
      </w:r>
    </w:p>
    <w:p>
      <w:pPr>
        <w:pStyle w:val="Heading2"/>
      </w:pPr>
      <w:r>
        <w:t>Fase A — Inventário por repositório</w:t>
      </w:r>
    </w:p>
    <w:p>
      <w:r>
        <w:t>Identificar site público, Painel Master, loja/painel do cliente e serviços compartilhados. Confirmar rotas, funcionalidades, integrações e lacunas.</w:t>
      </w:r>
    </w:p>
    <w:p>
      <w:pPr>
        <w:pStyle w:val="Heading2"/>
      </w:pPr>
      <w:r>
        <w:t>Fase B — Aprovação das especificações</w:t>
      </w:r>
    </w:p>
    <w:p>
      <w:r>
        <w:t>Comparar comportamento atual com cadernos; sinalizar conflitos, custos e pendências; escolher tarefas que terão autorização.</w:t>
      </w:r>
    </w:p>
    <w:p>
      <w:pPr>
        <w:pStyle w:val="Heading2"/>
      </w:pPr>
      <w:r>
        <w:t>Fase C — Ajustes comerciais visíveis</w:t>
      </w:r>
    </w:p>
    <w:p>
      <w:r>
        <w:t>Somente depois de autorizados: site público, tabelas de planos, disponibilidade real e formulários.</w:t>
      </w:r>
    </w:p>
    <w:p>
      <w:pPr>
        <w:pStyle w:val="Heading2"/>
      </w:pPr>
      <w:r>
        <w:t>Fase D — Motor comercial e backoffice</w:t>
      </w:r>
    </w:p>
    <w:p>
      <w:r>
        <w:t>Somente depois de autorizados: franquias, cobrança, trilha de auditoria, painéis e permissões.</w:t>
      </w:r>
    </w:p>
    <w:p>
      <w:pPr>
        <w:pStyle w:val="Heading2"/>
      </w:pPr>
      <w:r>
        <w:t>Fase E — Funções e módulos</w:t>
      </w:r>
    </w:p>
    <w:p>
      <w:r>
        <w:t>Entregar, testar e aprovar funcionalidades com dependências antes da divulgação.</w:t>
      </w:r>
    </w:p>
    <w:p>
      <w:pPr>
        <w:pStyle w:val="Heading2"/>
      </w:pPr>
      <w:r>
        <w:t>Fase F — Homologação e lançamento</w:t>
      </w:r>
    </w:p>
    <w:p>
      <w:r>
        <w:t>QA com cenários de teste, segurança, custos comerciais, contratos e formalização; autorização específica para publicação.</w:t>
      </w:r>
    </w:p>
    <w:p>
      <w:pPr>
        <w:pStyle w:val="Heading1"/>
      </w:pPr>
      <w:r>
        <w:t>Pontos que NÃO estão resolvidos</w:t>
      </w:r>
    </w:p>
    <w:p>
      <w:pPr>
        <w:pStyle w:val="ListBullet"/>
      </w:pPr>
      <w:r>
        <w:t>Preço de Backup Plus; tamanho/preço dos pacotes adicionais de produtos; quotas e custos de serviços externos em TV, WhatsApp, 360°; situação de implementação de cada adicional.</w:t>
      </w:r>
    </w:p>
    <w:p>
      <w:pPr>
        <w:pStyle w:val="ListBullet"/>
      </w:pPr>
      <w:r>
        <w:t>Custo real e condições da Vercel comercial, capacidade Supabase, suporte mensal, remuneração da mão de obra, tributos, formalização e plataforma de recebimento.</w:t>
      </w:r>
    </w:p>
    <w:p>
      <w:pPr>
        <w:pStyle w:val="ListBullet"/>
      </w:pPr>
      <w:r>
        <w:t>Hospedagem/retensão do Start; prazos de resposta de suporte e de suspensão/reativação; formato e política de exportação de dados; revisão jurídica.</w:t>
      </w:r>
    </w:p>
    <w:p>
      <w:pPr>
        <w:pStyle w:val="ListBullet"/>
      </w:pPr>
      <w:r>
        <w:t>Uma leitura anterior do Supabase encontrou tabelas e catálogos, mas não certificou telas, fluxos, isolamento por estabelecimento nem funcionalidades completas. O usuário adiou novas verificações no Supabase.</w:t>
      </w:r>
    </w:p>
    <w:p>
      <w:pPr>
        <w:pStyle w:val="Heading1"/>
      </w:pPr>
      <w:r>
        <w:t>Status da entrega</w:t>
      </w:r>
    </w:p>
    <w:p>
      <w:r>
        <w:t>Os cadernos são uma especificação funcional e uma lista de conferência para futura análise técnica. Eles NÃO são um inventário verificado de arquivos do código-fonte nem comprovam que determinada função esteja pronta.</w:t>
      </w:r>
    </w:p>
    <w:p>
      <w:pPr>
        <w:pStyle w:val="Heading1"/>
      </w:pPr>
      <w:r>
        <w:t>Atualização de escopo — revisão dos extras antigos</w:t>
      </w:r>
    </w:p>
    <w:p>
      <w:r>
        <w:t>A lista histórica de 46 extras foi cruzada com os planos e com os 19 adicionais do caderno 05. Resultado documental: 17 novos candidatos (NOV-01...NOV-17), 3 ampliações distintas (EXT-01...EXT-03), 14 sobreposições, 9 inclusos/essenciais e 3 políticas/serviços.</w:t>
      </w:r>
    </w:p>
    <w:p>
      <w:r>
        <w:t>Fonte principal: 05_Modulos_Adicionais.docx, anexos NOV/EXT e matriz dos 46 itens. Os preços da lista antiga não estão aprovados. Nenhuma nova funcionalidade foi implementada ou declarada disponível.</w:t>
      </w:r>
    </w:p>
    <w:p>
      <w:r>
        <w:t>Regras: não duplicar cobranças nem retirar itens já inclusos; analisar antes se a função existe no código; não alterar GitHub, Codex, Firebase, Supabase, Vercel, site ou Painel Master neste trabalho. O arquivo 09_Painel_Exclusivo_Controle_Pedidos_NovaesWeb.docx permanece independente e inalterado.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E6D7A"/>
      </w:rPr>
      <w:t>Caderno 00  •  Planejamento, não execução  •  22/10/2026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5E6D7A"/>
      </w:rPr>
      <w:t>NOVAESWEB  /  CADERNOS PARA REVISÃO E CODEX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5273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75F9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75F97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20"/>
      <w:contextualSpacing/>
    </w:pPr>
    <w:rPr>
      <w:rFonts w:asciiTheme="majorHAnsi" w:eastAsiaTheme="majorEastAsia" w:hAnsiTheme="majorHAnsi" w:cstheme="majorBidi" w:ascii="Aptos Display" w:hAnsi="Aptos Display"/>
      <w:b/>
      <w:color w:val="15273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