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Painel Master — administração central</w:t>
      </w:r>
    </w:p>
    <w:p>
      <w:r>
        <w:rPr>
          <w:i/>
          <w:color w:val="5E6D7A"/>
        </w:rPr>
        <w:t>Especificação de funções comerciais e operacionais para conferir antes de implementar.</w:t>
      </w:r>
    </w:p>
    <w:p>
      <w:r>
        <w:rPr>
          <w:b/>
          <w:color w:val="175F97"/>
        </w:rPr>
        <w:t xml:space="preserve">REGRA DE SEGURANÇA: </w:t>
      </w:r>
      <w:r>
        <w:t>Este documento descreve decisões comerciais e tarefas propostas. Não autoriza Codex, Vercel, Supabase ou qualquer operador a alterar, implantar, contratar ou migrar sistemas sem nova autorização explícita.</w:t>
      </w:r>
    </w:p>
    <w:p>
      <w:pPr>
        <w:pStyle w:val="Heading1"/>
      </w:pPr>
      <w:r>
        <w:t>Premissa</w:t>
      </w:r>
    </w:p>
    <w:p>
      <w:r>
        <w:t>Não supor que ter tabela no banco equivale a ter tela pronta. Não fazer nova consulta ao Supabase nesta fase: o usuário adiou essa auditoria. O Codex deverá primeiro inspecionar apenas o repositório correspondente quando houver autorização.</w:t>
      </w:r>
    </w:p>
    <w:p>
      <w:pPr>
        <w:pStyle w:val="Heading2"/>
      </w:pPr>
      <w:r>
        <w:t>MASTER-01 · Painel geral da carteira</w:t>
      </w:r>
    </w:p>
    <w:p>
      <w:r>
        <w:rPr>
          <w:color w:val="5E6D7A"/>
          <w:sz w:val="16"/>
        </w:rPr>
        <w:t>Destino: Painel Master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Visão geral de clientes, plano, situação comercial, pedido de adesão, vencimentos e pendências.</w:t>
      </w:r>
    </w:p>
    <w:p>
      <w:pPr>
        <w:ind w:left="173"/>
      </w:pPr>
      <w:r>
        <w:rPr>
          <w:b/>
        </w:rPr>
        <w:t xml:space="preserve">Conferência ou alteração futura: </w:t>
      </w:r>
      <w:r>
        <w:t>Inventariar dashboards atuais e propor indicadores sem expor dados de uma loja a outra.</w:t>
      </w:r>
    </w:p>
    <w:p>
      <w:pPr>
        <w:ind w:left="173"/>
      </w:pPr>
      <w:r>
        <w:rPr>
          <w:b/>
        </w:rPr>
        <w:t xml:space="preserve">Critério de aceite: </w:t>
      </w:r>
      <w:r>
        <w:t>Resumo identifica clientes e estados sem confundir leads, contratos e lojas ativas.</w:t>
      </w:r>
    </w:p>
    <w:p>
      <w:pPr>
        <w:pStyle w:val="Heading2"/>
      </w:pPr>
      <w:r>
        <w:t>MASTER-02 · Catálogo de planos</w:t>
      </w:r>
    </w:p>
    <w:p>
      <w:r>
        <w:rPr>
          <w:color w:val="5E6D7A"/>
          <w:sz w:val="16"/>
        </w:rPr>
        <w:t>Destino: Cadastro de planos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Representar Start, Business, Premium e Empresarial com preços de criação/mensalidade e limites aprovados.</w:t>
      </w:r>
    </w:p>
    <w:p>
      <w:pPr>
        <w:ind w:left="173"/>
      </w:pPr>
      <w:r>
        <w:rPr>
          <w:b/>
        </w:rPr>
        <w:t xml:space="preserve">Conferência ou alteração futura: </w:t>
      </w:r>
      <w:r>
        <w:t>Verificar se o painel usa dados locais, arquivos de configuração ou catálogo persistido; preparar sincronização governada sem sobrescrever informações existentes.</w:t>
      </w:r>
    </w:p>
    <w:p>
      <w:pPr>
        <w:ind w:left="173"/>
      </w:pPr>
      <w:r>
        <w:rPr>
          <w:b/>
        </w:rPr>
        <w:t xml:space="preserve">Critério de aceite: </w:t>
      </w:r>
      <w:r>
        <w:t>Catálogo corresponde a todos os preços e regras aprovados; edição com autorização e auditoria.</w:t>
      </w:r>
    </w:p>
    <w:p>
      <w:pPr>
        <w:ind w:left="173"/>
      </w:pPr>
      <w:r>
        <w:rPr>
          <w:b/>
        </w:rPr>
        <w:t xml:space="preserve">Pendência / ressalva: </w:t>
      </w:r>
      <w:r>
        <w:t>Leitura histórica encontrou master_plan_catalog vazio; não afirmar que continua vazio.</w:t>
      </w:r>
    </w:p>
    <w:p>
      <w:pPr>
        <w:pStyle w:val="Heading2"/>
      </w:pPr>
      <w:r>
        <w:t>MASTER-03 · Cadastro e ciclo de vida de estabelecimentos</w:t>
      </w:r>
    </w:p>
    <w:p>
      <w:r>
        <w:rPr>
          <w:color w:val="5E6D7A"/>
          <w:sz w:val="16"/>
        </w:rPr>
        <w:t>Destino: Gestão de sites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Registrar identificação, plano, status de contratação, ativação, cobrança e cancelamento; cada estabelecimento vinculado às próprias permissões.</w:t>
      </w:r>
    </w:p>
    <w:p>
      <w:pPr>
        <w:ind w:left="173"/>
      </w:pPr>
      <w:r>
        <w:rPr>
          <w:b/>
        </w:rPr>
        <w:t xml:space="preserve">Conferência ou alteração futura: </w:t>
      </w:r>
      <w:r>
        <w:t>Mapear fluxo de aprovação, criação oficial, ativação e suspensão; evitar provisionamento automático antes de pagamento/autorização.</w:t>
      </w:r>
    </w:p>
    <w:p>
      <w:pPr>
        <w:ind w:left="173"/>
      </w:pPr>
      <w:r>
        <w:rPr>
          <w:b/>
        </w:rPr>
        <w:t xml:space="preserve">Critério de aceite: </w:t>
      </w:r>
      <w:r>
        <w:t>Não há cliente ativado por simples lead; todo estado tem responsável e histórico.</w:t>
      </w:r>
    </w:p>
    <w:p>
      <w:pPr>
        <w:pStyle w:val="Heading2"/>
      </w:pPr>
      <w:r>
        <w:t>MASTER-04 · Limites por plano e direitos de acesso</w:t>
      </w:r>
    </w:p>
    <w:p>
      <w:r>
        <w:rPr>
          <w:color w:val="5E6D7A"/>
          <w:sz w:val="16"/>
        </w:rPr>
        <w:t>Destino: Planos / permissões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Business: 200 produtos e 2 admins; Premium: 500 produtos e 5 admins; adicionais podem ampliar direitos quando ativos.</w:t>
      </w:r>
    </w:p>
    <w:p>
      <w:pPr>
        <w:ind w:left="173"/>
      </w:pPr>
      <w:r>
        <w:rPr>
          <w:b/>
        </w:rPr>
        <w:t xml:space="preserve">Conferência ou alteração futura: </w:t>
      </w:r>
      <w:r>
        <w:t>Localizar enforcement no painel e nos serviços, não só na UI; apresentar mensagens amigáveis ao limite.</w:t>
      </w:r>
    </w:p>
    <w:p>
      <w:pPr>
        <w:ind w:left="173"/>
      </w:pPr>
      <w:r>
        <w:rPr>
          <w:b/>
        </w:rPr>
        <w:t xml:space="preserve">Critério de aceite: </w:t>
      </w:r>
      <w:r>
        <w:t>Não permite exceder direitos sem plano ou módulo contratado.</w:t>
      </w:r>
    </w:p>
    <w:p>
      <w:pPr>
        <w:ind w:left="173"/>
      </w:pPr>
      <w:r>
        <w:rPr>
          <w:b/>
        </w:rPr>
        <w:t xml:space="preserve">Pendência / ressalva: </w:t>
      </w:r>
      <w:r>
        <w:t>Pacotes extras de produtos ainda não precificados.</w:t>
      </w:r>
    </w:p>
    <w:p>
      <w:pPr>
        <w:pStyle w:val="Heading2"/>
      </w:pPr>
      <w:r>
        <w:t>MASTER-05 · Acesso Master e perfis</w:t>
      </w:r>
    </w:p>
    <w:p>
      <w:r>
        <w:rPr>
          <w:color w:val="5E6D7A"/>
          <w:sz w:val="16"/>
        </w:rPr>
        <w:t>Destino: Autenticação / autorização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Separar perfis Master de perfis lojistas; trilha auditável de ações administrativas.</w:t>
      </w:r>
    </w:p>
    <w:p>
      <w:pPr>
        <w:ind w:left="173"/>
      </w:pPr>
      <w:r>
        <w:rPr>
          <w:b/>
        </w:rPr>
        <w:t xml:space="preserve">Conferência ou alteração futura: </w:t>
      </w:r>
      <w:r>
        <w:t>Revisar RBAC, sessão, reset e acesso a dados entre estabelecimentos, sem abrir permissões genéricas.</w:t>
      </w:r>
    </w:p>
    <w:p>
      <w:pPr>
        <w:ind w:left="173"/>
      </w:pPr>
      <w:r>
        <w:rPr>
          <w:b/>
        </w:rPr>
        <w:t xml:space="preserve">Critério de aceite: </w:t>
      </w:r>
      <w:r>
        <w:t>Acesso indevido é negado tanto no backend quanto na interface.</w:t>
      </w:r>
    </w:p>
    <w:p>
      <w:pPr>
        <w:ind w:left="173"/>
      </w:pPr>
      <w:r>
        <w:rPr>
          <w:b/>
        </w:rPr>
        <w:t xml:space="preserve">Pendência / ressalva: </w:t>
      </w:r>
      <w:r>
        <w:t>Requer auditoria de segurança posterior.</w:t>
      </w:r>
    </w:p>
    <w:p>
      <w:pPr>
        <w:pStyle w:val="Heading2"/>
      </w:pPr>
      <w:r>
        <w:t>MASTER-06 · Solicitações e ativação de módulos</w:t>
      </w:r>
    </w:p>
    <w:p>
      <w:r>
        <w:rPr>
          <w:color w:val="5E6D7A"/>
          <w:sz w:val="16"/>
        </w:rPr>
        <w:t>Destino: Catálogo / solicitações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Distinguir pedido comercial, aprovação, contratação, instalação, disponibilidade técnica e cancelamento.</w:t>
      </w:r>
    </w:p>
    <w:p>
      <w:pPr>
        <w:ind w:left="173"/>
      </w:pPr>
      <w:r>
        <w:rPr>
          <w:b/>
        </w:rPr>
        <w:t xml:space="preserve">Conferência ou alteração futura: </w:t>
      </w:r>
      <w:r>
        <w:t>Checar telas e estados separados; impedir que aprovar orçamento ative módulo não homologado.</w:t>
      </w:r>
    </w:p>
    <w:p>
      <w:pPr>
        <w:ind w:left="173"/>
      </w:pPr>
      <w:r>
        <w:rPr>
          <w:b/>
        </w:rPr>
        <w:t xml:space="preserve">Critério de aceite: </w:t>
      </w:r>
      <w:r>
        <w:t>Somente módulo contratado e tecnicamente habilitado é exibido como ativo.</w:t>
      </w:r>
    </w:p>
    <w:p>
      <w:pPr>
        <w:ind w:left="173"/>
      </w:pPr>
      <w:r>
        <w:rPr>
          <w:b/>
        </w:rPr>
        <w:t xml:space="preserve">Pendência / ressalva: </w:t>
      </w:r>
      <w:r>
        <w:t>Leitura histórica mostrou catálogo com 25 entradas e instalações vazias, mas não comprova disponibilidade atual.</w:t>
      </w:r>
    </w:p>
    <w:p>
      <w:pPr>
        <w:pStyle w:val="Heading2"/>
      </w:pPr>
      <w:r>
        <w:t>MASTER-07 · Medição mensal de pedidos aceitos</w:t>
      </w:r>
    </w:p>
    <w:p>
      <w:r>
        <w:rPr>
          <w:color w:val="5E6D7A"/>
          <w:sz w:val="16"/>
        </w:rPr>
        <w:t>Destino: Faturamento / consumo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Mês calendário Brasil; pedidos aceitos únicos por loja; franquia e excedente.</w:t>
      </w:r>
    </w:p>
    <w:p>
      <w:pPr>
        <w:ind w:left="173"/>
      </w:pPr>
      <w:r>
        <w:rPr>
          <w:b/>
        </w:rPr>
        <w:t xml:space="preserve">Conferência ou alteração futura: </w:t>
      </w:r>
      <w:r>
        <w:t>Conferir agregação mensal, duplicidade, alterações de status, trilha e reprocessamento sem cobrança duplicada.</w:t>
      </w:r>
    </w:p>
    <w:p>
      <w:pPr>
        <w:ind w:left="173"/>
      </w:pPr>
      <w:r>
        <w:rPr>
          <w:b/>
        </w:rPr>
        <w:t xml:space="preserve">Critério de aceite: </w:t>
      </w:r>
      <w:r>
        <w:t>Valores exatos nos casos de teste do caderno 04.</w:t>
      </w:r>
    </w:p>
    <w:p>
      <w:pPr>
        <w:pStyle w:val="Heading2"/>
      </w:pPr>
      <w:r>
        <w:t>MASTER-08 · Alertas de 80% e 100%</w:t>
      </w:r>
    </w:p>
    <w:p>
      <w:r>
        <w:rPr>
          <w:color w:val="5E6D7A"/>
          <w:sz w:val="16"/>
        </w:rPr>
        <w:t>Destino: Consumo / notificações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Avisos de atingimento da franquia sem travar pedidos.</w:t>
      </w:r>
    </w:p>
    <w:p>
      <w:pPr>
        <w:ind w:left="173"/>
      </w:pPr>
      <w:r>
        <w:rPr>
          <w:b/>
        </w:rPr>
        <w:t xml:space="preserve">Conferência ou alteração futura: </w:t>
      </w:r>
      <w:r>
        <w:t>Verificar cálculo, limiar, destinatários, não repetição excessiva e visibilidade no histórico.</w:t>
      </w:r>
    </w:p>
    <w:p>
      <w:pPr>
        <w:ind w:left="173"/>
      </w:pPr>
      <w:r>
        <w:rPr>
          <w:b/>
        </w:rPr>
        <w:t xml:space="preserve">Critério de aceite: </w:t>
      </w:r>
      <w:r>
        <w:t>Alerta consistente com o consumo; zero bloqueio automático.</w:t>
      </w:r>
    </w:p>
    <w:p>
      <w:pPr>
        <w:pStyle w:val="Heading2"/>
      </w:pPr>
      <w:r>
        <w:t>MASTER-09 · Cobrança e conciliação</w:t>
      </w:r>
    </w:p>
    <w:p>
      <w:r>
        <w:rPr>
          <w:color w:val="5E6D7A"/>
          <w:sz w:val="16"/>
        </w:rPr>
        <w:t>Destino: Financeiro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Mensalidades, excedentes no mês seguinte, vencimento dia 10, Pix/cartão, pró-rata inicial.</w:t>
      </w:r>
    </w:p>
    <w:p>
      <w:pPr>
        <w:ind w:left="173"/>
      </w:pPr>
      <w:r>
        <w:rPr>
          <w:b/>
        </w:rPr>
        <w:t xml:space="preserve">Conferência ou alteração futura: </w:t>
      </w:r>
      <w:r>
        <w:t>Mapear necessidade de integração futura à plataforma escolhida, estados de pagamento, divergência e estorno; sem credenciais fictícias.</w:t>
      </w:r>
    </w:p>
    <w:p>
      <w:pPr>
        <w:ind w:left="173"/>
      </w:pPr>
      <w:r>
        <w:rPr>
          <w:b/>
        </w:rPr>
        <w:t xml:space="preserve">Critério de aceite: </w:t>
      </w:r>
      <w:r>
        <w:t>Cobrança diferenciada de pedidos do consumidor final; nenhum débito duplicado.</w:t>
      </w:r>
    </w:p>
    <w:p>
      <w:pPr>
        <w:ind w:left="173"/>
      </w:pPr>
      <w:r>
        <w:rPr>
          <w:b/>
        </w:rPr>
        <w:t xml:space="preserve">Pendência / ressalva: </w:t>
      </w:r>
      <w:r>
        <w:t>Plataforma de pagamento e taxas reais pendentes.</w:t>
      </w:r>
    </w:p>
    <w:p>
      <w:pPr>
        <w:pStyle w:val="Heading2"/>
      </w:pPr>
      <w:r>
        <w:t>MASTER-10 · Upgrade, downgrade e contrato</w:t>
      </w:r>
    </w:p>
    <w:p>
      <w:r>
        <w:rPr>
          <w:color w:val="5E6D7A"/>
          <w:sz w:val="16"/>
        </w:rPr>
        <w:t>Destino: Plano por estabelecimento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Mudança comercial de plano produz efeito a partir do mês seguinte, com histórico.</w:t>
      </w:r>
    </w:p>
    <w:p>
      <w:pPr>
        <w:ind w:left="173"/>
      </w:pPr>
      <w:r>
        <w:rPr>
          <w:b/>
        </w:rPr>
        <w:t xml:space="preserve">Conferência ou alteração futura: </w:t>
      </w:r>
      <w:r>
        <w:t>Conferir permissões e faturamento usando vigência; preservar dados e evitar efeitos retroativos.</w:t>
      </w:r>
    </w:p>
    <w:p>
      <w:pPr>
        <w:ind w:left="173"/>
      </w:pPr>
      <w:r>
        <w:rPr>
          <w:b/>
        </w:rPr>
        <w:t xml:space="preserve">Critério de aceite: </w:t>
      </w:r>
      <w:r>
        <w:t>Mês corrente mantém regras vigentes; mês seguinte recebe as novas condições.</w:t>
      </w:r>
    </w:p>
    <w:p>
      <w:pPr>
        <w:pStyle w:val="Heading2"/>
      </w:pPr>
      <w:r>
        <w:t>MASTER-11 · Suporte e tickets</w:t>
      </w:r>
    </w:p>
    <w:p>
      <w:r>
        <w:rPr>
          <w:color w:val="5E6D7A"/>
          <w:sz w:val="16"/>
        </w:rPr>
        <w:t>Destino: Painel suporte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Suporte via WhatsApp/e-mail, com registro interno de tickets e prioridade crítica/alta/média/baixa.</w:t>
      </w:r>
    </w:p>
    <w:p>
      <w:pPr>
        <w:ind w:left="173"/>
      </w:pPr>
      <w:r>
        <w:rPr>
          <w:b/>
        </w:rPr>
        <w:t xml:space="preserve">Conferência ou alteração futura: </w:t>
      </w:r>
      <w:r>
        <w:t>Verificar rastreabilidade, status, contato, responsável e prioridade; não prometer SLA não aprovado.</w:t>
      </w:r>
    </w:p>
    <w:p>
      <w:pPr>
        <w:ind w:left="173"/>
      </w:pPr>
      <w:r>
        <w:rPr>
          <w:b/>
        </w:rPr>
        <w:t xml:space="preserve">Critério de aceite: </w:t>
      </w:r>
      <w:r>
        <w:t>Atendimento registrável e consultável; horário seg–sex 9h–18h Brasília.</w:t>
      </w:r>
    </w:p>
    <w:p>
      <w:pPr>
        <w:pStyle w:val="Heading2"/>
      </w:pPr>
      <w:r>
        <w:t>MASTER-12 · Auditoria e relatórios</w:t>
      </w:r>
    </w:p>
    <w:p>
      <w:r>
        <w:rPr>
          <w:color w:val="5E6D7A"/>
          <w:sz w:val="16"/>
        </w:rPr>
        <w:t>Destino: Logs e relatórios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Registrar mudanças de plano, alterações de limites, aprovações, módulos, cobrança e intervenções administrativas.</w:t>
      </w:r>
    </w:p>
    <w:p>
      <w:pPr>
        <w:ind w:left="173"/>
      </w:pPr>
      <w:r>
        <w:rPr>
          <w:b/>
        </w:rPr>
        <w:t xml:space="preserve">Conferência ou alteração futura: </w:t>
      </w:r>
      <w:r>
        <w:t>Exigir dados mínimos: ator, horário, entidade, ação e resultado; proteger dados sensíveis e restringir leitura.</w:t>
      </w:r>
    </w:p>
    <w:p>
      <w:pPr>
        <w:ind w:left="173"/>
      </w:pPr>
      <w:r>
        <w:rPr>
          <w:b/>
        </w:rPr>
        <w:t xml:space="preserve">Critério de aceite: </w:t>
      </w:r>
      <w:r>
        <w:t>Cada operação crítica tem rastreio legível para revisão.</w:t>
      </w:r>
    </w:p>
    <w:p>
      <w:pPr>
        <w:pStyle w:val="Heading2"/>
      </w:pPr>
      <w:r>
        <w:t>MASTER-13 · Domínios, publicação e continuidade</w:t>
      </w:r>
    </w:p>
    <w:p>
      <w:r>
        <w:rPr>
          <w:color w:val="5E6D7A"/>
          <w:sz w:val="16"/>
        </w:rPr>
        <w:t>Destino: Gestão técnica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Subdomínio NovaesWeb inicialmente; domínio próprio opcional administrado e custeado pelo cliente via cobrança transparente.</w:t>
      </w:r>
    </w:p>
    <w:p>
      <w:pPr>
        <w:ind w:left="173"/>
      </w:pPr>
      <w:r>
        <w:rPr>
          <w:b/>
        </w:rPr>
        <w:t xml:space="preserve">Conferência ou alteração futura: </w:t>
      </w:r>
      <w:r>
        <w:t>Mapear status do domínio e vencimento; não registrar, conectar ou apontar DNS automaticamente.</w:t>
      </w:r>
    </w:p>
    <w:p>
      <w:pPr>
        <w:ind w:left="173"/>
      </w:pPr>
      <w:r>
        <w:rPr>
          <w:b/>
        </w:rPr>
        <w:t xml:space="preserve">Critério de aceite: </w:t>
      </w:r>
      <w:r>
        <w:t>Não há domínio publicado ou alterado sem aprovação e comprovantes.</w:t>
      </w:r>
    </w:p>
    <w:p>
      <w:pPr>
        <w:pStyle w:val="Heading1"/>
      </w:pPr>
      <w:r>
        <w:t>Anexo — separação de catálogo aprovado e novos candidatos</w:t>
      </w:r>
    </w:p>
    <w:p>
      <w:r>
        <w:t>MASTER-14 · Analisar candidatos NOV/EXT sem cadastrá-los automaticamente</w:t>
      </w:r>
    </w:p>
    <w:p>
      <w:r>
        <w:t>Destino: gestão comercial de funcionalidades e solicitações. Exigir dois agrupamentos distintos: 19 adicionais comerciais já planejados (ADD-01 a ADD-19) e 20 candidatos de escopo ainda não aprovado (NOV-01 a NOV-17; EXT-01 a EXT-03). Não ativar candidatos, atribuir preço, emitir cobrança ou anunciar disponibilidade.</w:t>
      </w:r>
    </w:p>
    <w:p>
      <w:r>
        <w:t>Checklist futuro: localizar se o código já oferece cada função; impedir nomes duplicados; relacionar módulo existente quando houver sobreposição; pedir autorização explícita para inclusão comercial/ativação por loja; auditar permissões. Regras do Painel Exclusivo de Pedidos permanecem no documento 09, não devem ser confundidas com o novo catálogo.</w:t>
      </w:r>
    </w:p>
    <w:p>
      <w:r>
        <w:t>A matriz completa dos 46 extras históricos e razões de exclusão/triagem está no anexo do caderno 05.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D7A"/>
      </w:rPr>
      <w:t>Caderno 02  •  Planejamento, não execução  •  22/10/2026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E6D7A"/>
      </w:rPr>
      <w:t>NOVAESWEB  /  CADERNOS PARA REVISÃO E CODEX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527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75F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5F9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527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