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Pedidos, franquias e cobrança recorrente</w:t>
      </w:r>
    </w:p>
    <w:p>
      <w:r>
        <w:rPr>
          <w:i/>
          <w:color w:val="5E6D7A"/>
        </w:rPr>
        <w:t>Especificação da regra financeira de pedidos aceitos e vigência dos planos.</w:t>
      </w:r>
    </w:p>
    <w:p>
      <w:r>
        <w:rPr>
          <w:b/>
          <w:color w:val="175F97"/>
        </w:rPr>
        <w:t xml:space="preserve">REGRA DE SEGURANÇA: </w:t>
      </w:r>
      <w:r>
        <w:t>Este documento descreve decisões comerciais e tarefas propostas. Não autoriza Codex, Vercel, Supabase ou qualquer operador a alterar, implantar, contratar ou migrar sistemas sem nova autorização explícita.</w:t>
      </w:r>
    </w:p>
    <w:p>
      <w:pPr>
        <w:pStyle w:val="Heading1"/>
      </w:pPr>
      <w:r>
        <w:t>Valores aprovados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</w:trPr>
        <w:tc>
          <w:tcPr>
            <w:tcW w:type="dxa" w:w="1639"/>
            <w:shd w:fill="DDEAF4"/>
          </w:tcPr>
          <w:p>
            <w:r>
              <w:t>Plano</w:t>
            </w:r>
          </w:p>
        </w:tc>
        <w:tc>
          <w:tcPr>
            <w:tcW w:type="dxa" w:w="1639"/>
            <w:shd w:fill="DDEAF4"/>
          </w:tcPr>
          <w:p>
            <w:r>
              <w:t>Mensalidade</w:t>
            </w:r>
          </w:p>
        </w:tc>
        <w:tc>
          <w:tcPr>
            <w:tcW w:type="dxa" w:w="1639"/>
            <w:shd w:fill="DDEAF4"/>
          </w:tcPr>
          <w:p>
            <w:r>
              <w:t>Franquia</w:t>
            </w:r>
          </w:p>
        </w:tc>
        <w:tc>
          <w:tcPr>
            <w:tcW w:type="dxa" w:w="1639"/>
            <w:shd w:fill="DDEAF4"/>
          </w:tcPr>
          <w:p>
            <w:r>
              <w:t>Aceito extra</w:t>
            </w:r>
          </w:p>
        </w:tc>
        <w:tc>
          <w:tcPr>
            <w:tcW w:type="dxa" w:w="1639"/>
            <w:shd w:fill="DDEAF4"/>
          </w:tcPr>
          <w:p>
            <w:r>
              <w:t>Limite de produtos</w:t>
            </w:r>
          </w:p>
        </w:tc>
        <w:tc>
          <w:tcPr>
            <w:tcW w:type="dxa" w:w="1639"/>
            <w:shd w:fill="DDEAF4"/>
          </w:tcPr>
          <w:p>
            <w:r>
              <w:t>Admins</w:t>
            </w:r>
          </w:p>
        </w:tc>
      </w:tr>
      <w:tr>
        <w:tc>
          <w:tcPr>
            <w:tcW w:type="dxa" w:w="1639"/>
            <w:vAlign w:val="center"/>
          </w:tcPr>
          <w:p>
            <w:r>
              <w:t>Business</w:t>
            </w:r>
          </w:p>
        </w:tc>
        <w:tc>
          <w:tcPr>
            <w:tcW w:type="dxa" w:w="1639"/>
            <w:vAlign w:val="center"/>
          </w:tcPr>
          <w:p>
            <w:r>
              <w:t>R$ 190</w:t>
            </w:r>
          </w:p>
        </w:tc>
        <w:tc>
          <w:tcPr>
            <w:tcW w:type="dxa" w:w="1639"/>
            <w:vAlign w:val="center"/>
          </w:tcPr>
          <w:p>
            <w:r>
              <w:t>340/mês</w:t>
            </w:r>
          </w:p>
        </w:tc>
        <w:tc>
          <w:tcPr>
            <w:tcW w:type="dxa" w:w="1639"/>
            <w:vAlign w:val="center"/>
          </w:tcPr>
          <w:p>
            <w:r>
              <w:t>R$ 0,20</w:t>
            </w:r>
          </w:p>
        </w:tc>
        <w:tc>
          <w:tcPr>
            <w:tcW w:type="dxa" w:w="1639"/>
            <w:vAlign w:val="center"/>
          </w:tcPr>
          <w:p>
            <w:r>
              <w:t>200</w:t>
            </w:r>
          </w:p>
        </w:tc>
        <w:tc>
          <w:tcPr>
            <w:tcW w:type="dxa" w:w="1639"/>
            <w:vAlign w:val="center"/>
          </w:tcPr>
          <w:p>
            <w:r>
              <w:t>2</w:t>
            </w:r>
          </w:p>
        </w:tc>
      </w:tr>
      <w:tr>
        <w:tc>
          <w:tcPr>
            <w:tcW w:type="dxa" w:w="1639"/>
            <w:vAlign w:val="center"/>
          </w:tcPr>
          <w:p>
            <w:r>
              <w:t>Premium</w:t>
            </w:r>
          </w:p>
        </w:tc>
        <w:tc>
          <w:tcPr>
            <w:tcW w:type="dxa" w:w="1639"/>
            <w:vAlign w:val="center"/>
          </w:tcPr>
          <w:p>
            <w:r>
              <w:t>R$ 270</w:t>
            </w:r>
          </w:p>
        </w:tc>
        <w:tc>
          <w:tcPr>
            <w:tcW w:type="dxa" w:w="1639"/>
            <w:vAlign w:val="center"/>
          </w:tcPr>
          <w:p>
            <w:r>
              <w:t>750/mês</w:t>
            </w:r>
          </w:p>
        </w:tc>
        <w:tc>
          <w:tcPr>
            <w:tcW w:type="dxa" w:w="1639"/>
            <w:vAlign w:val="center"/>
          </w:tcPr>
          <w:p>
            <w:r>
              <w:t>R$ 0,15</w:t>
            </w:r>
          </w:p>
        </w:tc>
        <w:tc>
          <w:tcPr>
            <w:tcW w:type="dxa" w:w="1639"/>
            <w:vAlign w:val="center"/>
          </w:tcPr>
          <w:p>
            <w:r>
              <w:t>500</w:t>
            </w:r>
          </w:p>
        </w:tc>
        <w:tc>
          <w:tcPr>
            <w:tcW w:type="dxa" w:w="1639"/>
            <w:vAlign w:val="center"/>
          </w:tcPr>
          <w:p>
            <w:r>
              <w:t>5</w:t>
            </w:r>
          </w:p>
        </w:tc>
      </w:tr>
      <w:tr>
        <w:tc>
          <w:tcPr>
            <w:tcW w:type="dxa" w:w="1639"/>
            <w:vAlign w:val="center"/>
          </w:tcPr>
          <w:p>
            <w:r>
              <w:t>Start</w:t>
            </w:r>
          </w:p>
        </w:tc>
        <w:tc>
          <w:tcPr>
            <w:tcW w:type="dxa" w:w="1639"/>
            <w:vAlign w:val="center"/>
          </w:tcPr>
          <w:p>
            <w:r>
              <w:t>Não obrigatória</w:t>
            </w:r>
          </w:p>
        </w:tc>
        <w:tc>
          <w:tcPr>
            <w:tcW w:type="dxa" w:w="1639"/>
            <w:vAlign w:val="center"/>
          </w:tcPr>
          <w:p>
            <w:r>
              <w:t>Não inclui pedidos</w:t>
            </w:r>
          </w:p>
        </w:tc>
        <w:tc>
          <w:tcPr>
            <w:tcW w:type="dxa" w:w="1639"/>
            <w:vAlign w:val="center"/>
          </w:tcPr>
          <w:p>
            <w:r>
              <w:t>Não aplicável</w:t>
            </w:r>
          </w:p>
        </w:tc>
        <w:tc>
          <w:tcPr>
            <w:tcW w:type="dxa" w:w="1639"/>
            <w:vAlign w:val="center"/>
          </w:tcPr>
          <w:p>
            <w:r>
              <w:t>Não aplicável</w:t>
            </w:r>
          </w:p>
        </w:tc>
        <w:tc>
          <w:tcPr>
            <w:tcW w:type="dxa" w:w="1639"/>
            <w:vAlign w:val="center"/>
          </w:tcPr>
          <w:p>
            <w:r>
              <w:t>Não aplicável</w:t>
            </w:r>
          </w:p>
        </w:tc>
      </w:tr>
      <w:tr>
        <w:tc>
          <w:tcPr>
            <w:tcW w:type="dxa" w:w="1639"/>
            <w:vAlign w:val="center"/>
          </w:tcPr>
          <w:p>
            <w:r>
              <w:t>Empresarial</w:t>
            </w:r>
          </w:p>
        </w:tc>
        <w:tc>
          <w:tcPr>
            <w:tcW w:type="dxa" w:w="1639"/>
            <w:vAlign w:val="center"/>
          </w:tcPr>
          <w:p>
            <w:r>
              <w:t>Sob orçamento</w:t>
            </w:r>
          </w:p>
        </w:tc>
        <w:tc>
          <w:tcPr>
            <w:tcW w:type="dxa" w:w="1639"/>
            <w:vAlign w:val="center"/>
          </w:tcPr>
          <w:p>
            <w:r>
              <w:t>Sob orçamento</w:t>
            </w:r>
          </w:p>
        </w:tc>
        <w:tc>
          <w:tcPr>
            <w:tcW w:type="dxa" w:w="1639"/>
            <w:vAlign w:val="center"/>
          </w:tcPr>
          <w:p>
            <w:r>
              <w:t>Sob orçamento</w:t>
            </w:r>
          </w:p>
        </w:tc>
        <w:tc>
          <w:tcPr>
            <w:tcW w:type="dxa" w:w="1639"/>
            <w:vAlign w:val="center"/>
          </w:tcPr>
          <w:p>
            <w:r>
              <w:t>Personalizado</w:t>
            </w:r>
          </w:p>
        </w:tc>
        <w:tc>
          <w:tcPr>
            <w:tcW w:type="dxa" w:w="1639"/>
            <w:vAlign w:val="center"/>
          </w:tcPr>
          <w:p>
            <w:r>
              <w:t>Personalizado</w:t>
            </w:r>
          </w:p>
        </w:tc>
      </w:tr>
    </w:tbl>
    <w:p/>
    <w:p>
      <w:pPr>
        <w:pStyle w:val="Heading2"/>
      </w:pPr>
      <w:r>
        <w:t>PED-01 · Evento de aceite único</w:t>
      </w:r>
    </w:p>
    <w:p>
      <w:r>
        <w:rPr>
          <w:color w:val="5E6D7A"/>
          <w:sz w:val="16"/>
        </w:rPr>
        <w:t>Destino: Motor pedidos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Somente pedido aceito conta para franquia e cobrança. Rejeitado não conta.</w:t>
      </w:r>
    </w:p>
    <w:p>
      <w:pPr>
        <w:ind w:left="173"/>
      </w:pPr>
      <w:r>
        <w:rPr>
          <w:b/>
        </w:rPr>
        <w:t xml:space="preserve">Conferência ou alteração futura: </w:t>
      </w:r>
      <w:r>
        <w:t>Mapear transições de status e ponto exato da confirmação; chave única por pedido; não contar repetição de webhook ou edição.</w:t>
      </w:r>
    </w:p>
    <w:p>
      <w:pPr>
        <w:ind w:left="173"/>
      </w:pPr>
      <w:r>
        <w:rPr>
          <w:b/>
        </w:rPr>
        <w:t xml:space="preserve">Critério de aceite: </w:t>
      </w:r>
      <w:r>
        <w:t>Cada pedido aceito é contado uma única vez.</w:t>
      </w:r>
    </w:p>
    <w:p>
      <w:pPr>
        <w:pStyle w:val="Heading2"/>
      </w:pPr>
      <w:r>
        <w:t>PED-02 · Cancelamento após aceite</w:t>
      </w:r>
    </w:p>
    <w:p>
      <w:r>
        <w:rPr>
          <w:color w:val="5E6D7A"/>
          <w:sz w:val="16"/>
        </w:rPr>
        <w:t>Destino: Motor pedidos / auditoria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Pedido aceito e depois cancelado continua contando, exceto quando reconhecido erro do sistema.</w:t>
      </w:r>
    </w:p>
    <w:p>
      <w:pPr>
        <w:ind w:left="173"/>
      </w:pPr>
      <w:r>
        <w:rPr>
          <w:b/>
        </w:rPr>
        <w:t xml:space="preserve">Conferência ou alteração futura: </w:t>
      </w:r>
      <w:r>
        <w:t>Prever justificativa auditável de exceção validada, sem estorno automático arbitrário.</w:t>
      </w:r>
    </w:p>
    <w:p>
      <w:pPr>
        <w:ind w:left="173"/>
      </w:pPr>
      <w:r>
        <w:rPr>
          <w:b/>
        </w:rPr>
        <w:t xml:space="preserve">Critério de aceite: </w:t>
      </w:r>
      <w:r>
        <w:t>Cancelamentos comuns continuam contabilizados; erros comprovados podem ser tratados com rastreabilidade.</w:t>
      </w:r>
    </w:p>
    <w:p>
      <w:pPr>
        <w:pStyle w:val="Heading2"/>
      </w:pPr>
      <w:r>
        <w:t>PED-03 · Calendário brasileiro e fecho</w:t>
      </w:r>
    </w:p>
    <w:p>
      <w:r>
        <w:rPr>
          <w:color w:val="5E6D7A"/>
          <w:sz w:val="16"/>
        </w:rPr>
        <w:t>Destino: Motor mensuração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Apuração por mês calendário no fuso brasileiro de referência da operação.</w:t>
      </w:r>
    </w:p>
    <w:p>
      <w:pPr>
        <w:ind w:left="173"/>
      </w:pPr>
      <w:r>
        <w:rPr>
          <w:b/>
        </w:rPr>
        <w:t xml:space="preserve">Conferência ou alteração futura: </w:t>
      </w:r>
      <w:r>
        <w:t>Conferir corte no fim do mês, virada de horário e pedido aceito no último dia.</w:t>
      </w:r>
    </w:p>
    <w:p>
      <w:pPr>
        <w:ind w:left="173"/>
      </w:pPr>
      <w:r>
        <w:rPr>
          <w:b/>
        </w:rPr>
        <w:t xml:space="preserve">Critério de aceite: </w:t>
      </w:r>
      <w:r>
        <w:t>Relatório de um mês não mistura pedidos do mês seguinte.</w:t>
      </w:r>
    </w:p>
    <w:p>
      <w:pPr>
        <w:pStyle w:val="Heading2"/>
      </w:pPr>
      <w:r>
        <w:t>PED-04 · Cálculo de excedentes</w:t>
      </w:r>
    </w:p>
    <w:p>
      <w:r>
        <w:rPr>
          <w:color w:val="5E6D7A"/>
          <w:sz w:val="16"/>
        </w:rPr>
        <w:t>Destino: Faturamento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Excedente = máximo(0, aceitos únicos - franquia aplicável). Total adicional = excedentes × tarifa do plano.</w:t>
      </w:r>
    </w:p>
    <w:p>
      <w:pPr>
        <w:ind w:left="173"/>
      </w:pPr>
      <w:r>
        <w:rPr>
          <w:b/>
        </w:rPr>
        <w:t xml:space="preserve">Conferência ou alteração futura: </w:t>
      </w:r>
      <w:r>
        <w:t>Implementar ou revisar cálculo com precisão decimal; identificar clientes com isenção/exceção contratual empresarial.</w:t>
      </w:r>
    </w:p>
    <w:p>
      <w:pPr>
        <w:ind w:left="173"/>
      </w:pPr>
      <w:r>
        <w:rPr>
          <w:b/>
        </w:rPr>
        <w:t xml:space="preserve">Critério de aceite: </w:t>
      </w:r>
      <w:r>
        <w:t>Business: 750 aceitos → 410 excedentes × R$ 0,20 = R$ 82; total mensal R$ 272. Premium: 750 aceitos → R$ 270 sem excedentes.</w:t>
      </w:r>
    </w:p>
    <w:p>
      <w:pPr>
        <w:pStyle w:val="Heading2"/>
      </w:pPr>
      <w:r>
        <w:t>PED-05 · Faturamento no mês seguinte</w:t>
      </w:r>
    </w:p>
    <w:p>
      <w:r>
        <w:rPr>
          <w:color w:val="5E6D7A"/>
          <w:sz w:val="16"/>
        </w:rPr>
        <w:t>Destino: Cobranças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Excedentes do período são cobrados no mês seguinte, separados da mensalidade.</w:t>
      </w:r>
    </w:p>
    <w:p>
      <w:pPr>
        <w:ind w:left="173"/>
      </w:pPr>
      <w:r>
        <w:rPr>
          <w:b/>
        </w:rPr>
        <w:t xml:space="preserve">Conferência ou alteração futura: </w:t>
      </w:r>
      <w:r>
        <w:t>Mapear fatura, competência, vencimento e reconciliação para não cobrar o mesmo pedido novamente.</w:t>
      </w:r>
    </w:p>
    <w:p>
      <w:pPr>
        <w:ind w:left="173"/>
      </w:pPr>
      <w:r>
        <w:rPr>
          <w:b/>
        </w:rPr>
        <w:t xml:space="preserve">Critério de aceite: </w:t>
      </w:r>
      <w:r>
        <w:t>Competência e detalhamento visíveis; reconciliação idempotente.</w:t>
      </w:r>
    </w:p>
    <w:p>
      <w:pPr>
        <w:pStyle w:val="Heading2"/>
      </w:pPr>
      <w:r>
        <w:t>PED-06 · Pró-rata do primeiro mês</w:t>
      </w:r>
    </w:p>
    <w:p>
      <w:r>
        <w:rPr>
          <w:color w:val="5E6D7A"/>
          <w:sz w:val="16"/>
        </w:rPr>
        <w:t>Destino: Ativação / financeiro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Mensalidade e franquia do primeiro mês são proporcionais aos dias ativos, arredondando a franquia para cima.</w:t>
      </w:r>
    </w:p>
    <w:p>
      <w:pPr>
        <w:ind w:left="173"/>
      </w:pPr>
      <w:r>
        <w:rPr>
          <w:b/>
        </w:rPr>
        <w:t xml:space="preserve">Conferência ou alteração futura: </w:t>
      </w:r>
      <w:r>
        <w:t>Verificar datas de ativação, contagem de dias do mês, arredondamentos e tarifa excedente.</w:t>
      </w:r>
    </w:p>
    <w:p>
      <w:pPr>
        <w:ind w:left="173"/>
      </w:pPr>
      <w:r>
        <w:rPr>
          <w:b/>
        </w:rPr>
        <w:t xml:space="preserve">Critério de aceite: </w:t>
      </w:r>
      <w:r>
        <w:t>Ativação no meio do mês gera mensalidade/limite proporcionais; nenhuma cobrança anterior à ativação.</w:t>
      </w:r>
    </w:p>
    <w:p>
      <w:pPr>
        <w:pStyle w:val="Heading2"/>
      </w:pPr>
      <w:r>
        <w:t>PED-07 · Alertas de consumo</w:t>
      </w:r>
    </w:p>
    <w:p>
      <w:r>
        <w:rPr>
          <w:color w:val="5E6D7A"/>
          <w:sz w:val="16"/>
        </w:rPr>
        <w:t>Destino: Painel Master e lojista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Avisos no atingimento de 80% e 100%; limite não interrompe recepção de pedidos.</w:t>
      </w:r>
    </w:p>
    <w:p>
      <w:pPr>
        <w:ind w:left="173"/>
      </w:pPr>
      <w:r>
        <w:rPr>
          <w:b/>
        </w:rPr>
        <w:t xml:space="preserve">Conferência ou alteração futura: </w:t>
      </w:r>
      <w:r>
        <w:t>Checar cálculo de limiar proporcional quando houver pró-rata, frequência e duplicação de notificações.</w:t>
      </w:r>
    </w:p>
    <w:p>
      <w:pPr>
        <w:ind w:left="173"/>
      </w:pPr>
      <w:r>
        <w:rPr>
          <w:b/>
        </w:rPr>
        <w:t xml:space="preserve">Critério de aceite: </w:t>
      </w:r>
      <w:r>
        <w:t>Alertas informativos, sem bloqueio nem cobrança imediata.</w:t>
      </w:r>
    </w:p>
    <w:p>
      <w:pPr>
        <w:pStyle w:val="Heading2"/>
      </w:pPr>
      <w:r>
        <w:t>PED-08 · Upgrade/downgrade</w:t>
      </w:r>
    </w:p>
    <w:p>
      <w:r>
        <w:rPr>
          <w:color w:val="5E6D7A"/>
          <w:sz w:val="16"/>
        </w:rPr>
        <w:t>Destino: Financeiro / permissões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Alterações de plano passam a valer no mês seguinte, inclusive franquia e preço.</w:t>
      </w:r>
    </w:p>
    <w:p>
      <w:pPr>
        <w:ind w:left="173"/>
      </w:pPr>
      <w:r>
        <w:rPr>
          <w:b/>
        </w:rPr>
        <w:t xml:space="preserve">Conferência ou alteração futura: </w:t>
      </w:r>
      <w:r>
        <w:t>Modelar períodos de vigência; conferir casos de solicitação no fim do mês.</w:t>
      </w:r>
    </w:p>
    <w:p>
      <w:pPr>
        <w:ind w:left="173"/>
      </w:pPr>
      <w:r>
        <w:rPr>
          <w:b/>
        </w:rPr>
        <w:t xml:space="preserve">Critério de aceite: </w:t>
      </w:r>
      <w:r>
        <w:t>Faturamento do período fechado preserva plano anterior.</w:t>
      </w:r>
    </w:p>
    <w:p>
      <w:pPr>
        <w:pStyle w:val="Heading2"/>
      </w:pPr>
      <w:r>
        <w:t>PED-09 · Início da assinatura</w:t>
      </w:r>
    </w:p>
    <w:p>
      <w:r>
        <w:rPr>
          <w:color w:val="5E6D7A"/>
          <w:sz w:val="16"/>
        </w:rPr>
        <w:t>Destino: Contratação/ativação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Cobrança mensal começa na entrega e ativação; taxa de criação segue parcelas 50/50.</w:t>
      </w:r>
    </w:p>
    <w:p>
      <w:pPr>
        <w:ind w:left="173"/>
      </w:pPr>
      <w:r>
        <w:rPr>
          <w:b/>
        </w:rPr>
        <w:t xml:space="preserve">Conferência ou alteração futura: </w:t>
      </w:r>
      <w:r>
        <w:t>Conferir dependência de aceite do cliente, liberação/publicação e marco auditável.</w:t>
      </w:r>
    </w:p>
    <w:p>
      <w:pPr>
        <w:ind w:left="173"/>
      </w:pPr>
      <w:r>
        <w:rPr>
          <w:b/>
        </w:rPr>
        <w:t xml:space="preserve">Critério de aceite: </w:t>
      </w:r>
      <w:r>
        <w:t>Não há mensalidade anterior ao marco contratado.</w:t>
      </w:r>
    </w:p>
    <w:p>
      <w:pPr>
        <w:pStyle w:val="Heading2"/>
      </w:pPr>
      <w:r>
        <w:t>PED-10 · Auditoria e contestação</w:t>
      </w:r>
    </w:p>
    <w:p>
      <w:r>
        <w:rPr>
          <w:color w:val="5E6D7A"/>
          <w:sz w:val="16"/>
        </w:rPr>
        <w:t>Destino: Master / suporte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Permitir conferir por ID de pedido, data, loja, status e exceções.</w:t>
      </w:r>
    </w:p>
    <w:p>
      <w:pPr>
        <w:ind w:left="173"/>
      </w:pPr>
      <w:r>
        <w:rPr>
          <w:b/>
        </w:rPr>
        <w:t xml:space="preserve">Conferência ou alteração futura: </w:t>
      </w:r>
      <w:r>
        <w:t>Preparar relatório exportável, agregação reconciliável e processo de retificação por erro comprovado.</w:t>
      </w:r>
    </w:p>
    <w:p>
      <w:pPr>
        <w:ind w:left="173"/>
      </w:pPr>
      <w:r>
        <w:rPr>
          <w:b/>
        </w:rPr>
        <w:t xml:space="preserve">Critério de aceite: </w:t>
      </w:r>
      <w:r>
        <w:t>Total do fechamento reproduzível e justificável.</w:t>
      </w:r>
    </w:p>
    <w:p>
      <w:pPr>
        <w:pStyle w:val="Heading2"/>
      </w:pPr>
      <w:r>
        <w:t>PED-11 · Falhas e duplicação</w:t>
      </w:r>
    </w:p>
    <w:p>
      <w:r>
        <w:rPr>
          <w:color w:val="5E6D7A"/>
          <w:sz w:val="16"/>
        </w:rPr>
        <w:t>Destino: Motor / integrações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Eventos e requisições podem ser repetidos; cobrança deve ser idempotente.</w:t>
      </w:r>
    </w:p>
    <w:p>
      <w:pPr>
        <w:ind w:left="173"/>
      </w:pPr>
      <w:r>
        <w:rPr>
          <w:b/>
        </w:rPr>
        <w:t xml:space="preserve">Conferência ou alteração futura: </w:t>
      </w:r>
      <w:r>
        <w:t>Testar envio repetido, aceites duplicados, indisponibilidade parcial e reprocessamento seguro.</w:t>
      </w:r>
    </w:p>
    <w:p>
      <w:pPr>
        <w:ind w:left="173"/>
      </w:pPr>
      <w:r>
        <w:rPr>
          <w:b/>
        </w:rPr>
        <w:t xml:space="preserve">Critério de aceite: </w:t>
      </w:r>
      <w:r>
        <w:t>Nenhum duplicado produz duas cobranças.</w:t>
      </w:r>
    </w:p>
    <w:p>
      <w:pPr>
        <w:pStyle w:val="Heading2"/>
      </w:pPr>
      <w:r>
        <w:t>PED-12 · Pagamentos mensais NovaesWeb</w:t>
      </w:r>
    </w:p>
    <w:p>
      <w:r>
        <w:rPr>
          <w:color w:val="5E6D7A"/>
          <w:sz w:val="16"/>
        </w:rPr>
        <w:t>Destino: Cobranças comerciais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Pix e cartão por plataforma a escolher; mensalidade vence dia 10; lembretes -3, dia 0 e +3; sem multas e juros.</w:t>
      </w:r>
    </w:p>
    <w:p>
      <w:pPr>
        <w:ind w:left="173"/>
      </w:pPr>
      <w:r>
        <w:rPr>
          <w:b/>
        </w:rPr>
        <w:t xml:space="preserve">Conferência ou alteração futura: </w:t>
      </w:r>
      <w:r>
        <w:t>Não conectar fornecedor ou criar cobranças reais sem aprovação; mapear estados e mensagens.</w:t>
      </w:r>
    </w:p>
    <w:p>
      <w:pPr>
        <w:ind w:left="173"/>
      </w:pPr>
      <w:r>
        <w:rPr>
          <w:b/>
        </w:rPr>
        <w:t xml:space="preserve">Critério de aceite: </w:t>
      </w:r>
      <w:r>
        <w:t>Cobrança reflete valor correto sem encargos não aprovados.</w:t>
      </w:r>
    </w:p>
    <w:p>
      <w:pPr>
        <w:ind w:left="173"/>
      </w:pPr>
      <w:r>
        <w:rPr>
          <w:b/>
        </w:rPr>
        <w:t xml:space="preserve">Pendência / ressalva: </w:t>
      </w:r>
      <w:r>
        <w:t>Taxas, provedor e prazos de repasse ainda não definidos.</w:t>
      </w:r>
    </w:p>
    <w:p>
      <w:pPr>
        <w:pStyle w:val="Heading1"/>
      </w:pPr>
      <w:r>
        <w:t>Casos obrigatórios de teste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4917"/>
            <w:shd w:fill="DDEAF4"/>
          </w:tcPr>
          <w:p>
            <w:r>
              <w:t>Caso</w:t>
            </w:r>
          </w:p>
        </w:tc>
        <w:tc>
          <w:tcPr>
            <w:tcW w:type="dxa" w:w="4917"/>
            <w:shd w:fill="DDEAF4"/>
          </w:tcPr>
          <w:p>
            <w:r>
              <w:t>Resultado esperado</w:t>
            </w:r>
          </w:p>
        </w:tc>
      </w:tr>
      <w:tr>
        <w:tc>
          <w:tcPr>
            <w:tcW w:type="dxa" w:w="4917"/>
            <w:vAlign w:val="center"/>
          </w:tcPr>
          <w:p>
            <w:r>
              <w:t>Business com 340 aceitos</w:t>
            </w:r>
          </w:p>
        </w:tc>
        <w:tc>
          <w:tcPr>
            <w:tcW w:type="dxa" w:w="4917"/>
            <w:vAlign w:val="center"/>
          </w:tcPr>
          <w:p>
            <w:r>
              <w:t>R$ 190 de mensalidade; R$ 0 de extras</w:t>
            </w:r>
          </w:p>
        </w:tc>
      </w:tr>
      <w:tr>
        <w:tc>
          <w:tcPr>
            <w:tcW w:type="dxa" w:w="4917"/>
            <w:vAlign w:val="center"/>
          </w:tcPr>
          <w:p>
            <w:r>
              <w:t>Business com 341 aceitos</w:t>
            </w:r>
          </w:p>
        </w:tc>
        <w:tc>
          <w:tcPr>
            <w:tcW w:type="dxa" w:w="4917"/>
            <w:vAlign w:val="center"/>
          </w:tcPr>
          <w:p>
            <w:r>
              <w:t>R$ 190 + R$ 0,20</w:t>
            </w:r>
          </w:p>
        </w:tc>
      </w:tr>
      <w:tr>
        <w:tc>
          <w:tcPr>
            <w:tcW w:type="dxa" w:w="4917"/>
            <w:vAlign w:val="center"/>
          </w:tcPr>
          <w:p>
            <w:r>
              <w:t>Business com 750 aceitos</w:t>
            </w:r>
          </w:p>
        </w:tc>
        <w:tc>
          <w:tcPr>
            <w:tcW w:type="dxa" w:w="4917"/>
            <w:vAlign w:val="center"/>
          </w:tcPr>
          <w:p>
            <w:r>
              <w:t>R$ 190 + R$ 82 = R$ 272</w:t>
            </w:r>
          </w:p>
        </w:tc>
      </w:tr>
      <w:tr>
        <w:tc>
          <w:tcPr>
            <w:tcW w:type="dxa" w:w="4917"/>
            <w:vAlign w:val="center"/>
          </w:tcPr>
          <w:p>
            <w:r>
              <w:t>Premium com 750 aceitos</w:t>
            </w:r>
          </w:p>
        </w:tc>
        <w:tc>
          <w:tcPr>
            <w:tcW w:type="dxa" w:w="4917"/>
            <w:vAlign w:val="center"/>
          </w:tcPr>
          <w:p>
            <w:r>
              <w:t>R$ 270; R$ 0 de extras</w:t>
            </w:r>
          </w:p>
        </w:tc>
      </w:tr>
      <w:tr>
        <w:tc>
          <w:tcPr>
            <w:tcW w:type="dxa" w:w="4917"/>
            <w:vAlign w:val="center"/>
          </w:tcPr>
          <w:p>
            <w:r>
              <w:t>Premium com 751 aceitos</w:t>
            </w:r>
          </w:p>
        </w:tc>
        <w:tc>
          <w:tcPr>
            <w:tcW w:type="dxa" w:w="4917"/>
            <w:vAlign w:val="center"/>
          </w:tcPr>
          <w:p>
            <w:r>
              <w:t>R$ 270 + R$ 0,15</w:t>
            </w:r>
          </w:p>
        </w:tc>
      </w:tr>
      <w:tr>
        <w:tc>
          <w:tcPr>
            <w:tcW w:type="dxa" w:w="4917"/>
            <w:vAlign w:val="center"/>
          </w:tcPr>
          <w:p>
            <w:r>
              <w:t>Pedido rejeitado</w:t>
            </w:r>
          </w:p>
        </w:tc>
        <w:tc>
          <w:tcPr>
            <w:tcW w:type="dxa" w:w="4917"/>
            <w:vAlign w:val="center"/>
          </w:tcPr>
          <w:p>
            <w:r>
              <w:t>Zero pedido aceito faturável</w:t>
            </w:r>
          </w:p>
        </w:tc>
      </w:tr>
      <w:tr>
        <w:tc>
          <w:tcPr>
            <w:tcW w:type="dxa" w:w="4917"/>
            <w:vAlign w:val="center"/>
          </w:tcPr>
          <w:p>
            <w:r>
              <w:t>Aceito, depois cancelado</w:t>
            </w:r>
          </w:p>
        </w:tc>
        <w:tc>
          <w:tcPr>
            <w:tcW w:type="dxa" w:w="4917"/>
            <w:vAlign w:val="center"/>
          </w:tcPr>
          <w:p>
            <w:r>
              <w:t>Conta, salvo erro sistêmico verificado</w:t>
            </w:r>
          </w:p>
        </w:tc>
      </w:tr>
      <w:tr>
        <w:tc>
          <w:tcPr>
            <w:tcW w:type="dxa" w:w="4917"/>
            <w:vAlign w:val="center"/>
          </w:tcPr>
          <w:p>
            <w:r>
              <w:t>Aceite duplicado</w:t>
            </w:r>
          </w:p>
        </w:tc>
        <w:tc>
          <w:tcPr>
            <w:tcW w:type="dxa" w:w="4917"/>
            <w:vAlign w:val="center"/>
          </w:tcPr>
          <w:p>
            <w:r>
              <w:t>Conta uma única vez</w:t>
            </w:r>
          </w:p>
        </w:tc>
      </w:tr>
      <w:tr>
        <w:tc>
          <w:tcPr>
            <w:tcW w:type="dxa" w:w="4917"/>
            <w:vAlign w:val="center"/>
          </w:tcPr>
          <w:p>
            <w:r>
              <w:t>Mudança de plano solicitada no mês M</w:t>
            </w:r>
          </w:p>
        </w:tc>
        <w:tc>
          <w:tcPr>
            <w:tcW w:type="dxa" w:w="4917"/>
            <w:vAlign w:val="center"/>
          </w:tcPr>
          <w:p>
            <w:r>
              <w:t>Vigora no mês M+1</w:t>
            </w:r>
          </w:p>
        </w:tc>
      </w:tr>
      <w:tr>
        <w:tc>
          <w:tcPr>
            <w:tcW w:type="dxa" w:w="4917"/>
            <w:vAlign w:val="center"/>
          </w:tcPr>
          <w:p>
            <w:r>
              <w:t>Primeiro mês parcial</w:t>
            </w:r>
          </w:p>
        </w:tc>
        <w:tc>
          <w:tcPr>
            <w:tcW w:type="dxa" w:w="4917"/>
            <w:vAlign w:val="center"/>
          </w:tcPr>
          <w:p>
            <w:r>
              <w:t>Mensalidade e franquia proporcionais, franquia arredondada para cima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6D7A"/>
      </w:rPr>
      <w:t>Caderno 04  •  Planejamento, não execução  •  22/10/2026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E6D7A"/>
      </w:rPr>
      <w:t>NOVAESWEB  /  CADERNOS PARA REVISÃO E CODEX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527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75F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5F97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1527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