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Infraestrutura, segurança e lançamento</w:t>
      </w:r>
    </w:p>
    <w:p>
      <w:r>
        <w:rPr>
          <w:i/>
          <w:color w:val="5E6D7A"/>
        </w:rPr>
        <w:t>Checklist de condições necessárias; verificação do Supabase permanece adiada.</w:t>
      </w:r>
    </w:p>
    <w:p>
      <w:r>
        <w:rPr>
          <w:b/>
          <w:color w:val="175F97"/>
        </w:rPr>
        <w:t xml:space="preserve">REGRA DE SEGURANÇA: </w:t>
      </w:r>
      <w:r>
        <w:t>Este documento descreve decisões comerciais e tarefas propostas. Não autoriza Codex, Vercel, Supabase ou qualquer operador a alterar, implantar, contratar ou migrar sistemas sem nova autorização explícita.</w:t>
      </w:r>
    </w:p>
    <w:p>
      <w:pPr>
        <w:pStyle w:val="Heading1"/>
      </w:pPr>
      <w:r>
        <w:t>Arquitetura declarada pelo usuário</w:t>
      </w:r>
    </w:p>
    <w:tbl>
      <w:tblPr>
        <w:tblStyle w:val="LightShading-Accent1"/>
        <w:tblW w:type="auto" w:w="0"/>
        <w:jc w:val="center"/>
        <w:tblLook w:firstColumn="1" w:firstRow="1" w:lastColumn="0" w:lastRow="0" w:noHBand="0" w:noVBand="1" w:val="04A0"/>
      </w:tblPr>
      <w:tblGrid>
        <w:gridCol w:w="3278"/>
        <w:gridCol w:w="3278"/>
        <w:gridCol w:w="3278"/>
      </w:tblGrid>
      <w:tr>
        <w:trPr>
          <w:tblHeader w:val="true"/>
        </w:trPr>
        <w:tc>
          <w:tcPr>
            <w:tcW w:type="dxa" w:w="3278"/>
            <w:shd w:fill="DDEAF4"/>
          </w:tcPr>
          <w:p>
            <w:r>
              <w:t>Área</w:t>
            </w:r>
          </w:p>
        </w:tc>
        <w:tc>
          <w:tcPr>
            <w:tcW w:type="dxa" w:w="3278"/>
            <w:shd w:fill="DDEAF4"/>
          </w:tcPr>
          <w:p>
            <w:r>
              <w:t>Conhecimento atual</w:t>
            </w:r>
          </w:p>
        </w:tc>
        <w:tc>
          <w:tcPr>
            <w:tcW w:type="dxa" w:w="3278"/>
            <w:shd w:fill="DDEAF4"/>
          </w:tcPr>
          <w:p>
            <w:r>
              <w:t>Limite da conclusão</w:t>
            </w:r>
          </w:p>
        </w:tc>
      </w:tr>
      <w:tr>
        <w:tc>
          <w:tcPr>
            <w:tcW w:type="dxa" w:w="3278"/>
            <w:vAlign w:val="center"/>
          </w:tcPr>
          <w:p>
            <w:r>
              <w:t>Vercel</w:t>
            </w:r>
          </w:p>
        </w:tc>
        <w:tc>
          <w:tcPr>
            <w:tcW w:type="dxa" w:w="3278"/>
            <w:vAlign w:val="center"/>
          </w:tcPr>
          <w:p>
            <w:r>
              <w:t>Um projeto por estabelecimento; serviços gratuitos usados atualmente, segundo usuário.</w:t>
            </w:r>
          </w:p>
        </w:tc>
        <w:tc>
          <w:tcPr>
            <w:tcW w:type="dxa" w:w="3278"/>
            <w:vAlign w:val="center"/>
          </w:tcPr>
          <w:p>
            <w:r>
              <w:t>Não prova elegibilidade para uso comercial nem custo futuro.</w:t>
            </w:r>
          </w:p>
        </w:tc>
      </w:tr>
      <w:tr>
        <w:tc>
          <w:tcPr>
            <w:tcW w:type="dxa" w:w="3278"/>
            <w:vAlign w:val="center"/>
          </w:tcPr>
          <w:p>
            <w:r>
              <w:t>Supabase</w:t>
            </w:r>
          </w:p>
        </w:tc>
        <w:tc>
          <w:tcPr>
            <w:tcW w:type="dxa" w:w="3278"/>
            <w:vAlign w:val="center"/>
          </w:tcPr>
          <w:p>
            <w:r>
              <w:t>Compartilhado entre estabelecimentos; imagens no Supabase Storage, já reduzidas.</w:t>
            </w:r>
          </w:p>
        </w:tc>
        <w:tc>
          <w:tcPr>
            <w:tcW w:type="dxa" w:w="3278"/>
            <w:vAlign w:val="center"/>
          </w:tcPr>
          <w:p>
            <w:r>
              <w:t>Não prova isolamento RLS, consumo nem capacidade.</w:t>
            </w:r>
          </w:p>
        </w:tc>
      </w:tr>
      <w:tr>
        <w:tc>
          <w:tcPr>
            <w:tcW w:type="dxa" w:w="3278"/>
            <w:vAlign w:val="center"/>
          </w:tcPr>
          <w:p>
            <w:r>
              <w:t>Domínios</w:t>
            </w:r>
          </w:p>
        </w:tc>
        <w:tc>
          <w:tcPr>
            <w:tcW w:type="dxa" w:w="3278"/>
            <w:vAlign w:val="center"/>
          </w:tcPr>
          <w:p>
            <w:r>
              <w:t>Subdomínio base será registrado/pago; domínio personalizado opcional com custo repassado.</w:t>
            </w:r>
          </w:p>
        </w:tc>
        <w:tc>
          <w:tcPr>
            <w:tcW w:type="dxa" w:w="3278"/>
            <w:vAlign w:val="center"/>
          </w:tcPr>
          <w:p>
            <w:r>
              <w:t>Não há domínio registrado por este documento.</w:t>
            </w:r>
          </w:p>
        </w:tc>
      </w:tr>
      <w:tr>
        <w:tc>
          <w:tcPr>
            <w:tcW w:type="dxa" w:w="3278"/>
            <w:vAlign w:val="center"/>
          </w:tcPr>
          <w:p>
            <w:r>
              <w:t>Pagamentos</w:t>
            </w:r>
          </w:p>
        </w:tc>
        <w:tc>
          <w:tcPr>
            <w:tcW w:type="dxa" w:w="3278"/>
            <w:vAlign w:val="center"/>
          </w:tcPr>
          <w:p>
            <w:r>
              <w:t>Pix/cartão via plataforma, a escolher.</w:t>
            </w:r>
          </w:p>
        </w:tc>
        <w:tc>
          <w:tcPr>
            <w:tcW w:type="dxa" w:w="3278"/>
            <w:vAlign w:val="center"/>
          </w:tcPr>
          <w:p>
            <w:r>
              <w:t>Nenhuma tarifa, contrato ou credencial efetiva confirmada.</w:t>
            </w:r>
          </w:p>
        </w:tc>
      </w:tr>
    </w:tbl>
    <w:p/>
    <w:p>
      <w:pPr>
        <w:pStyle w:val="Heading1"/>
      </w:pPr>
      <w:r>
        <w:t>Checklist de lançamento com bloqueadores</w:t>
      </w:r>
    </w:p>
    <w:tbl>
      <w:tblPr>
        <w:tblStyle w:val="LightShading-Accent1"/>
        <w:tblW w:type="auto" w:w="0"/>
        <w:jc w:val="center"/>
        <w:tblLook w:firstColumn="1" w:firstRow="1" w:lastColumn="0" w:lastRow="0" w:noHBand="0" w:noVBand="1" w:val="04A0"/>
      </w:tblPr>
      <w:tblGrid>
        <w:gridCol w:w="2459"/>
        <w:gridCol w:w="2459"/>
        <w:gridCol w:w="2459"/>
        <w:gridCol w:w="2459"/>
      </w:tblGrid>
      <w:tr>
        <w:trPr>
          <w:tblHeader w:val="true"/>
        </w:trPr>
        <w:tc>
          <w:tcPr>
            <w:tcW w:type="dxa" w:w="2459"/>
            <w:shd w:fill="DDEAF4"/>
          </w:tcPr>
          <w:p>
            <w:r>
              <w:t>ID</w:t>
            </w:r>
          </w:p>
        </w:tc>
        <w:tc>
          <w:tcPr>
            <w:tcW w:type="dxa" w:w="2459"/>
            <w:shd w:fill="DDEAF4"/>
          </w:tcPr>
          <w:p>
            <w:r>
              <w:t>Tema</w:t>
            </w:r>
          </w:p>
        </w:tc>
        <w:tc>
          <w:tcPr>
            <w:tcW w:type="dxa" w:w="2459"/>
            <w:shd w:fill="DDEAF4"/>
          </w:tcPr>
          <w:p>
            <w:r>
              <w:t>Conferência / trabalho futuro</w:t>
            </w:r>
          </w:p>
        </w:tc>
        <w:tc>
          <w:tcPr>
            <w:tcW w:type="dxa" w:w="2459"/>
            <w:shd w:fill="DDEAF4"/>
          </w:tcPr>
          <w:p>
            <w:r>
              <w:t>Situação</w:t>
            </w:r>
          </w:p>
        </w:tc>
      </w:tr>
      <w:tr>
        <w:tc>
          <w:tcPr>
            <w:tcW w:type="dxa" w:w="2459"/>
            <w:vAlign w:val="center"/>
          </w:tcPr>
          <w:p>
            <w:r>
              <w:t>OPS-01</w:t>
            </w:r>
          </w:p>
        </w:tc>
        <w:tc>
          <w:tcPr>
            <w:tcW w:type="dxa" w:w="2459"/>
            <w:vAlign w:val="center"/>
          </w:tcPr>
          <w:p>
            <w:r>
              <w:t>Uso comercial permitido</w:t>
            </w:r>
          </w:p>
        </w:tc>
        <w:tc>
          <w:tcPr>
            <w:tcW w:type="dxa" w:w="2459"/>
            <w:vAlign w:val="center"/>
          </w:tcPr>
          <w:p>
            <w:r>
              <w:t>Confirmar plano/termos de Vercel e demais fornecedores para operação de clientes pagantes.</w:t>
            </w:r>
          </w:p>
        </w:tc>
        <w:tc>
          <w:tcPr>
            <w:tcW w:type="dxa" w:w="2459"/>
            <w:vAlign w:val="center"/>
          </w:tcPr>
          <w:p>
            <w:r>
              <w:t>Bloqueador antes de venda</w:t>
            </w:r>
          </w:p>
        </w:tc>
      </w:tr>
      <w:tr>
        <w:tc>
          <w:tcPr>
            <w:tcW w:type="dxa" w:w="2459"/>
            <w:vAlign w:val="center"/>
          </w:tcPr>
          <w:p>
            <w:r>
              <w:t>OPS-02</w:t>
            </w:r>
          </w:p>
        </w:tc>
        <w:tc>
          <w:tcPr>
            <w:tcW w:type="dxa" w:w="2459"/>
            <w:vAlign w:val="center"/>
          </w:tcPr>
          <w:p>
            <w:r>
              <w:t>Capacidade inicial</w:t>
            </w:r>
          </w:p>
        </w:tc>
        <w:tc>
          <w:tcPr>
            <w:tcW w:type="dxa" w:w="2459"/>
            <w:vAlign w:val="center"/>
          </w:tcPr>
          <w:p>
            <w:r>
              <w:t>Medir pedidos, leituras/escritas, funções, largura de banda, imagens, storage e limites.</w:t>
            </w:r>
          </w:p>
        </w:tc>
        <w:tc>
          <w:tcPr>
            <w:tcW w:type="dxa" w:w="2459"/>
            <w:vAlign w:val="center"/>
          </w:tcPr>
          <w:p>
            <w:r>
              <w:t>Bloqueador antes de escala</w:t>
            </w:r>
          </w:p>
        </w:tc>
      </w:tr>
      <w:tr>
        <w:tc>
          <w:tcPr>
            <w:tcW w:type="dxa" w:w="2459"/>
            <w:vAlign w:val="center"/>
          </w:tcPr>
          <w:p>
            <w:r>
              <w:t>OPS-03</w:t>
            </w:r>
          </w:p>
        </w:tc>
        <w:tc>
          <w:tcPr>
            <w:tcW w:type="dxa" w:w="2459"/>
            <w:vAlign w:val="center"/>
          </w:tcPr>
          <w:p>
            <w:r>
              <w:t>Isolamento de clientes</w:t>
            </w:r>
          </w:p>
        </w:tc>
        <w:tc>
          <w:tcPr>
            <w:tcW w:type="dxa" w:w="2459"/>
            <w:vAlign w:val="center"/>
          </w:tcPr>
          <w:p>
            <w:r>
              <w:t>Testar RLS, autorização de API, perfis, operações de loja e Storage.</w:t>
            </w:r>
          </w:p>
        </w:tc>
        <w:tc>
          <w:tcPr>
            <w:tcW w:type="dxa" w:w="2459"/>
            <w:vAlign w:val="center"/>
          </w:tcPr>
          <w:p>
            <w:r>
              <w:t>Bloqueador antes de operar dados reais</w:t>
            </w:r>
          </w:p>
        </w:tc>
      </w:tr>
      <w:tr>
        <w:tc>
          <w:tcPr>
            <w:tcW w:type="dxa" w:w="2459"/>
            <w:vAlign w:val="center"/>
          </w:tcPr>
          <w:p>
            <w:r>
              <w:t>OPS-04</w:t>
            </w:r>
          </w:p>
        </w:tc>
        <w:tc>
          <w:tcPr>
            <w:tcW w:type="dxa" w:w="2459"/>
            <w:vAlign w:val="center"/>
          </w:tcPr>
          <w:p>
            <w:r>
              <w:t>Gestão de segredos</w:t>
            </w:r>
          </w:p>
        </w:tc>
        <w:tc>
          <w:tcPr>
            <w:tcW w:type="dxa" w:w="2459"/>
            <w:vAlign w:val="center"/>
          </w:tcPr>
          <w:p>
            <w:r>
              <w:t>Nenhuma chave administrativa no browser; segredos em provedores corretos e controles de acesso.</w:t>
            </w:r>
          </w:p>
        </w:tc>
        <w:tc>
          <w:tcPr>
            <w:tcW w:type="dxa" w:w="2459"/>
            <w:vAlign w:val="center"/>
          </w:tcPr>
          <w:p>
            <w:r>
              <w:t>Bloqueador de segurança</w:t>
            </w:r>
          </w:p>
        </w:tc>
      </w:tr>
      <w:tr>
        <w:tc>
          <w:tcPr>
            <w:tcW w:type="dxa" w:w="2459"/>
            <w:vAlign w:val="center"/>
          </w:tcPr>
          <w:p>
            <w:r>
              <w:t>OPS-05</w:t>
            </w:r>
          </w:p>
        </w:tc>
        <w:tc>
          <w:tcPr>
            <w:tcW w:type="dxa" w:w="2459"/>
            <w:vAlign w:val="center"/>
          </w:tcPr>
          <w:p>
            <w:r>
              <w:t>Backups essenciais</w:t>
            </w:r>
          </w:p>
        </w:tc>
        <w:tc>
          <w:tcPr>
            <w:tcW w:type="dxa" w:w="2459"/>
            <w:vAlign w:val="center"/>
          </w:tcPr>
          <w:p>
            <w:r>
              <w:t>Política de backup/recuperação básica deve existir mesmo sem Backup Plus.</w:t>
            </w:r>
          </w:p>
        </w:tc>
        <w:tc>
          <w:tcPr>
            <w:tcW w:type="dxa" w:w="2459"/>
            <w:vAlign w:val="center"/>
          </w:tcPr>
          <w:p>
            <w:r>
              <w:t>Bloqueador de continuidade</w:t>
            </w:r>
          </w:p>
        </w:tc>
      </w:tr>
      <w:tr>
        <w:tc>
          <w:tcPr>
            <w:tcW w:type="dxa" w:w="2459"/>
            <w:vAlign w:val="center"/>
          </w:tcPr>
          <w:p>
            <w:r>
              <w:t>OPS-06</w:t>
            </w:r>
          </w:p>
        </w:tc>
        <w:tc>
          <w:tcPr>
            <w:tcW w:type="dxa" w:w="2459"/>
            <w:vAlign w:val="center"/>
          </w:tcPr>
          <w:p>
            <w:r>
              <w:t>Domínio e DNS</w:t>
            </w:r>
          </w:p>
        </w:tc>
        <w:tc>
          <w:tcPr>
            <w:tcW w:type="dxa" w:w="2459"/>
            <w:vAlign w:val="center"/>
          </w:tcPr>
          <w:p>
            <w:r>
              <w:t>Registrar domínio-base, planejar subdomínios, renovação e titularidade.</w:t>
            </w:r>
          </w:p>
        </w:tc>
        <w:tc>
          <w:tcPr>
            <w:tcW w:type="dxa" w:w="2459"/>
            <w:vAlign w:val="center"/>
          </w:tcPr>
          <w:p>
            <w:r>
              <w:t>Bloqueador antes de divulgar URL</w:t>
            </w:r>
          </w:p>
        </w:tc>
      </w:tr>
      <w:tr>
        <w:tc>
          <w:tcPr>
            <w:tcW w:type="dxa" w:w="2459"/>
            <w:vAlign w:val="center"/>
          </w:tcPr>
          <w:p>
            <w:r>
              <w:t>OPS-07</w:t>
            </w:r>
          </w:p>
        </w:tc>
        <w:tc>
          <w:tcPr>
            <w:tcW w:type="dxa" w:w="2459"/>
            <w:vAlign w:val="center"/>
          </w:tcPr>
          <w:p>
            <w:r>
              <w:t>Logs e monitoramento</w:t>
            </w:r>
          </w:p>
        </w:tc>
        <w:tc>
          <w:tcPr>
            <w:tcW w:type="dxa" w:w="2459"/>
            <w:vAlign w:val="center"/>
          </w:tcPr>
          <w:p>
            <w:r>
              <w:t>Monitorar erros críticos, integridade de pedidos, disponibilidade e suporte.</w:t>
            </w:r>
          </w:p>
        </w:tc>
        <w:tc>
          <w:tcPr>
            <w:tcW w:type="dxa" w:w="2459"/>
            <w:vAlign w:val="center"/>
          </w:tcPr>
          <w:p>
            <w:r>
              <w:t>Necessário para suporte</w:t>
            </w:r>
          </w:p>
        </w:tc>
      </w:tr>
      <w:tr>
        <w:tc>
          <w:tcPr>
            <w:tcW w:type="dxa" w:w="2459"/>
            <w:vAlign w:val="center"/>
          </w:tcPr>
          <w:p>
            <w:r>
              <w:t>OPS-08</w:t>
            </w:r>
          </w:p>
        </w:tc>
        <w:tc>
          <w:tcPr>
            <w:tcW w:type="dxa" w:w="2459"/>
            <w:vAlign w:val="center"/>
          </w:tcPr>
          <w:p>
            <w:r>
              <w:t>Processamento e cobrança</w:t>
            </w:r>
          </w:p>
        </w:tc>
        <w:tc>
          <w:tcPr>
            <w:tcW w:type="dxa" w:w="2459"/>
            <w:vAlign w:val="center"/>
          </w:tcPr>
          <w:p>
            <w:r>
              <w:t>Selecionar plataforma, checar tarifa, repasse, conciliação, falha e contestação.</w:t>
            </w:r>
          </w:p>
        </w:tc>
        <w:tc>
          <w:tcPr>
            <w:tcW w:type="dxa" w:w="2459"/>
            <w:vAlign w:val="center"/>
          </w:tcPr>
          <w:p>
            <w:r>
              <w:t>Bloqueador antes de cobrar</w:t>
            </w:r>
          </w:p>
        </w:tc>
      </w:tr>
      <w:tr>
        <w:tc>
          <w:tcPr>
            <w:tcW w:type="dxa" w:w="2459"/>
            <w:vAlign w:val="center"/>
          </w:tcPr>
          <w:p>
            <w:r>
              <w:t>OPS-09</w:t>
            </w:r>
          </w:p>
        </w:tc>
        <w:tc>
          <w:tcPr>
            <w:tcW w:type="dxa" w:w="2459"/>
            <w:vAlign w:val="center"/>
          </w:tcPr>
          <w:p>
            <w:r>
              <w:t>LGPD e documentos</w:t>
            </w:r>
          </w:p>
        </w:tc>
        <w:tc>
          <w:tcPr>
            <w:tcW w:type="dxa" w:w="2459"/>
            <w:vAlign w:val="center"/>
          </w:tcPr>
          <w:p>
            <w:r>
              <w:t>Política de privacidade, papéis, acesso, exportação e retenção revisados.</w:t>
            </w:r>
          </w:p>
        </w:tc>
        <w:tc>
          <w:tcPr>
            <w:tcW w:type="dxa" w:w="2459"/>
            <w:vAlign w:val="center"/>
          </w:tcPr>
          <w:p>
            <w:r>
              <w:t>Bloqueador jurídico</w:t>
            </w:r>
          </w:p>
        </w:tc>
      </w:tr>
      <w:tr>
        <w:tc>
          <w:tcPr>
            <w:tcW w:type="dxa" w:w="2459"/>
            <w:vAlign w:val="center"/>
          </w:tcPr>
          <w:p>
            <w:r>
              <w:t>OPS-10</w:t>
            </w:r>
          </w:p>
        </w:tc>
        <w:tc>
          <w:tcPr>
            <w:tcW w:type="dxa" w:w="2459"/>
            <w:vAlign w:val="center"/>
          </w:tcPr>
          <w:p>
            <w:r>
              <w:t>Teste fim a fim</w:t>
            </w:r>
          </w:p>
        </w:tc>
        <w:tc>
          <w:tcPr>
            <w:tcW w:type="dxa" w:w="2459"/>
            <w:vAlign w:val="center"/>
          </w:tcPr>
          <w:p>
            <w:r>
              <w:t>Simular pedido, aceite, rejeição, exceção, alerta, excesso, upgrade, suporte e cancelamento.</w:t>
            </w:r>
          </w:p>
        </w:tc>
        <w:tc>
          <w:tcPr>
            <w:tcW w:type="dxa" w:w="2459"/>
            <w:vAlign w:val="center"/>
          </w:tcPr>
          <w:p>
            <w:r>
              <w:t>Bloqueador funcional</w:t>
            </w:r>
          </w:p>
        </w:tc>
      </w:tr>
      <w:tr>
        <w:tc>
          <w:tcPr>
            <w:tcW w:type="dxa" w:w="2459"/>
            <w:vAlign w:val="center"/>
          </w:tcPr>
          <w:p>
            <w:r>
              <w:t>OPS-11</w:t>
            </w:r>
          </w:p>
        </w:tc>
        <w:tc>
          <w:tcPr>
            <w:tcW w:type="dxa" w:w="2459"/>
            <w:vAlign w:val="center"/>
          </w:tcPr>
          <w:p>
            <w:r>
              <w:t>Suporte e operação</w:t>
            </w:r>
          </w:p>
        </w:tc>
        <w:tc>
          <w:tcPr>
            <w:tcW w:type="dxa" w:w="2459"/>
            <w:vAlign w:val="center"/>
          </w:tcPr>
          <w:p>
            <w:r>
              <w:t>Definir fluxo de ticket, escalonamento, horários, responsável por incidente.</w:t>
            </w:r>
          </w:p>
        </w:tc>
        <w:tc>
          <w:tcPr>
            <w:tcW w:type="dxa" w:w="2459"/>
            <w:vAlign w:val="center"/>
          </w:tcPr>
          <w:p>
            <w:r>
              <w:t>Necessário para operação</w:t>
            </w:r>
          </w:p>
        </w:tc>
      </w:tr>
      <w:tr>
        <w:tc>
          <w:tcPr>
            <w:tcW w:type="dxa" w:w="2459"/>
            <w:vAlign w:val="center"/>
          </w:tcPr>
          <w:p>
            <w:r>
              <w:t>OPS-12</w:t>
            </w:r>
          </w:p>
        </w:tc>
        <w:tc>
          <w:tcPr>
            <w:tcW w:type="dxa" w:w="2459"/>
            <w:vAlign w:val="center"/>
          </w:tcPr>
          <w:p>
            <w:r>
              <w:t>Custos reais</w:t>
            </w:r>
          </w:p>
        </w:tc>
        <w:tc>
          <w:tcPr>
            <w:tcW w:type="dxa" w:w="2459"/>
            <w:vAlign w:val="center"/>
          </w:tcPr>
          <w:p>
            <w:r>
              <w:t>Levantar valores de infra, formalização, tributos, cobrança e tempo humano.</w:t>
            </w:r>
          </w:p>
        </w:tc>
        <w:tc>
          <w:tcPr>
            <w:tcW w:type="dxa" w:w="2459"/>
            <w:vAlign w:val="center"/>
          </w:tcPr>
          <w:p>
            <w:r>
              <w:t>Necessário para validar margem</w:t>
            </w:r>
          </w:p>
        </w:tc>
      </w:tr>
      <w:tr>
        <w:tc>
          <w:tcPr>
            <w:tcW w:type="dxa" w:w="2459"/>
            <w:vAlign w:val="center"/>
          </w:tcPr>
          <w:p>
            <w:r>
              <w:t>OPS-13</w:t>
            </w:r>
          </w:p>
        </w:tc>
        <w:tc>
          <w:tcPr>
            <w:tcW w:type="dxa" w:w="2459"/>
            <w:vAlign w:val="center"/>
          </w:tcPr>
          <w:p>
            <w:r>
              <w:t>Mudança Supabase pós-30/10/2026</w:t>
            </w:r>
          </w:p>
        </w:tc>
        <w:tc>
          <w:tcPr>
            <w:tcW w:type="dxa" w:w="2459"/>
            <w:vAlign w:val="center"/>
          </w:tcPr>
          <w:p>
            <w:r>
              <w:t>Antes de novas tabelas/migrações, revisar grants de Data API e RLS conforme configuração real.</w:t>
            </w:r>
          </w:p>
        </w:tc>
        <w:tc>
          <w:tcPr>
            <w:tcW w:type="dxa" w:w="2459"/>
            <w:vAlign w:val="center"/>
          </w:tcPr>
          <w:p>
            <w:r>
              <w:t>Verificação adiada</w:t>
            </w:r>
          </w:p>
        </w:tc>
      </w:tr>
    </w:tbl>
    <w:p/>
    <w:p>
      <w:pPr>
        <w:pStyle w:val="Heading1"/>
      </w:pPr>
      <w:r>
        <w:t>Pontos financeiros documentados</w:t>
      </w:r>
    </w:p>
    <w:p>
      <w:pPr>
        <w:pStyle w:val="ListBullet"/>
      </w:pPr>
      <w:r>
        <w:t>Preços de criação: Start R$ 630; Business R$ 578; Premium R$ 980. Mensalidades: Business R$ 190; Premium R$ 270; suporte opcional Start R$ 80.</w:t>
      </w:r>
    </w:p>
    <w:p>
      <w:pPr>
        <w:pStyle w:val="ListBullet"/>
      </w:pPr>
      <w:r>
        <w:t>Tempo de criação estimado: Start 1–3h técnicas; Business 4–8h incluindo atendimento/configuração/testes/revisões/publicação; Premium 13–20h técnicas. Tempo adicional de Start/Premium não medido.</w:t>
      </w:r>
    </w:p>
    <w:p>
      <w:pPr>
        <w:pStyle w:val="ListBullet"/>
      </w:pPr>
      <w:r>
        <w:t>Suporte mensal por cliente desconhecido; custo econômico da própria hora ainda não definido.</w:t>
      </w:r>
    </w:p>
    <w:p>
      <w:pPr>
        <w:pStyle w:val="ListBullet"/>
      </w:pPr>
      <w:r>
        <w:t>Cenário comercial com 10 clientes e maioria Business não é previsão nem comprovação de lucro; 7 Business + 3 Premium gera R$ 2.140/mês de receita bruta, se os 10 estiverem ativos o mês inteiro.</w:t>
      </w:r>
    </w:p>
    <w:p>
      <w:pPr>
        <w:pStyle w:val="ListBullet"/>
      </w:pPr>
      <w:r>
        <w:t>Demonstrações anteriores de custos fixos eram referências ou hipóteses, não faturas verificadas. Não atribuir gasto zero a uma operação comercial futura.</w:t>
      </w:r>
    </w:p>
    <w:p>
      <w:pPr>
        <w:pStyle w:val="Heading1"/>
      </w:pPr>
      <w:r>
        <w:t>Auditoria técnica: congelamento solicitado</w:t>
      </w:r>
    </w:p>
    <w:p>
      <w:r>
        <w:t>O usuário solicitou deixar a auditoria Supabase para depois. Não rodar consultas, GRANT, migrações, mudanças de RLS, criação de tabelas ou ajustes de Storage com base nestes cadernos. Uma leitura anterior do banco listou tabelas, mas não valida fluxos e segurança atuais. No Vercel ocorreu erro de autorização 403 em consulta recente; nova leitura depende de autorização apropriada.</w:t>
      </w:r>
    </w:p>
    <w:p>
      <w:pPr>
        <w:pStyle w:val="Heading1"/>
      </w:pPr>
      <w:r>
        <w:t>Gate de lançamento</w:t>
      </w:r>
    </w:p>
    <w:p>
      <w:r>
        <w:t>Situação: NÃO HOMOLOGADO PARA LANÇAMENTO. O encerramento das seis etapas comerciais não substitui a aprovação técnica, jurídica, financeira e operacional. Checklist concluído e autorização explícita são necessários antes de vender como produto pronto.</w:t>
      </w:r>
    </w:p>
    <w:sectPr w:rsidR="00FC693F" w:rsidRPr="0006063C" w:rsidSect="00034616">
      <w:headerReference w:type="default" r:id="rId9"/>
      <w:footerReference w:type="default" r:id="rId10"/>
      <w:pgSz w:w="12240" w:h="15840"/>
      <w:pgMar w:top="1037" w:right="1181"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D7A"/>
      </w:rPr>
      <w:t>Caderno 07  •  Planejamento, não execução  •  22/10/2026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E6D7A"/>
      </w:rPr>
      <w:t>NOVAESWEB  /  CADERNOS PARA REVISÃO E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15273D"/>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75F97"/>
      <w:sz w:val="2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175F9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527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