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Pacotes para enviar ao Codex</w:t>
      </w:r>
    </w:p>
    <w:p>
      <w:r>
        <w:rPr>
          <w:i/>
          <w:color w:val="5E6D7A"/>
        </w:rPr>
        <w:t>Prompts de análise por destino, padrão de resposta e sequência segura de execução futura.</w:t>
      </w:r>
    </w:p>
    <w:p>
      <w:r>
        <w:rPr>
          <w:b/>
          <w:color w:val="175F97"/>
        </w:rPr>
        <w:t xml:space="preserve">REGRA DE SEGURANÇA: </w:t>
      </w:r>
      <w:r>
        <w:t>Este documento descreve decisões comerciais e tarefas propostas. Não autoriza Codex, Vercel, Supabase ou qualquer operador a alterar, implantar, contratar ou migrar sistemas sem nova autorização explícita.</w:t>
      </w:r>
    </w:p>
    <w:p>
      <w:pPr>
        <w:pStyle w:val="Heading1"/>
      </w:pPr>
      <w:r>
        <w:t>Instrução global — colocar no início de TODA conversa com Codex</w:t>
      </w:r>
    </w:p>
    <w:p>
      <w:r>
        <w:t>Você está recebendo uma ESPECIFICAÇÃO DE PLANEJAMENTO comercial da NovaesWeb. NÃO implemente nada nesta rodada. NÃO altere arquivos, branches, banco de dados, Supabase, Vercel, domínio, pagamentos, preços, contratos ou infraestrutura. Faça apenas leitura e análise do repositório explicitamente disponibilizado. Identifique telas, componentes, rotas, regras, gaps, riscos e testes necessários. Para cada ID do Word, classifique: IMPLEMENTADO E VERIFICÁVEL / PARCIAL / NÃO ENCONTRADO / EXIGE DECISÃO / IMPOSSÍVEL VERIFICAR. Entregue um plano de modificações por arquivo, dependências, riscos e critérios de aceite. Espere AUTORIZAÇÃO EXPLÍCITA, POR ESCRITO, antes de editar, migrar ou publicar. Não invente tabela, endpoint, custo ou recurso existente.</w:t>
      </w:r>
    </w:p>
    <w:p>
      <w:pPr>
        <w:pStyle w:val="Heading1"/>
      </w:pPr>
      <w:r>
        <w:t>Resposta que o Codex deve produzir</w:t>
      </w:r>
    </w:p>
    <w:tbl>
      <w:tblPr>
        <w:tblStyle w:val="LightShading-Accent1"/>
        <w:tblW w:type="auto" w:w="0"/>
        <w:jc w:val="center"/>
        <w:tblLook w:firstColumn="1" w:firstRow="1" w:lastColumn="0" w:lastRow="0" w:noHBand="0" w:noVBand="1" w:val="04A0"/>
      </w:tblPr>
      <w:tblGrid>
        <w:gridCol w:w="4917"/>
        <w:gridCol w:w="4917"/>
      </w:tblGrid>
      <w:tr>
        <w:trPr>
          <w:tblHeader w:val="true"/>
        </w:trPr>
        <w:tc>
          <w:tcPr>
            <w:tcW w:type="dxa" w:w="4917"/>
            <w:shd w:fill="DDEAF4"/>
          </w:tcPr>
          <w:p>
            <w:r>
              <w:t>Campo</w:t>
            </w:r>
          </w:p>
        </w:tc>
        <w:tc>
          <w:tcPr>
            <w:tcW w:type="dxa" w:w="4917"/>
            <w:shd w:fill="DDEAF4"/>
          </w:tcPr>
          <w:p>
            <w:r>
              <w:t>Exigência</w:t>
            </w:r>
          </w:p>
        </w:tc>
      </w:tr>
      <w:tr>
        <w:tc>
          <w:tcPr>
            <w:tcW w:type="dxa" w:w="4917"/>
            <w:vAlign w:val="center"/>
          </w:tcPr>
          <w:p>
            <w:r>
              <w:t>ID</w:t>
            </w:r>
          </w:p>
        </w:tc>
        <w:tc>
          <w:tcPr>
            <w:tcW w:type="dxa" w:w="4917"/>
            <w:vAlign w:val="center"/>
          </w:tcPr>
          <w:p>
            <w:r>
              <w:t>Usar o identificador do caderno, por exemplo SITE-02.</w:t>
            </w:r>
          </w:p>
        </w:tc>
      </w:tr>
      <w:tr>
        <w:tc>
          <w:tcPr>
            <w:tcW w:type="dxa" w:w="4917"/>
            <w:vAlign w:val="center"/>
          </w:tcPr>
          <w:p>
            <w:r>
              <w:t>Local atual</w:t>
            </w:r>
          </w:p>
        </w:tc>
        <w:tc>
          <w:tcPr>
            <w:tcW w:type="dxa" w:w="4917"/>
            <w:vAlign w:val="center"/>
          </w:tcPr>
          <w:p>
            <w:r>
              <w:t>Arquivo/rota/tela real encontrada; citar caminhos concretos.</w:t>
            </w:r>
          </w:p>
        </w:tc>
      </w:tr>
      <w:tr>
        <w:tc>
          <w:tcPr>
            <w:tcW w:type="dxa" w:w="4917"/>
            <w:vAlign w:val="center"/>
          </w:tcPr>
          <w:p>
            <w:r>
              <w:t>Status</w:t>
            </w:r>
          </w:p>
        </w:tc>
        <w:tc>
          <w:tcPr>
            <w:tcW w:type="dxa" w:w="4917"/>
            <w:vAlign w:val="center"/>
          </w:tcPr>
          <w:p>
            <w:r>
              <w:t>Implementado/parcial/ausente/não verificável/pendência de produto.</w:t>
            </w:r>
          </w:p>
        </w:tc>
      </w:tr>
      <w:tr>
        <w:tc>
          <w:tcPr>
            <w:tcW w:type="dxa" w:w="4917"/>
            <w:vAlign w:val="center"/>
          </w:tcPr>
          <w:p>
            <w:r>
              <w:t>Diferença</w:t>
            </w:r>
          </w:p>
        </w:tc>
        <w:tc>
          <w:tcPr>
            <w:tcW w:type="dxa" w:w="4917"/>
            <w:vAlign w:val="center"/>
          </w:tcPr>
          <w:p>
            <w:r>
              <w:t>Comportamento atual versus regra aprovada.</w:t>
            </w:r>
          </w:p>
        </w:tc>
      </w:tr>
      <w:tr>
        <w:tc>
          <w:tcPr>
            <w:tcW w:type="dxa" w:w="4917"/>
            <w:vAlign w:val="center"/>
          </w:tcPr>
          <w:p>
            <w:r>
              <w:t>Proposta</w:t>
            </w:r>
          </w:p>
        </w:tc>
        <w:tc>
          <w:tcPr>
            <w:tcW w:type="dxa" w:w="4917"/>
            <w:vAlign w:val="center"/>
          </w:tcPr>
          <w:p>
            <w:r>
              <w:t>Passos pequenos e testáveis, sem executar na primeira rodada.</w:t>
            </w:r>
          </w:p>
        </w:tc>
      </w:tr>
      <w:tr>
        <w:tc>
          <w:tcPr>
            <w:tcW w:type="dxa" w:w="4917"/>
            <w:vAlign w:val="center"/>
          </w:tcPr>
          <w:p>
            <w:r>
              <w:t>Impacto</w:t>
            </w:r>
          </w:p>
        </w:tc>
        <w:tc>
          <w:tcPr>
            <w:tcW w:type="dxa" w:w="4917"/>
            <w:vAlign w:val="center"/>
          </w:tcPr>
          <w:p>
            <w:r>
              <w:t>Segurança, billing, permissões, performance, UX e integração.</w:t>
            </w:r>
          </w:p>
        </w:tc>
      </w:tr>
      <w:tr>
        <w:tc>
          <w:tcPr>
            <w:tcW w:type="dxa" w:w="4917"/>
            <w:vAlign w:val="center"/>
          </w:tcPr>
          <w:p>
            <w:r>
              <w:t>Critério de aceite</w:t>
            </w:r>
          </w:p>
        </w:tc>
        <w:tc>
          <w:tcPr>
            <w:tcW w:type="dxa" w:w="4917"/>
            <w:vAlign w:val="center"/>
          </w:tcPr>
          <w:p>
            <w:r>
              <w:t>Teste reproduzível e resultado esperado.</w:t>
            </w:r>
          </w:p>
        </w:tc>
      </w:tr>
      <w:tr>
        <w:tc>
          <w:tcPr>
            <w:tcW w:type="dxa" w:w="4917"/>
            <w:vAlign w:val="center"/>
          </w:tcPr>
          <w:p>
            <w:r>
              <w:t>Bloqueio</w:t>
            </w:r>
          </w:p>
        </w:tc>
        <w:tc>
          <w:tcPr>
            <w:tcW w:type="dxa" w:w="4917"/>
            <w:vAlign w:val="center"/>
          </w:tcPr>
          <w:p>
            <w:r>
              <w:t>Decisão que requer autorização do responsável.</w:t>
            </w:r>
          </w:p>
        </w:tc>
      </w:tr>
    </w:tbl>
    <w:p/>
    <w:p>
      <w:pPr>
        <w:pStyle w:val="Heading2"/>
      </w:pPr>
      <w:r>
        <w:t>Pacote A — Site institucional</w:t>
      </w:r>
    </w:p>
    <w:p>
      <w:r>
        <w:t>Anexo: 01_Site_Institucional.docx. Foco: Páginas públicas, planos, preços, FAQ, adicionais e captação de leads.</w:t>
      </w:r>
    </w:p>
    <w:p>
      <w:r>
        <w:t>Comando sugerido: “Analise o Word anexo e compare com o repositório aberto. Responda em tabela por ID, incluindo nomes de arquivos reais, risco e etapas sugeridas. Apenas análise, sem alterar nada.”</w:t>
      </w:r>
    </w:p>
    <w:p>
      <w:pPr>
        <w:pStyle w:val="Heading2"/>
      </w:pPr>
      <w:r>
        <w:t>Pacote B — Painel Master</w:t>
      </w:r>
    </w:p>
    <w:p>
      <w:r>
        <w:t>Anexo: 02_Painel_Master.docx. Foco: Carteira, catálogo, clientes, permissões, solicitações, cobrança, auditoria e suporte.</w:t>
      </w:r>
    </w:p>
    <w:p>
      <w:r>
        <w:t>Comando sugerido: “Analise o Word anexo e compare com o repositório aberto. Responda em tabela por ID, incluindo nomes de arquivos reais, risco e etapas sugeridas. Apenas análise, sem alterar nada.”</w:t>
      </w:r>
    </w:p>
    <w:p>
      <w:pPr>
        <w:pStyle w:val="Heading2"/>
      </w:pPr>
      <w:r>
        <w:t>Pacote C — Loja e painel lojista</w:t>
      </w:r>
    </w:p>
    <w:p>
      <w:r>
        <w:t>Anexo: 03_Sites_e_Painel_Lojista.docx. Foco: Cardápio, checkout, pedidos, equipe, Premium, isolamento e experiência mobile.</w:t>
      </w:r>
    </w:p>
    <w:p>
      <w:r>
        <w:t>Comando sugerido: “Analise o Word anexo e compare com o repositório aberto. Responda em tabela por ID, incluindo nomes de arquivos reais, risco e etapas sugeridas. Apenas análise, sem alterar nada.”</w:t>
      </w:r>
    </w:p>
    <w:p>
      <w:pPr>
        <w:pStyle w:val="Heading2"/>
      </w:pPr>
      <w:r>
        <w:t>Pacote D — Regras de pedidos</w:t>
      </w:r>
    </w:p>
    <w:p>
      <w:r>
        <w:t>Anexo: 04_Pedidos_e_Cobranca.docx. Foco: Pedido aceito único, franquias, excedentes, pró-rata, vigências, alertas e conciliação.</w:t>
      </w:r>
    </w:p>
    <w:p>
      <w:r>
        <w:t>Comando sugerido: “Analise o Word anexo e compare com o repositório aberto. Responda em tabela por ID, incluindo nomes de arquivos reais, risco e etapas sugeridas. Apenas análise, sem alterar nada.”</w:t>
      </w:r>
    </w:p>
    <w:p>
      <w:pPr>
        <w:pStyle w:val="Heading2"/>
      </w:pPr>
      <w:r>
        <w:t>Pacote E — Módulos adicionais</w:t>
      </w:r>
    </w:p>
    <w:p>
      <w:r>
        <w:t>Anexo: 05_Modulos_Adicionais.docx. Foco: 19 módulos descritos; não implementar/ativar sem escopo e priorização aprovados.</w:t>
      </w:r>
    </w:p>
    <w:p>
      <w:r>
        <w:t>Comando sugerido: “Analise o Word anexo e compare com o repositório aberto. Responda em tabela por ID, incluindo nomes de arquivos reais, risco e etapas sugeridas. Apenas análise, sem alterar nada.”</w:t>
      </w:r>
    </w:p>
    <w:p>
      <w:pPr>
        <w:pStyle w:val="Heading2"/>
      </w:pPr>
      <w:r>
        <w:t>Pacote F — Comercial e atendimento</w:t>
      </w:r>
    </w:p>
    <w:p>
      <w:r>
        <w:t>Anexo: 06_Vendas_Contratos_Suporte.docx. Foco: Processos e textos; revisão jurídica/contábil onde aplicável.</w:t>
      </w:r>
    </w:p>
    <w:p>
      <w:r>
        <w:t>Comando sugerido: “Analise o Word anexo e compare com o repositório aberto. Responda em tabela por ID, incluindo nomes de arquivos reais, risco e etapas sugeridas. Apenas análise, sem alterar nada.”</w:t>
      </w:r>
    </w:p>
    <w:p>
      <w:pPr>
        <w:pStyle w:val="Heading2"/>
      </w:pPr>
      <w:r>
        <w:t>Pacote G — Operação e lançamento</w:t>
      </w:r>
    </w:p>
    <w:p>
      <w:r>
        <w:t>Anexo: 07_Infraestrutura_Seguranca_Lancamento.docx. Foco: Somente checklist e análise; banco Supabase expressamente adiado.</w:t>
      </w:r>
    </w:p>
    <w:p>
      <w:r>
        <w:t>Comando sugerido: “Analise o Word anexo e compare com o repositório aberto. Responda em tabela por ID, incluindo nomes de arquivos reais, risco e etapas sugeridas. Apenas análise, sem alterar nada.”</w:t>
      </w:r>
    </w:p>
    <w:p>
      <w:pPr>
        <w:pStyle w:val="Heading1"/>
      </w:pPr>
      <w:r>
        <w:t>Quando houver autorização posterior para implementar</w:t>
      </w:r>
    </w:p>
    <w:p>
      <w:pPr>
        <w:pStyle w:val="ListBullet"/>
      </w:pPr>
      <w:r>
        <w:t>A autorização deve nomear IDs exatos (ex.: SITE-02, SITE-03) e o repositório correto; autorização de um pacote não autoriza outros.</w:t>
      </w:r>
    </w:p>
    <w:p>
      <w:pPr>
        <w:pStyle w:val="ListBullet"/>
      </w:pPr>
      <w:r>
        <w:t>Antes de mudar: criar referência reversível conforme o processo do projeto e apresentar arquivos afetados.</w:t>
      </w:r>
    </w:p>
    <w:p>
      <w:pPr>
        <w:pStyle w:val="ListBullet"/>
      </w:pPr>
      <w:r>
        <w:t>Implementar incrementalmente, com testes automatizados e verificação manual; apresentar diff para aceite.</w:t>
      </w:r>
    </w:p>
    <w:p>
      <w:pPr>
        <w:pStyle w:val="ListBullet"/>
      </w:pPr>
      <w:r>
        <w:t>Migrações, permissões, integração financeira e deploy requerem autorização adicional e específica, mesmo quando necessários ao pacote.</w:t>
      </w:r>
    </w:p>
    <w:p>
      <w:pPr>
        <w:pStyle w:val="ListBullet"/>
      </w:pPr>
      <w:r>
        <w:t>Não alterar preços aprovados para “corrigir” regra técnica; escalar inconsistência como decisão comercial pendente.</w:t>
      </w:r>
    </w:p>
    <w:p>
      <w:pPr>
        <w:pStyle w:val="ListBullet"/>
      </w:pPr>
      <w:r>
        <w:t>Apenas publicar após aprovação do usuário e checklist de lançamento relevante.</w:t>
      </w:r>
    </w:p>
    <w:p>
      <w:pPr>
        <w:pStyle w:val="Heading1"/>
      </w:pPr>
      <w:r>
        <w:t>Ordem de dependências, não calendário</w:t>
      </w:r>
    </w:p>
    <w:p>
      <w:r>
        <w:t>1. Mapeamento dos repositórios → 2. aprovação do catálogo/preços → 3. verificação das permissões/isolamento → 4. regras de pedidos e cobrança → 5. UI da loja e Master → 6. addons homologados → 7. contratos e pagamentos → 8. checklist técnico/operacional → 9. publicação autorizada.</w:t>
      </w:r>
    </w:p>
    <w:p>
      <w:pPr>
        <w:pStyle w:val="Heading1"/>
      </w:pPr>
      <w:r>
        <w:t>Prompt curto para começar pelo site público</w:t>
      </w:r>
    </w:p>
    <w:p>
      <w:r>
        <w:t>“Codex, receba o arquivo 01_Site_Institucional.docx da NovaesWeb. Analise apenas o repositório do site institucional. Compare cada item SITE-01 a SITE-12 com o código existente. Gere relatório de lacunas, arquivos que precisariam mudar, ordem e testes. Não faça commits, edições, instalações, deploys ou mudanças em banco; espere minha autorização por ID.”</w:t>
      </w:r>
    </w:p>
    <w:p>
      <w:pPr>
        <w:pStyle w:val="Heading1"/>
      </w:pPr>
      <w:r>
        <w:t>Pacote adicional de avaliação — funcionalidades sem duplicação</w:t>
      </w:r>
    </w:p>
    <w:p>
      <w:r>
        <w:t>Enviar 05_Modulos_Adicionais.docx, em sua versão atualizada, junto de 01/02/03 conforme o repositório. A análise deve distinguir os 17 candidatos NOV e as 3 ampliações EXT dos 19 módulos ADD já planejados. Não inserir os preços antigos no catálogo.</w:t>
      </w:r>
    </w:p>
    <w:p>
      <w:r>
        <w:t>Prompt proposto para uso futuro, somente quando o usuário decidir enviar ao Codex:</w:t>
      </w:r>
    </w:p>
    <w:p>
      <w:r>
        <w:t>“Examine apenas o repositório disponibilizado. Compare cada NOV-01...NOV-17 e EXT-01...EXT-03 do caderno 05 com os planos aprovados e os ADD-01...ADD-19. Registre por ID o que existe, o que é parcial, o que falta, conflitos, nomes de arquivos reais, dependências, testes e riscos. Não edite código, configuração, banco, GitHub, Firebase, Supabase, Vercel, documentos ou deploys. Não ative módulos nem atribua preços. Aguarde autorização explícita para qualquer implementação.”</w:t>
      </w:r>
    </w:p>
    <w:sectPr w:rsidR="00FC693F" w:rsidRPr="0006063C" w:rsidSect="00034616">
      <w:headerReference w:type="default" r:id="rId9"/>
      <w:footerReference w:type="default" r:id="rId10"/>
      <w:pgSz w:w="12240" w:h="15840"/>
      <w:pgMar w:top="1037" w:right="1181"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D7A"/>
      </w:rPr>
      <w:t>Caderno 08  •  Planejamento, não execução  •  22/10/2026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E6D7A"/>
      </w:rPr>
      <w:t>NOVAESWEB  /  CADERNOS PARA REVISÃO E CODEX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15273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5F97"/>
      <w:sz w:val="22"/>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75F97"/>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5273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