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Caderno independente para futura análise pelo Codex</w:t>
      </w:r>
    </w:p>
    <w:p>
      <w:pPr>
        <w:pStyle w:val="Title"/>
      </w:pPr>
      <w:r>
        <w:t>Painel exclusivo de controle de pedidos</w:t>
      </w:r>
    </w:p>
    <w:p>
      <w:r>
        <w:t>Especificação de funcionamento, limites, apuração de excedentes e privacidade.</w:t>
      </w:r>
    </w:p>
    <w:p>
      <w:r>
        <w:t>STATUS: proposta funcional discutida e aprovada conceitualmente. Não é instrução para implementação imediata; o Codex deve inspecionar o código e apresentar um plano antes de quaisquer mudanças.</w:t>
      </w:r>
    </w:p>
    <w:p>
      <w:pPr>
        <w:pStyle w:val="Heading1"/>
      </w:pPr>
      <w:r>
        <w:t>1. Objetivo e fronteiras</w:t>
      </w:r>
    </w:p>
    <w:p>
      <w:r>
        <w:t>Criar uma área separada do Painel Master dedicada exclusivamente à apuração da quantidade de pedidos por estabelecimento. Sua finalidade é identificar quando uma loja ultrapassa a franquia mensal contratada e calcular somente o adicional devido à NovaesWeb.</w:t>
      </w:r>
    </w:p>
    <w:p>
      <w:r>
        <w:t>Separação desejada: Painel Master = gestão geral da empresa, clientes e planos; Painel de Controle de Pedidos = exclusivamente pedidos contabilizados e excedentes. Ainda não foi decidido se a separação será por aplicativo, rota ou módulo isolado; isso exige análise técnica posterior.</w:t>
      </w:r>
    </w:p>
    <w:p>
      <w:pPr>
        <w:pStyle w:val="Heading1"/>
      </w:pPr>
      <w:r>
        <w:t>2. O que pode e o que não pode aparecer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</w:tcPr>
          <w:p>
            <w:r>
              <w:rPr>
                <w:b/>
              </w:rPr>
              <w:t>PODE EXIBIR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NÃO DEVE EXIBIR</w:t>
            </w:r>
          </w:p>
        </w:tc>
      </w:tr>
      <w:tr>
        <w:tc>
          <w:tcPr>
            <w:tcW w:type="dxa" w:w="4896"/>
            <w:vAlign w:val="center"/>
          </w:tcPr>
          <w:p>
            <w:r>
              <w:t>Nome / identificador comercial da loja</w:t>
            </w:r>
          </w:p>
        </w:tc>
        <w:tc>
          <w:tcPr>
            <w:tcW w:type="dxa" w:w="4896"/>
            <w:vAlign w:val="center"/>
          </w:tcPr>
          <w:p>
            <w:r>
              <w:t>Faturamento e receita das lojas</w:t>
            </w:r>
          </w:p>
        </w:tc>
      </w:tr>
      <w:tr>
        <w:tc>
          <w:tcPr>
            <w:tcW w:type="dxa" w:w="4896"/>
            <w:vAlign w:val="center"/>
          </w:tcPr>
          <w:p>
            <w:r>
              <w:t>Plano e franquia mensal de pedidos aceitos</w:t>
            </w:r>
          </w:p>
        </w:tc>
        <w:tc>
          <w:tcPr>
            <w:tcW w:type="dxa" w:w="4896"/>
            <w:vAlign w:val="center"/>
          </w:tcPr>
          <w:p>
            <w:r>
              <w:t>Valor individual ou total das vendas</w:t>
            </w:r>
          </w:p>
        </w:tc>
      </w:tr>
      <w:tr>
        <w:tc>
          <w:tcPr>
            <w:tcW w:type="dxa" w:w="4896"/>
            <w:vAlign w:val="center"/>
          </w:tcPr>
          <w:p>
            <w:r>
              <w:t>Total de aceitos contabilizados, por dia e por mês</w:t>
            </w:r>
          </w:p>
        </w:tc>
        <w:tc>
          <w:tcPr>
            <w:tcW w:type="dxa" w:w="4896"/>
            <w:vAlign w:val="center"/>
          </w:tcPr>
          <w:p>
            <w:r>
              <w:t>Itens, produtos e conteúdo do carrinho</w:t>
            </w:r>
          </w:p>
        </w:tc>
      </w:tr>
      <w:tr>
        <w:tc>
          <w:tcPr>
            <w:tcW w:type="dxa" w:w="4896"/>
            <w:vAlign w:val="center"/>
          </w:tcPr>
          <w:p>
            <w:r>
              <w:t>Quantidade de excedentes</w:t>
            </w:r>
          </w:p>
        </w:tc>
        <w:tc>
          <w:tcPr>
            <w:tcW w:type="dxa" w:w="4896"/>
            <w:vAlign w:val="center"/>
          </w:tcPr>
          <w:p>
            <w:r>
              <w:t>Nome, telefone, endereço ou outros dados de consumidores</w:t>
            </w:r>
          </w:p>
        </w:tc>
      </w:tr>
      <w:tr>
        <w:tc>
          <w:tcPr>
            <w:tcW w:type="dxa" w:w="4896"/>
            <w:vAlign w:val="center"/>
          </w:tcPr>
          <w:p>
            <w:r>
              <w:t>Tarifa de excedente e total cobrado pela NovaesWeb</w:t>
            </w:r>
          </w:p>
        </w:tc>
        <w:tc>
          <w:tcPr>
            <w:tcW w:type="dxa" w:w="4896"/>
            <w:vAlign w:val="center"/>
          </w:tcPr>
          <w:p>
            <w:r>
              <w:t>Método de pagamento do consumidor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Registros técnicos mínimos para auditoria da contagem</w:t>
            </w:r>
          </w:p>
        </w:tc>
        <w:tc>
          <w:tcPr>
            <w:tcW w:type="dxa" w:w="4896"/>
            <w:vAlign w:val="center"/>
          </w:tcPr>
          <w:p>
            <w:r>
              <w:t>Informações financeiras internas do restaurante</w:t>
            </w:r>
          </w:p>
        </w:tc>
      </w:tr>
    </w:tbl>
    <w:p/>
    <w:p>
      <w:r>
        <w:t>Observação: o “valor do adicional” é a cobrança da NovaesWeb pelos pedidos excedentes — não é o valor do pedido ou o faturamento do cliente.</w:t>
      </w:r>
    </w:p>
    <w:p>
      <w:pPr>
        <w:pStyle w:val="Heading1"/>
      </w:pPr>
      <w:r>
        <w:t>3. Estrutura visual proposta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</w:tcPr>
          <w:p>
            <w:r>
              <w:rPr>
                <w:b/>
              </w:rPr>
              <w:t>Visão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Informação exibida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264"/>
            <w:vAlign w:val="center"/>
          </w:tcPr>
          <w:p>
            <w:r>
              <w:t>Lista de lojas</w:t>
            </w:r>
          </w:p>
        </w:tc>
        <w:tc>
          <w:tcPr>
            <w:tcW w:type="dxa" w:w="3264"/>
            <w:vAlign w:val="center"/>
          </w:tcPr>
          <w:p>
            <w:r>
              <w:t>Nome da loja, plano, franquia, aceitos do mês, excedentes, situação</w:t>
            </w:r>
          </w:p>
        </w:tc>
        <w:tc>
          <w:tcPr>
            <w:tcW w:type="dxa" w:w="3264"/>
            <w:vAlign w:val="center"/>
          </w:tcPr>
          <w:p>
            <w:r>
              <w:t>Visualização rápida de todas as lojas, separadas por linha</w:t>
            </w:r>
          </w:p>
        </w:tc>
      </w:tr>
      <w:tr>
        <w:tc>
          <w:tcPr>
            <w:tcW w:type="dxa" w:w="3264"/>
            <w:vAlign w:val="center"/>
          </w:tcPr>
          <w:p>
            <w:r>
              <w:t>Detalhe da loja</w:t>
            </w:r>
          </w:p>
        </w:tc>
        <w:tc>
          <w:tcPr>
            <w:tcW w:type="dxa" w:w="3264"/>
            <w:vAlign w:val="center"/>
          </w:tcPr>
          <w:p>
            <w:r>
              <w:t>Resumo por mês e por dia, sem valores de venda</w:t>
            </w:r>
          </w:p>
        </w:tc>
        <w:tc>
          <w:tcPr>
            <w:tcW w:type="dxa" w:w="3264"/>
            <w:vAlign w:val="center"/>
          </w:tcPr>
          <w:p>
            <w:r>
              <w:t>Conferir divergências de contagem</w:t>
            </w:r>
          </w:p>
        </w:tc>
      </w:tr>
      <w:tr>
        <w:tc>
          <w:tcPr>
            <w:tcW w:type="dxa" w:w="3264"/>
            <w:vAlign w:val="center"/>
          </w:tcPr>
          <w:p>
            <w:r>
              <w:t>Fechamento mensal</w:t>
            </w:r>
          </w:p>
        </w:tc>
        <w:tc>
          <w:tcPr>
            <w:tcW w:type="dxa" w:w="3264"/>
            <w:vAlign w:val="center"/>
          </w:tcPr>
          <w:p>
            <w:r>
              <w:t>Competência, total contabilizado, franquia aplicável, excedentes, tarifa e cobrança</w:t>
            </w:r>
          </w:p>
        </w:tc>
        <w:tc>
          <w:tcPr>
            <w:tcW w:type="dxa" w:w="3264"/>
            <w:vAlign w:val="center"/>
          </w:tcPr>
          <w:p>
            <w:r>
              <w:t>Justificar a cobrança da NovaesWeb</w:t>
            </w:r>
          </w:p>
        </w:tc>
      </w:tr>
      <w:tr>
        <w:tc>
          <w:tcPr>
            <w:tcW w:type="dxa" w:w="3264"/>
            <w:vAlign w:val="center"/>
          </w:tcPr>
          <w:p>
            <w:r>
              <w:t>Registro de ajustes</w:t>
            </w:r>
          </w:p>
        </w:tc>
        <w:tc>
          <w:tcPr>
            <w:tcW w:type="dxa" w:w="3264"/>
            <w:vAlign w:val="center"/>
          </w:tcPr>
          <w:p>
            <w:r>
              <w:t>Correções de erros e histórico técnico limitado</w:t>
            </w:r>
          </w:p>
        </w:tc>
        <w:tc>
          <w:tcPr>
            <w:tcW w:type="dxa" w:w="3264"/>
            <w:vAlign w:val="center"/>
          </w:tcPr>
          <w:p>
            <w:r>
              <w:t>Evitar contagem duplicada e permitir auditoria</w:t>
            </w:r>
          </w:p>
        </w:tc>
      </w:tr>
    </w:tbl>
    <w:p/>
    <w:p>
      <w:r>
        <w:t>Filtros úteis: mês de competência, loja e situação da franquia (dentro do limite / atingiu / excedeu). Sem relatórios de faturamento.</w:t>
      </w:r>
    </w:p>
    <w:p>
      <w:pPr>
        <w:pStyle w:val="Heading1"/>
      </w:pPr>
      <w:r>
        <w:t>4. Regras comerciais confirmadas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Premium</w:t>
            </w:r>
          </w:p>
        </w:tc>
      </w:tr>
      <w:tr>
        <w:tc>
          <w:tcPr>
            <w:tcW w:type="dxa" w:w="3264"/>
            <w:vAlign w:val="center"/>
          </w:tcPr>
          <w:p>
            <w:r>
              <w:t>Franquia de pedidos aceitos por mês</w:t>
            </w:r>
          </w:p>
        </w:tc>
        <w:tc>
          <w:tcPr>
            <w:tcW w:type="dxa" w:w="3264"/>
            <w:vAlign w:val="center"/>
          </w:tcPr>
          <w:p>
            <w:r>
              <w:t>340</w:t>
            </w:r>
          </w:p>
        </w:tc>
        <w:tc>
          <w:tcPr>
            <w:tcW w:type="dxa" w:w="3264"/>
            <w:vAlign w:val="center"/>
          </w:tcPr>
          <w:p>
            <w:r>
              <w:t>750</w:t>
            </w:r>
          </w:p>
        </w:tc>
      </w:tr>
      <w:tr>
        <w:tc>
          <w:tcPr>
            <w:tcW w:type="dxa" w:w="3264"/>
            <w:vAlign w:val="center"/>
          </w:tcPr>
          <w:p>
            <w:r>
              <w:t>Preço por pedido aceito excedente</w:t>
            </w:r>
          </w:p>
        </w:tc>
        <w:tc>
          <w:tcPr>
            <w:tcW w:type="dxa" w:w="3264"/>
            <w:vAlign w:val="center"/>
          </w:tcPr>
          <w:p>
            <w:r>
              <w:t>R$ 0,20</w:t>
            </w:r>
          </w:p>
        </w:tc>
        <w:tc>
          <w:tcPr>
            <w:tcW w:type="dxa" w:w="3264"/>
            <w:vAlign w:val="center"/>
          </w:tcPr>
          <w:p>
            <w:r>
              <w:t>R$ 0,15</w:t>
            </w:r>
          </w:p>
        </w:tc>
      </w:tr>
      <w:tr>
        <w:tc>
          <w:tcPr>
            <w:tcW w:type="dxa" w:w="3264"/>
            <w:vAlign w:val="center"/>
          </w:tcPr>
          <w:p>
            <w:r>
              <w:t>Pedidos rejeitados</w:t>
            </w:r>
          </w:p>
        </w:tc>
        <w:tc>
          <w:tcPr>
            <w:tcW w:type="dxa" w:w="3264"/>
            <w:vAlign w:val="center"/>
          </w:tcPr>
          <w:p>
            <w:r>
              <w:t>Não contam</w:t>
            </w:r>
          </w:p>
        </w:tc>
        <w:tc>
          <w:tcPr>
            <w:tcW w:type="dxa" w:w="3264"/>
            <w:vAlign w:val="center"/>
          </w:tcPr>
          <w:p>
            <w:r>
              <w:t>Não contam</w:t>
            </w:r>
          </w:p>
        </w:tc>
      </w:tr>
      <w:tr>
        <w:tc>
          <w:tcPr>
            <w:tcW w:type="dxa" w:w="3264"/>
            <w:vAlign w:val="center"/>
          </w:tcPr>
          <w:p>
            <w:r>
              <w:t>Alertas ao atingir a franquia</w:t>
            </w:r>
          </w:p>
        </w:tc>
        <w:tc>
          <w:tcPr>
            <w:tcW w:type="dxa" w:w="3264"/>
            <w:vAlign w:val="center"/>
          </w:tcPr>
          <w:p>
            <w:r>
              <w:t>80% e 100%</w:t>
            </w:r>
          </w:p>
        </w:tc>
        <w:tc>
          <w:tcPr>
            <w:tcW w:type="dxa" w:w="3264"/>
            <w:vAlign w:val="center"/>
          </w:tcPr>
          <w:p>
            <w:r>
              <w:t>80% e 100%</w:t>
            </w:r>
          </w:p>
        </w:tc>
      </w:tr>
      <w:tr>
        <w:tc>
          <w:tcPr>
            <w:tcW w:type="dxa" w:w="3264"/>
            <w:vAlign w:val="center"/>
          </w:tcPr>
          <w:p>
            <w:r>
              <w:t>Bloqueio após franquia</w:t>
            </w:r>
          </w:p>
        </w:tc>
        <w:tc>
          <w:tcPr>
            <w:tcW w:type="dxa" w:w="3264"/>
            <w:vAlign w:val="center"/>
          </w:tcPr>
          <w:p>
            <w:r>
              <w:t>Não há</w:t>
            </w:r>
          </w:p>
        </w:tc>
        <w:tc>
          <w:tcPr>
            <w:tcW w:type="dxa" w:w="3264"/>
            <w:vAlign w:val="center"/>
          </w:tcPr>
          <w:p>
            <w:r>
              <w:t>Não há</w:t>
            </w:r>
          </w:p>
        </w:tc>
      </w:tr>
    </w:tbl>
    <w:p/>
    <w:p>
      <w:pPr>
        <w:pStyle w:val="ListBullet"/>
      </w:pPr>
      <w:r>
        <w:t>Somente pedidos ACEITOS entram na franquia e nos excedentes. Pedidos rejeitados não geram cobrança, embora consumam infraestrutura.</w:t>
      </w:r>
    </w:p>
    <w:p>
      <w:pPr>
        <w:pStyle w:val="ListBullet"/>
      </w:pPr>
      <w:r>
        <w:t>Pedido aceito e depois cancelado normalmente continua contado; exceção: erro comprovado do sistema, sujeito a correção auditável.</w:t>
      </w:r>
    </w:p>
    <w:p>
      <w:pPr>
        <w:pStyle w:val="ListBullet"/>
      </w:pPr>
      <w:r>
        <w:t>Cada pedido deve ser contabilizado uma única vez, por identificador estável, sem duplicidade por reenvio, atualização ou mudança de status.</w:t>
      </w:r>
    </w:p>
    <w:p>
      <w:pPr>
        <w:pStyle w:val="ListBullet"/>
      </w:pPr>
      <w:r>
        <w:t>A competência segue o mês-calendário brasileiro, com critérios de data/hora consistentes e fechamentos rastreáveis.</w:t>
      </w:r>
    </w:p>
    <w:p>
      <w:pPr>
        <w:pStyle w:val="ListBullet"/>
      </w:pPr>
      <w:r>
        <w:t>Excedentes do mês são cobrados no mês seguinte, segundo as regras comerciais aprovadas.</w:t>
      </w:r>
    </w:p>
    <w:p>
      <w:pPr>
        <w:pStyle w:val="ListBullet"/>
      </w:pPr>
      <w:r>
        <w:t>Mudança de plano vale no mês seguinte; no primeiro mês, franquia e mensalidade são proporcionais aos dias ativos, com arredondamento da franquia para cima.</w:t>
      </w:r>
    </w:p>
    <w:p>
      <w:pPr>
        <w:pStyle w:val="ListBullet"/>
      </w:pPr>
      <w:r>
        <w:t>O plano Empresarial tem franquia e tarifa personalizadas, definidas em contrato; não há migração automática de plano por alto volume.</w:t>
      </w:r>
    </w:p>
    <w:p>
      <w:pPr>
        <w:pStyle w:val="Heading1"/>
      </w:pPr>
      <w:r>
        <w:t>5. Exclusão de pedidos pelo lojista</w:t>
      </w:r>
    </w:p>
    <w:p>
      <w:r>
        <w:t>A exclusão de um pedido na interface do lojista não deve remover automaticamente o fato histórico mínimo de que ele foi aceito e contabilizado. A apuração precisa continuar correta sem manter uma “cópia escondida” do pedido completo.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</w:tcPr>
          <w:p>
            <w:r>
              <w:rPr>
                <w:b/>
              </w:rPr>
              <w:t>Ocorrência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Tratamento para a apuração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criado, mas não aceito</w:t>
            </w:r>
          </w:p>
        </w:tc>
        <w:tc>
          <w:tcPr>
            <w:tcW w:type="dxa" w:w="4896"/>
            <w:vAlign w:val="center"/>
          </w:tcPr>
          <w:p>
            <w:r>
              <w:t>Não incrementa contador faturável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aceito</w:t>
            </w:r>
          </w:p>
        </w:tc>
        <w:tc>
          <w:tcPr>
            <w:tcW w:type="dxa" w:w="4896"/>
            <w:vAlign w:val="center"/>
          </w:tcPr>
          <w:p>
            <w:r>
              <w:t>Registra uma única ocorrência faturável, com data e loja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rejeitado</w:t>
            </w:r>
          </w:p>
        </w:tc>
        <w:tc>
          <w:tcPr>
            <w:tcW w:type="dxa" w:w="4896"/>
            <w:vAlign w:val="center"/>
          </w:tcPr>
          <w:p>
            <w:r>
              <w:t>Não incrementa contador faturável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aceito e depois cancelado</w:t>
            </w:r>
          </w:p>
        </w:tc>
        <w:tc>
          <w:tcPr>
            <w:tcW w:type="dxa" w:w="4896"/>
            <w:vAlign w:val="center"/>
          </w:tcPr>
          <w:p>
            <w:r>
              <w:t>Permanece contabilizado, salvo erro do sistema verificado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ocultado/excluído da interface do lojista</w:t>
            </w:r>
          </w:p>
        </w:tc>
        <w:tc>
          <w:tcPr>
            <w:tcW w:type="dxa" w:w="4896"/>
            <w:vAlign w:val="center"/>
          </w:tcPr>
          <w:p>
            <w:r>
              <w:t>Preserva apenas o registro técnico mínimo e a contagem histórica, conforme política de retenção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Erro do sistema comprovado</w:t>
            </w:r>
          </w:p>
        </w:tc>
        <w:tc>
          <w:tcPr>
            <w:tcW w:type="dxa" w:w="4896"/>
            <w:vAlign w:val="center"/>
          </w:tcPr>
          <w:p>
            <w:r>
              <w:t>Correção registrada, sem apagar o histórico de ajuste</w:t>
            </w:r>
          </w:p>
        </w:tc>
      </w:tr>
    </w:tbl>
    <w:p/>
    <w:p>
      <w:r>
        <w:t>A política de retenção, o mecanismo de exclusão e a base legal LGPD deverão ser revisados antes de implementar. Não se deve reter indefinidamente informações desnecessárias.</w:t>
      </w:r>
    </w:p>
    <w:p>
      <w:pPr>
        <w:pStyle w:val="Heading1"/>
      </w:pPr>
      <w:r>
        <w:t>6. Dados mínimos e privacidade</w:t>
      </w:r>
    </w:p>
    <w:p>
      <w:r>
        <w:t>Conceito sugerido para registro de apuração (não é uma definição obrigatória de tabela ou esquema): identificador interno do estabelecimento; identificador técnico estável do pedido; instante da aceitação; mês de competência; evento/status para determinar se conta; indicação de correção auditada quando aplicável.</w:t>
      </w:r>
    </w:p>
    <w:p>
      <w:pPr>
        <w:pStyle w:val="ListBullet"/>
      </w:pPr>
      <w:r>
        <w:t>Não copiar valor, carrinho, nomes, telefones ou endereços dos consumidores para o painel de controle.</w:t>
      </w:r>
    </w:p>
    <w:p>
      <w:pPr>
        <w:pStyle w:val="ListBullet"/>
      </w:pPr>
      <w:r>
        <w:t>Exibir apenas o necessário; dados técnicos de auditoria devem ter acesso ainda mais restrito que o resumo por loja.</w:t>
      </w:r>
    </w:p>
    <w:p>
      <w:pPr>
        <w:pStyle w:val="ListBullet"/>
      </w:pPr>
      <w:r>
        <w:t>Definir perfis autorizados, isolamento por loja e registro de acessos/correções antes da disponibilização.</w:t>
      </w:r>
    </w:p>
    <w:p>
      <w:pPr>
        <w:pStyle w:val="ListBullet"/>
      </w:pPr>
      <w:r>
        <w:t>A loja deve poder receber demonstrativo da própria contagem e contestar erros sem acesso aos dados de outras lojas.</w:t>
      </w:r>
    </w:p>
    <w:p>
      <w:pPr>
        <w:pStyle w:val="ListBullet"/>
      </w:pPr>
      <w:r>
        <w:t>A criação de outro painel não dispensa as regras de segurança e privacidade da fonte original dos pedidos.</w:t>
      </w:r>
    </w:p>
    <w:p>
      <w:pPr>
        <w:pStyle w:val="Heading1"/>
      </w:pPr>
      <w:r>
        <w:t>7. Exemplo de fechamento — dados fictícios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Loja Exemplo A (Business)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Competência</w:t>
            </w:r>
          </w:p>
        </w:tc>
        <w:tc>
          <w:tcPr>
            <w:tcW w:type="dxa" w:w="4896"/>
            <w:vAlign w:val="center"/>
          </w:tcPr>
          <w:p>
            <w:r>
              <w:t>Outubro de 2026</w:t>
            </w:r>
          </w:p>
        </w:tc>
      </w:tr>
      <w:tr>
        <w:tc>
          <w:tcPr>
            <w:tcW w:type="dxa" w:w="4896"/>
            <w:vAlign w:val="center"/>
          </w:tcPr>
          <w:p>
            <w:r>
              <w:t>Aceitos contabilizados</w:t>
            </w:r>
          </w:p>
        </w:tc>
        <w:tc>
          <w:tcPr>
            <w:tcW w:type="dxa" w:w="4896"/>
            <w:vAlign w:val="center"/>
          </w:tcPr>
          <w:p>
            <w:r>
              <w:t>390</w:t>
            </w:r>
          </w:p>
        </w:tc>
      </w:tr>
      <w:tr>
        <w:tc>
          <w:tcPr>
            <w:tcW w:type="dxa" w:w="4896"/>
            <w:vAlign w:val="center"/>
          </w:tcPr>
          <w:p>
            <w:r>
              <w:t>Franquia</w:t>
            </w:r>
          </w:p>
        </w:tc>
        <w:tc>
          <w:tcPr>
            <w:tcW w:type="dxa" w:w="4896"/>
            <w:vAlign w:val="center"/>
          </w:tcPr>
          <w:p>
            <w:r>
              <w:t>340</w:t>
            </w:r>
          </w:p>
        </w:tc>
      </w:tr>
      <w:tr>
        <w:tc>
          <w:tcPr>
            <w:tcW w:type="dxa" w:w="4896"/>
            <w:vAlign w:val="center"/>
          </w:tcPr>
          <w:p>
            <w:r>
              <w:t>Excedentes</w:t>
            </w:r>
          </w:p>
        </w:tc>
        <w:tc>
          <w:tcPr>
            <w:tcW w:type="dxa" w:w="4896"/>
            <w:vAlign w:val="center"/>
          </w:tcPr>
          <w:p>
            <w:r>
              <w:t>50</w:t>
            </w:r>
          </w:p>
        </w:tc>
      </w:tr>
      <w:tr>
        <w:tc>
          <w:tcPr>
            <w:tcW w:type="dxa" w:w="4896"/>
            <w:vAlign w:val="center"/>
          </w:tcPr>
          <w:p>
            <w:r>
              <w:t>Tarifa por excedente</w:t>
            </w:r>
          </w:p>
        </w:tc>
        <w:tc>
          <w:tcPr>
            <w:tcW w:type="dxa" w:w="4896"/>
            <w:vAlign w:val="center"/>
          </w:tcPr>
          <w:p>
            <w:r>
              <w:t>R$ 0,20</w:t>
            </w:r>
          </w:p>
        </w:tc>
      </w:tr>
      <w:tr>
        <w:tc>
          <w:tcPr>
            <w:tcW w:type="dxa" w:w="4896"/>
            <w:vAlign w:val="center"/>
          </w:tcPr>
          <w:p>
            <w:r>
              <w:t>Adicional devido à NovaesWeb</w:t>
            </w:r>
          </w:p>
        </w:tc>
        <w:tc>
          <w:tcPr>
            <w:tcW w:type="dxa" w:w="4896"/>
            <w:vAlign w:val="center"/>
          </w:tcPr>
          <w:p>
            <w:r>
              <w:t>R$ 10,00</w:t>
            </w:r>
          </w:p>
        </w:tc>
      </w:tr>
    </w:tbl>
    <w:p/>
    <w:p>
      <w:r>
        <w:t>Cálculo: máximo(0, 390 − 340) × R$ 0,20 = R$ 10,00. Este demonstrativo não contém o valor de nenhum pedido realizado no restaurante.</w:t>
      </w:r>
    </w:p>
    <w:p>
      <w:pPr>
        <w:pStyle w:val="Heading1"/>
      </w:pPr>
      <w:r>
        <w:t>8. Requisitos de qualidade e testes de aceite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Critério esperado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Aceitação duplicada do mesmo pedido</w:t>
            </w:r>
          </w:p>
        </w:tc>
        <w:tc>
          <w:tcPr>
            <w:tcW w:type="dxa" w:w="4896"/>
            <w:vAlign w:val="center"/>
          </w:tcPr>
          <w:p>
            <w:r>
              <w:t>Contabiliza uma só vez</w:t>
            </w:r>
          </w:p>
        </w:tc>
      </w:tr>
      <w:tr>
        <w:tc>
          <w:tcPr>
            <w:tcW w:type="dxa" w:w="4896"/>
            <w:vAlign w:val="center"/>
          </w:tcPr>
          <w:p>
            <w:r>
              <w:t>Rejeição antes da aceitação</w:t>
            </w:r>
          </w:p>
        </w:tc>
        <w:tc>
          <w:tcPr>
            <w:tcW w:type="dxa" w:w="4896"/>
            <w:vAlign w:val="center"/>
          </w:tcPr>
          <w:p>
            <w:r>
              <w:t>Não contabiliza</w:t>
            </w:r>
          </w:p>
        </w:tc>
      </w:tr>
      <w:tr>
        <w:tc>
          <w:tcPr>
            <w:tcW w:type="dxa" w:w="4896"/>
            <w:vAlign w:val="center"/>
          </w:tcPr>
          <w:p>
            <w:r>
              <w:t>Aceitação e posterior exclusão no painel da loja</w:t>
            </w:r>
          </w:p>
        </w:tc>
        <w:tc>
          <w:tcPr>
            <w:tcW w:type="dxa" w:w="4896"/>
            <w:vAlign w:val="center"/>
          </w:tcPr>
          <w:p>
            <w:r>
              <w:t>Mantém o registro mínimo de contagem</w:t>
            </w:r>
          </w:p>
        </w:tc>
      </w:tr>
      <w:tr>
        <w:tc>
          <w:tcPr>
            <w:tcW w:type="dxa" w:w="4896"/>
            <w:vAlign w:val="center"/>
          </w:tcPr>
          <w:p>
            <w:r>
              <w:t>Cancelamento de pedido já aceito</w:t>
            </w:r>
          </w:p>
        </w:tc>
        <w:tc>
          <w:tcPr>
            <w:tcW w:type="dxa" w:w="4896"/>
            <w:vAlign w:val="center"/>
          </w:tcPr>
          <w:p>
            <w:r>
              <w:t>Mantém contagem, salvo correção validada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Pedido de outro estabelecimento</w:t>
            </w:r>
          </w:p>
        </w:tc>
        <w:tc>
          <w:tcPr>
            <w:tcW w:type="dxa" w:w="4896"/>
            <w:vAlign w:val="center"/>
          </w:tcPr>
          <w:p>
            <w:r>
              <w:t>Nunca aparece na apuração da loja selecionada sem autorização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Fim/início do mês</w:t>
            </w:r>
          </w:p>
        </w:tc>
        <w:tc>
          <w:tcPr>
            <w:tcW w:type="dxa" w:w="4896"/>
            <w:vAlign w:val="center"/>
          </w:tcPr>
          <w:p>
            <w:r>
              <w:t>Não mistura competências</w:t>
            </w:r>
          </w:p>
        </w:tc>
      </w:tr>
      <w:tr>
        <w:tc>
          <w:tcPr>
            <w:tcW w:type="dxa" w:w="4896"/>
            <w:vAlign w:val="center"/>
          </w:tcPr>
          <w:p>
            <w:r>
              <w:t>Atingiu 80%/100%</w:t>
            </w:r>
          </w:p>
        </w:tc>
        <w:tc>
          <w:tcPr>
            <w:tcW w:type="dxa" w:w="4896"/>
            <w:vAlign w:val="center"/>
          </w:tcPr>
          <w:p>
            <w:r>
              <w:t>Alertas corretos sem bloquear pedidos</w:t>
            </w:r>
          </w:p>
        </w:tc>
      </w:tr>
      <w:tr>
        <w:tc>
          <w:tcPr>
            <w:tcW w:type="dxa" w:w="4896"/>
            <w:vAlign w:val="center"/>
          </w:tcPr>
          <w:p>
            <w:r>
              <w:t>Cliente Business com 390 aceitos</w:t>
            </w:r>
          </w:p>
        </w:tc>
        <w:tc>
          <w:tcPr>
            <w:tcW w:type="dxa" w:w="4896"/>
            <w:vAlign w:val="center"/>
          </w:tcPr>
          <w:p>
            <w:r>
              <w:t>Exibe 50 excedentes e R$ 10,00 de adicional</w:t>
            </w:r>
          </w:p>
        </w:tc>
      </w:tr>
      <w:tr>
        <w:tc>
          <w:tcPr>
            <w:tcW w:type="dxa" w:w="4896"/>
            <w:vAlign w:val="center"/>
          </w:tcPr>
          <w:p>
            <w:r>
              <w:t>Loja Premium com 720 aceitos</w:t>
            </w:r>
          </w:p>
        </w:tc>
        <w:tc>
          <w:tcPr>
            <w:tcW w:type="dxa" w:w="4896"/>
            <w:vAlign w:val="center"/>
          </w:tcPr>
          <w:p>
            <w:r>
              <w:t>Exibe zero excedentes</w:t>
            </w:r>
          </w:p>
        </w:tc>
      </w:tr>
      <w:tr>
        <w:tc>
          <w:tcPr>
            <w:tcW w:type="dxa" w:w="4896"/>
            <w:vAlign w:val="center"/>
          </w:tcPr>
          <w:p>
            <w:r>
              <w:t>Privacidade</w:t>
            </w:r>
          </w:p>
        </w:tc>
        <w:tc>
          <w:tcPr>
            <w:tcW w:type="dxa" w:w="4896"/>
            <w:vAlign w:val="center"/>
          </w:tcPr>
          <w:p>
            <w:r>
              <w:t>Não retorna nem exibe valores de venda ou dados pessoais no novo painel</w:t>
            </w:r>
          </w:p>
        </w:tc>
      </w:tr>
      <w:tr>
        <w:tc>
          <w:tcPr>
            <w:tcW w:type="dxa" w:w="4896"/>
            <w:vAlign w:val="center"/>
          </w:tcPr>
          <w:p>
            <w:r>
              <w:t>Primeiro mês parcial</w:t>
            </w:r>
          </w:p>
        </w:tc>
        <w:tc>
          <w:tcPr>
            <w:tcW w:type="dxa" w:w="4896"/>
            <w:vAlign w:val="center"/>
          </w:tcPr>
          <w:p>
            <w:r>
              <w:t>Aplica franquia proporcional aprovada com arredondamento para cima</w:t>
            </w:r>
          </w:p>
        </w:tc>
      </w:tr>
      <w:tr>
        <w:tc>
          <w:tcPr>
            <w:tcW w:type="dxa" w:w="4896"/>
            <w:vAlign w:val="center"/>
          </w:tcPr>
          <w:p>
            <w:r>
              <w:t>Alteração de plano agendada</w:t>
            </w:r>
          </w:p>
        </w:tc>
        <w:tc>
          <w:tcPr>
            <w:tcW w:type="dxa" w:w="4896"/>
            <w:vAlign w:val="center"/>
          </w:tcPr>
          <w:p>
            <w:r>
              <w:t>Aplica somente na competência correta</w:t>
            </w:r>
          </w:p>
        </w:tc>
      </w:tr>
    </w:tbl>
    <w:p/>
    <w:p>
      <w:pPr>
        <w:pStyle w:val="Heading1"/>
      </w:pPr>
      <w:r>
        <w:t>9. Pontos a decidir antes de construir</w:t>
      </w:r>
    </w:p>
    <w:p>
      <w:pPr>
        <w:pStyle w:val="ListBullet"/>
      </w:pPr>
      <w:r>
        <w:t>Arquitetura: aplicativo separado, rota isolada ou módulo com navegação independente do Painel Master.</w:t>
      </w:r>
    </w:p>
    <w:p>
      <w:pPr>
        <w:pStyle w:val="ListBullet"/>
      </w:pPr>
      <w:r>
        <w:t>Política de prazo de retenção dos registros mínimos, procedimentos de contestação e correção.</w:t>
      </w:r>
    </w:p>
    <w:p>
      <w:pPr>
        <w:pStyle w:val="ListBullet"/>
      </w:pPr>
      <w:r>
        <w:t>Quem terá acesso ao painel e a quais operações (consulta, fechamento, ajustes).</w:t>
      </w:r>
    </w:p>
    <w:p>
      <w:pPr>
        <w:pStyle w:val="ListBullet"/>
      </w:pPr>
      <w:r>
        <w:t>Como o sistema existente representa exclusão, ocultação, cancelamento e erro de pedido.</w:t>
      </w:r>
    </w:p>
    <w:p>
      <w:pPr>
        <w:pStyle w:val="ListBullet"/>
      </w:pPr>
      <w:r>
        <w:t>Quais dados históricos são confiáveis para apuração retroativa e como lidar com ausência de trilha anterior.</w:t>
      </w:r>
    </w:p>
    <w:p>
      <w:pPr>
        <w:pStyle w:val="ListBullet"/>
      </w:pPr>
      <w:r>
        <w:t>Integração futura com cobrança: somente demonstrativo ou emissão automática após validação comercial.</w:t>
      </w:r>
    </w:p>
    <w:p>
      <w:pPr>
        <w:pStyle w:val="ListBullet"/>
      </w:pPr>
      <w:r>
        <w:t>Tratamento exato do horário de competência e fechamento do mês para estabelecimentos em diferentes fusos.</w:t>
      </w:r>
    </w:p>
    <w:p>
      <w:pPr>
        <w:pStyle w:val="Heading1"/>
      </w:pPr>
      <w:r>
        <w:t>10. Instrução preparada para enviar ao Codex</w:t>
      </w:r>
    </w:p>
    <w:p>
      <w:r>
        <w:t>Copiar este pedido juntamente com o documento:</w:t>
      </w:r>
    </w:p>
    <w:p>
      <w:pPr>
        <w:pStyle w:val="ListNumber"/>
      </w:pPr>
      <w:r>
        <w:t>Leia esta especificação e examine o repositório EXISTENTE antes de recomendar alterações. Identifique o fluxo atual de criação/aceitação/rejeição/cancelamento/exclusão dos pedidos, a fonte de dados, o Painel Master e as rotas/permissões existentes.</w:t>
      </w:r>
    </w:p>
    <w:p>
      <w:pPr>
        <w:pStyle w:val="ListNumber"/>
      </w:pPr>
      <w:r>
        <w:t>Produza primeiro um DIAGNÓSTICO por arquivo/área: o que já existe, o que falta, o que pode ser reaproveitado, riscos de privacidade, migração e impacto sobre clientes existentes.</w:t>
      </w:r>
    </w:p>
    <w:p>
      <w:pPr>
        <w:pStyle w:val="ListNumber"/>
      </w:pPr>
      <w:r>
        <w:t>Proponha uma arquitetura de painel separado do Master, exclusivamente de contagem por estabelecimento e competência. Não inclua valores de venda nem dados pessoais dos consumidores. Preserve a regra de pedido aceito com deduplicação e trilha mínima após exclusão na loja.</w:t>
      </w:r>
    </w:p>
    <w:p>
      <w:pPr>
        <w:pStyle w:val="ListNumber"/>
      </w:pPr>
      <w:r>
        <w:t>Entregue plano em etapas, testes de aceite, cuidados com implantação gradual e rollback. Diferencie regras comerciais confirmadas dos pontos ainda não decididos.</w:t>
      </w:r>
    </w:p>
    <w:p>
      <w:pPr>
        <w:pStyle w:val="ListNumber"/>
      </w:pPr>
      <w:r>
        <w:t>NÃO ALTERE arquivos, banco, permissões, planos, contratos, Vercel ou Supabase, NÃO rode migrações e NÃO faça deploy. Solicite autorização explícita antes de cada implementação.</w:t>
      </w:r>
    </w:p>
    <w:p>
      <w:pPr>
        <w:pStyle w:val="Heading1"/>
      </w:pPr>
      <w:r>
        <w:t>11. Controle de escopo</w:t>
      </w:r>
    </w:p>
    <w:p>
      <w:r>
        <w:t>Este documento é uma especificação adicional autônoma. Não modifica os Word anteriores nem revoga decisões das seis etapas comerciais. O objetivo é discutir e posteriormente orientar um painel dedicado exclusivamente à contagem de pedidos e cobrança dos excedentes.</w:t>
      </w:r>
    </w:p>
    <w:p>
      <w:r>
        <w:t>SITUAÇÃO: documentação entregue; desenvolvimento, auditoria do Supabase, alterações de sistemas e publicação não autorizados.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Planejamento — nenhuma implementação autorizada  |  NovaesWeb  |  23/10/2026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A657D"/>
      </w:rPr>
      <w:t>NOVAESWEB   /   ESPECIFICAÇÃO FUNCIONAL   /   DOCUMENTO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0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86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630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NovaesWeb — Painel Exclusivo de Controle de Pedidos</dc:title>
  <dc:subject>Requisitos funcionais e instruções para futura análise no Codex</dc:subject>
  <dc:creator>NovaesWeb — Planejamento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