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spacing w:after="20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after="20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Scope and Vision Paper</w:t>
      </w:r>
      <w:r w:rsidDel="00000000" w:rsidR="00000000" w:rsidRPr="00000000">
        <w:rPr>
          <w:rtl w:val="0"/>
        </w:rPr>
      </w:r>
    </w:p>
    <w:p w:rsidR="00000000" w:rsidDel="00000000" w:rsidP="00000000" w:rsidRDefault="00000000" w:rsidRPr="00000000" w14:paraId="00000004">
      <w:pPr>
        <w:spacing w:after="20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2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Learning the Governing Equations of Ecological Dynamics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Markus Bauer, Samson Mont, Nour Rahal-Arabi, </w:t>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Madelyn Smith, Jinshui Wang</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Subtitle"/>
        <w:spacing w:after="200" w:lineRule="auto"/>
        <w:jc w:val="center"/>
        <w:rPr/>
      </w:pPr>
      <w:bookmarkStart w:colFirst="0" w:colLast="0" w:name="_6tbvl6kba6qq" w:id="0"/>
      <w:bookmarkEnd w:id="0"/>
      <w:r w:rsidDel="00000000" w:rsidR="00000000" w:rsidRPr="00000000">
        <w:rPr>
          <w:rtl w:val="0"/>
        </w:rPr>
        <w:t xml:space="preserve">Section 1: Background and Problem Statement</w:t>
      </w:r>
    </w:p>
    <w:p w:rsidR="00000000" w:rsidDel="00000000" w:rsidP="00000000" w:rsidRDefault="00000000" w:rsidRPr="00000000" w14:paraId="00000028">
      <w:pPr>
        <w:pStyle w:val="Heading3"/>
        <w:rPr>
          <w:color w:val="000000"/>
        </w:rPr>
      </w:pPr>
      <w:bookmarkStart w:colFirst="0" w:colLast="0" w:name="_trjfulgwqzul" w:id="1"/>
      <w:bookmarkEnd w:id="1"/>
      <w:r w:rsidDel="00000000" w:rsidR="00000000" w:rsidRPr="00000000">
        <w:rPr>
          <w:rtl w:val="0"/>
        </w:rPr>
        <w:t xml:space="preserve">1.1. Background</w:t>
      </w:r>
      <w:r w:rsidDel="00000000" w:rsidR="00000000" w:rsidRPr="00000000">
        <w:rPr>
          <w:rtl w:val="0"/>
        </w:rPr>
      </w:r>
    </w:p>
    <w:p w:rsidR="00000000" w:rsidDel="00000000" w:rsidP="00000000" w:rsidRDefault="00000000" w:rsidRPr="00000000" w14:paraId="00000029">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models to understand species abundance is a significant area of research in the field of Ecology. researchers must gain a deep and comprehensive understanding of population dynamics to explain interactions between predators and prey as well as predict population abundance over space and time.</w:t>
      </w:r>
    </w:p>
    <w:p w:rsidR="00000000" w:rsidDel="00000000" w:rsidP="00000000" w:rsidRDefault="00000000" w:rsidRPr="00000000" w14:paraId="0000002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Historically, ecological researchers have used statistical methods which rely on fitting a “correct” model to data by estimating parameters that are assumed to be significant. However, symbolic regression is a promising new method for producing descriptive models because it has the potential to derive the multiple significant factors and predator-prey interactions directly from species abundance data. In addition, symbolic regression does not assume a prior model which suggests that the one it extracts is the data’s “true” model.</w:t>
      </w:r>
    </w:p>
    <w:p w:rsidR="00000000" w:rsidDel="00000000" w:rsidP="00000000" w:rsidRDefault="00000000" w:rsidRPr="00000000" w14:paraId="0000002B">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in this project will be derived from time-series data on a three-year field experiment that started in 2013. In this experiment, researchers collected data about population abundance for a variety of species that were submerged under water during high tide and out in open air during low tide in the Oregon marine intertidal. The primary predator species of interest is the whelk Nucella ostrina, with focus also on Nucella canaliculata. The primary prey species of interest is the </w:t>
      </w:r>
      <w:r w:rsidDel="00000000" w:rsidR="00000000" w:rsidRPr="00000000">
        <w:rPr>
          <w:rFonts w:ascii="Times New Roman" w:cs="Times New Roman" w:eastAsia="Times New Roman" w:hAnsi="Times New Roman"/>
          <w:color w:val="24292f"/>
          <w:sz w:val="24"/>
          <w:szCs w:val="24"/>
          <w:highlight w:val="white"/>
          <w:rtl w:val="0"/>
        </w:rPr>
        <w:t xml:space="preserve">acorn barnacle </w:t>
      </w:r>
      <w:hyperlink r:id="rId6">
        <w:r w:rsidDel="00000000" w:rsidR="00000000" w:rsidRPr="00000000">
          <w:rPr>
            <w:rFonts w:ascii="Times New Roman" w:cs="Times New Roman" w:eastAsia="Times New Roman" w:hAnsi="Times New Roman"/>
            <w:color w:val="2d3b45"/>
            <w:rtl w:val="0"/>
          </w:rPr>
          <w:t xml:space="preserve">Balanus glandula</w:t>
        </w:r>
      </w:hyperlink>
      <w:r w:rsidDel="00000000" w:rsidR="00000000" w:rsidRPr="00000000">
        <w:rPr>
          <w:rFonts w:ascii="Times New Roman" w:cs="Times New Roman" w:eastAsia="Times New Roman" w:hAnsi="Times New Roman"/>
          <w:color w:val="24292f"/>
          <w:sz w:val="24"/>
          <w:szCs w:val="24"/>
          <w:highlight w:val="white"/>
          <w:rtl w:val="0"/>
        </w:rPr>
        <w:t xml:space="preserve"> and the gooseneck barnacle </w:t>
      </w:r>
      <w:hyperlink r:id="rId7">
        <w:r w:rsidDel="00000000" w:rsidR="00000000" w:rsidRPr="00000000">
          <w:rPr>
            <w:rFonts w:ascii="Times New Roman" w:cs="Times New Roman" w:eastAsia="Times New Roman" w:hAnsi="Times New Roman"/>
            <w:color w:val="1155cc"/>
            <w:u w:val="single"/>
            <w:rtl w:val="0"/>
          </w:rPr>
          <w:t xml:space="preserve">Pollicipes polymerus</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pStyle w:val="Heading3"/>
        <w:rPr/>
      </w:pPr>
      <w:bookmarkStart w:colFirst="0" w:colLast="0" w:name="_ome5f8sfahnw" w:id="2"/>
      <w:bookmarkEnd w:id="2"/>
      <w:r w:rsidDel="00000000" w:rsidR="00000000" w:rsidRPr="00000000">
        <w:rPr>
          <w:rtl w:val="0"/>
        </w:rPr>
        <w:t xml:space="preserve">1.2. Problem Statement</w:t>
      </w:r>
    </w:p>
    <w:p w:rsidR="00000000" w:rsidDel="00000000" w:rsidP="00000000" w:rsidRDefault="00000000" w:rsidRPr="00000000" w14:paraId="0000002D">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create an accurate and comprehensible model to describe and predict population dynamics for species in the Oregon marine intertidal using a novel machine learning technique known as symbolic regression. Ideally, this model can be applied to describe other ecosystems as an alternative to traditional methods of characterizing species interactions.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Subtitle"/>
        <w:rPr/>
      </w:pPr>
      <w:bookmarkStart w:colFirst="0" w:colLast="0" w:name="_cuj3oleph72u" w:id="3"/>
      <w:bookmarkEnd w:id="3"/>
      <w:r w:rsidDel="00000000" w:rsidR="00000000" w:rsidRPr="00000000">
        <w:rPr>
          <w:rtl w:val="0"/>
        </w:rPr>
        <w:t xml:space="preserve">Section 2: Vision</w:t>
      </w:r>
    </w:p>
    <w:p w:rsidR="00000000" w:rsidDel="00000000" w:rsidP="00000000" w:rsidRDefault="00000000" w:rsidRPr="00000000" w14:paraId="00000037">
      <w:pPr>
        <w:spacing w:after="20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development team aims to produce a mathematical model for describing and predicting the population fluctuations in an Oregon coastal ecosystem resulting from predator-prey interactions. Our strategy utilizes symbolic regression, a machine learning algorithm recently introduced to the field of Ecology, to represent these relationships. The system will generate an equation or system of equations that will consider multiple variables and provide an accurate species abundance model for the Oregon marine intertidal region which was surveyed. The success of the project will provide an alternative to traditional modeling, which relies on statistical analysis, predetermined assumptions, and educated guesses about significant parameters.</w:t>
      </w:r>
      <w:r w:rsidDel="00000000" w:rsidR="00000000" w:rsidRPr="00000000">
        <w:rPr>
          <w:rtl w:val="0"/>
        </w:rPr>
      </w:r>
    </w:p>
    <w:p w:rsidR="00000000" w:rsidDel="00000000" w:rsidP="00000000" w:rsidRDefault="00000000" w:rsidRPr="00000000" w14:paraId="00000038">
      <w:pPr>
        <w:pStyle w:val="Heading3"/>
        <w:rPr/>
      </w:pPr>
      <w:bookmarkStart w:colFirst="0" w:colLast="0" w:name="_2w6ff38tq1m1" w:id="4"/>
      <w:bookmarkEnd w:id="4"/>
      <w:r w:rsidDel="00000000" w:rsidR="00000000" w:rsidRPr="00000000">
        <w:rPr>
          <w:rtl w:val="0"/>
        </w:rPr>
        <w:t xml:space="preserve">2.1. Hypothesis</w:t>
      </w:r>
    </w:p>
    <w:p w:rsidR="00000000" w:rsidDel="00000000" w:rsidP="00000000" w:rsidRDefault="00000000" w:rsidRPr="00000000" w14:paraId="00000039">
      <w:pPr>
        <w:pStyle w:val="Heading4"/>
        <w:spacing w:line="360" w:lineRule="auto"/>
        <w:rPr/>
      </w:pPr>
      <w:bookmarkStart w:colFirst="0" w:colLast="0" w:name="_42zgel2bdohi" w:id="5"/>
      <w:bookmarkEnd w:id="5"/>
      <w:r w:rsidDel="00000000" w:rsidR="00000000" w:rsidRPr="00000000">
        <w:rPr>
          <w:rtl w:val="0"/>
        </w:rPr>
        <w:t xml:space="preserve">Growth Hypothesis:</w:t>
      </w:r>
    </w:p>
    <w:p w:rsidR="00000000" w:rsidDel="00000000" w:rsidP="00000000" w:rsidRDefault="00000000" w:rsidRPr="00000000" w14:paraId="0000003A">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resulting model from this research successfully describes how populations are influenced by intrinsic and extrinsic factors in the Oregon marine intertidal, then other researchers can apply this technique to model population dynamics in other ecosystems. For these users to discover the project, the stakeholder and team must write about their work to publish in ecological research journals.</w:t>
      </w:r>
    </w:p>
    <w:p w:rsidR="00000000" w:rsidDel="00000000" w:rsidP="00000000" w:rsidRDefault="00000000" w:rsidRPr="00000000" w14:paraId="0000003B">
      <w:pPr>
        <w:pStyle w:val="Heading4"/>
        <w:spacing w:line="360" w:lineRule="auto"/>
        <w:rPr/>
      </w:pPr>
      <w:bookmarkStart w:colFirst="0" w:colLast="0" w:name="_dqmmbsqqvojt" w:id="6"/>
      <w:bookmarkEnd w:id="6"/>
      <w:r w:rsidDel="00000000" w:rsidR="00000000" w:rsidRPr="00000000">
        <w:rPr>
          <w:rtl w:val="0"/>
        </w:rPr>
        <w:t xml:space="preserve">Value Hypothesis:</w:t>
      </w:r>
    </w:p>
    <w:p w:rsidR="00000000" w:rsidDel="00000000" w:rsidP="00000000" w:rsidRDefault="00000000" w:rsidRPr="00000000" w14:paraId="0000003C">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traditional approach to predict and describe population fluctuations in an ecological system employs statistical methods that assume a prior and fit the model to the data. The goal is to utilize a machine learning method that learns the true model from the data itself to better evaluate this relationship in a more time-effective manner while maximizing accuracy. If the model reaches an accuracy in the testing phase of at least 80% or outperforms traditional approaches, it will be considered a viable alternative for modeling population dynamics.</w:t>
      </w:r>
    </w:p>
    <w:p w:rsidR="00000000" w:rsidDel="00000000" w:rsidP="00000000" w:rsidRDefault="00000000" w:rsidRPr="00000000" w14:paraId="0000003D">
      <w:pPr>
        <w:spacing w:after="20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2.2.2 Requirements</w:t>
      </w:r>
      <w:r w:rsidDel="00000000" w:rsidR="00000000" w:rsidRPr="00000000">
        <w:rPr>
          <w:rtl w:val="0"/>
        </w:rPr>
      </w:r>
    </w:p>
    <w:p w:rsidR="00000000" w:rsidDel="00000000" w:rsidP="00000000" w:rsidRDefault="00000000" w:rsidRPr="00000000" w14:paraId="0000003E">
      <w:pPr>
        <w:pStyle w:val="Heading4"/>
        <w:spacing w:line="360" w:lineRule="auto"/>
        <w:rPr/>
      </w:pPr>
      <w:bookmarkStart w:colFirst="0" w:colLast="0" w:name="_mpefvd2xlnhi" w:id="7"/>
      <w:bookmarkEnd w:id="7"/>
      <w:r w:rsidDel="00000000" w:rsidR="00000000" w:rsidRPr="00000000">
        <w:rPr>
          <w:rtl w:val="0"/>
        </w:rPr>
        <w:t xml:space="preserve">Functional Requirements: </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functional requirements are as follows:</w:t>
      </w:r>
    </w:p>
    <w:p w:rsidR="00000000" w:rsidDel="00000000" w:rsidP="00000000" w:rsidRDefault="00000000" w:rsidRPr="00000000" w14:paraId="00000040">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import and read data from the four datasets gathered by the Project Partner. This data will train and test the symbolic regression algorithm.</w:t>
      </w:r>
    </w:p>
    <w:p w:rsidR="00000000" w:rsidDel="00000000" w:rsidP="00000000" w:rsidRDefault="00000000" w:rsidRPr="00000000" w14:paraId="00000041">
      <w:pPr>
        <w:numPr>
          <w:ilvl w:val="0"/>
          <w:numId w:val="2"/>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program will produce one model that describes population growth rates of the nucella ostrina over time, and one model that describes the feeding rates of nucella ostrina. </w:t>
      </w:r>
    </w:p>
    <w:p w:rsidR="00000000" w:rsidDel="00000000" w:rsidP="00000000" w:rsidRDefault="00000000" w:rsidRPr="00000000" w14:paraId="00000042">
      <w:pPr>
        <w:numPr>
          <w:ilvl w:val="0"/>
          <w:numId w:val="2"/>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produced by the system should describe and predict populations of interest to an accuracy of above 80%. </w:t>
      </w:r>
    </w:p>
    <w:p w:rsidR="00000000" w:rsidDel="00000000" w:rsidP="00000000" w:rsidRDefault="00000000" w:rsidRPr="00000000" w14:paraId="00000043">
      <w:pPr>
        <w:pStyle w:val="Heading4"/>
        <w:spacing w:line="360" w:lineRule="auto"/>
        <w:rPr/>
      </w:pPr>
      <w:bookmarkStart w:colFirst="0" w:colLast="0" w:name="_6nk1vjgueoo4" w:id="8"/>
      <w:bookmarkEnd w:id="8"/>
      <w:r w:rsidDel="00000000" w:rsidR="00000000" w:rsidRPr="00000000">
        <w:rPr>
          <w:rtl w:val="0"/>
        </w:rPr>
        <w:t xml:space="preserve">Non-Functional Requirements:</w:t>
      </w:r>
    </w:p>
    <w:p w:rsidR="00000000" w:rsidDel="00000000" w:rsidP="00000000" w:rsidRDefault="00000000" w:rsidRPr="00000000" w14:paraId="0000004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non-functional requirements are as follows:</w:t>
      </w:r>
    </w:p>
    <w:p w:rsidR="00000000" w:rsidDel="00000000" w:rsidP="00000000" w:rsidRDefault="00000000" w:rsidRPr="00000000" w14:paraId="00000045">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use a symbolic regression approach to generate each model.</w:t>
      </w:r>
    </w:p>
    <w:p w:rsidR="00000000" w:rsidDel="00000000" w:rsidP="00000000" w:rsidRDefault="00000000" w:rsidRPr="00000000" w14:paraId="00000046">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produced by the system should be less complex than the previous models.</w:t>
      </w:r>
    </w:p>
    <w:p w:rsidR="00000000" w:rsidDel="00000000" w:rsidP="00000000" w:rsidRDefault="00000000" w:rsidRPr="00000000" w14:paraId="00000047">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describing population growth rates should be a function of their own abundance, other species abundance, temperature, and time with respect to significant variables. </w:t>
      </w:r>
    </w:p>
    <w:p w:rsidR="00000000" w:rsidDel="00000000" w:rsidP="00000000" w:rsidRDefault="00000000" w:rsidRPr="00000000" w14:paraId="00000048">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model describing feeding rates of Nucella Ostrina should be a function of prey species abundance, their own abundance, temperature, and time.</w:t>
      </w:r>
    </w:p>
    <w:p w:rsidR="00000000" w:rsidDel="00000000" w:rsidP="00000000" w:rsidRDefault="00000000" w:rsidRPr="00000000" w14:paraId="00000049">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be created using regular communication between the project partner, Mark Novak, and the development team.</w:t>
      </w:r>
    </w:p>
    <w:p w:rsidR="00000000" w:rsidDel="00000000" w:rsidP="00000000" w:rsidRDefault="00000000" w:rsidRPr="00000000" w14:paraId="0000004A">
      <w:pPr>
        <w:numPr>
          <w:ilvl w:val="0"/>
          <w:numId w:val="3"/>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and any code developed to generate the model should be functional, well-documented, and free of software bugs.</w:t>
      </w:r>
    </w:p>
    <w:p w:rsidR="00000000" w:rsidDel="00000000" w:rsidP="00000000" w:rsidRDefault="00000000" w:rsidRPr="00000000" w14:paraId="0000004B">
      <w:pPr>
        <w:numPr>
          <w:ilvl w:val="0"/>
          <w:numId w:val="3"/>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equation(s) derived from the system must be easily understandable to the audience (ecologists).</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Style w:val="Subtitle"/>
        <w:spacing w:after="200" w:lineRule="auto"/>
        <w:jc w:val="center"/>
        <w:rPr/>
      </w:pPr>
      <w:bookmarkStart w:colFirst="0" w:colLast="0" w:name="_94hcz69ervwz" w:id="9"/>
      <w:bookmarkEnd w:id="9"/>
      <w:r w:rsidDel="00000000" w:rsidR="00000000" w:rsidRPr="00000000">
        <w:rPr>
          <w:rtl w:val="0"/>
        </w:rPr>
        <w:t xml:space="preserve">Section 3: Success Measure and Stakeholders</w:t>
      </w:r>
    </w:p>
    <w:p w:rsidR="00000000" w:rsidDel="00000000" w:rsidP="00000000" w:rsidRDefault="00000000" w:rsidRPr="00000000" w14:paraId="0000005E">
      <w:pPr>
        <w:pStyle w:val="Heading3"/>
        <w:shd w:fill="ffffff" w:val="clear"/>
        <w:spacing w:after="180" w:before="180" w:lineRule="auto"/>
        <w:rPr/>
      </w:pPr>
      <w:bookmarkStart w:colFirst="0" w:colLast="0" w:name="_e57ist6ps5dl" w:id="10"/>
      <w:bookmarkEnd w:id="10"/>
      <w:r w:rsidDel="00000000" w:rsidR="00000000" w:rsidRPr="00000000">
        <w:rPr>
          <w:rtl w:val="0"/>
        </w:rPr>
        <w:t xml:space="preserve">3.1. Success Measures </w:t>
      </w:r>
    </w:p>
    <w:p w:rsidR="00000000" w:rsidDel="00000000" w:rsidP="00000000" w:rsidRDefault="00000000" w:rsidRPr="00000000" w14:paraId="0000005F">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project partner, the measure of success for this project is to make notable progress toward deriving equations from machine learning algorithms which accurately describe a population and are easy to understand. From this defined goal, the system must meet the following requirements. </w:t>
      </w:r>
    </w:p>
    <w:p w:rsidR="00000000" w:rsidDel="00000000" w:rsidP="00000000" w:rsidRDefault="00000000" w:rsidRPr="00000000" w14:paraId="00000060">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use Symbolic Regression to obtain 80% accuracy on the provided datasets by the end of the project.</w:t>
      </w:r>
    </w:p>
    <w:p w:rsidR="00000000" w:rsidDel="00000000" w:rsidP="00000000" w:rsidRDefault="00000000" w:rsidRPr="00000000" w14:paraId="00000061">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derived equation should be understandable to the general population, which will be evaluated using a comprehensibility metric which will be determined by user research and a literature review. </w:t>
      </w:r>
    </w:p>
    <w:p w:rsidR="00000000" w:rsidDel="00000000" w:rsidP="00000000" w:rsidRDefault="00000000" w:rsidRPr="00000000" w14:paraId="00000062">
      <w:pPr>
        <w:numPr>
          <w:ilvl w:val="0"/>
          <w:numId w:val="1"/>
        </w:numPr>
        <w:spacing w:after="0" w:after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of the success measures listed above are not satisfied, the system is considered successful if ample documentation and software development are produced for future teams to expand upon.</w:t>
      </w:r>
    </w:p>
    <w:p w:rsidR="00000000" w:rsidDel="00000000" w:rsidP="00000000" w:rsidRDefault="00000000" w:rsidRPr="00000000" w14:paraId="00000063">
      <w:pPr>
        <w:numPr>
          <w:ilvl w:val="0"/>
          <w:numId w:val="1"/>
        </w:numPr>
        <w:spacing w:after="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team delivers the primary project goals before the conclusion of the project, an additional measure of success is to write and publish a scientific report on the system in an ecological research journal.</w:t>
      </w:r>
    </w:p>
    <w:p w:rsidR="00000000" w:rsidDel="00000000" w:rsidP="00000000" w:rsidRDefault="00000000" w:rsidRPr="00000000" w14:paraId="00000064">
      <w:pPr>
        <w:spacing w:after="20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development process for this system, these measures of success are subject to change as more information is researched about existing systems and the provided dataset. For example, the team may opt to experiment with a machine learning technique which differs from symbolic regression if that strategy fails to provide accuracy or comprehensibility. </w:t>
      </w:r>
    </w:p>
    <w:p w:rsidR="00000000" w:rsidDel="00000000" w:rsidP="00000000" w:rsidRDefault="00000000" w:rsidRPr="00000000" w14:paraId="00000065">
      <w:pPr>
        <w:shd w:fill="ffffff" w:val="clear"/>
        <w:spacing w:after="180" w:before="18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3.1.2 Success Measures Changes - 3/14/22</w:t>
      </w:r>
    </w:p>
    <w:p w:rsidR="00000000" w:rsidDel="00000000" w:rsidP="00000000" w:rsidRDefault="00000000" w:rsidRPr="00000000" w14:paraId="00000066">
      <w:pPr>
        <w:shd w:fill="ffffff" w:val="clear"/>
        <w:spacing w:after="180" w:before="1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Instead of having the equation be understandable to the general population (requirement 2), the equation must be understandable to a technical audience that is concerned with our research. After generating some equations and discussing them with the stakeholder, it seems that a general audience would not understand what the equations reflected unless they were familiar with the area of research and the species involved. Therefore, a more technical audience makes more sense. As a result of this, user research to determine comprehensibility of the equations will not be necessary.</w:t>
      </w:r>
      <w:r w:rsidDel="00000000" w:rsidR="00000000" w:rsidRPr="00000000">
        <w:rPr>
          <w:rtl w:val="0"/>
        </w:rPr>
      </w:r>
    </w:p>
    <w:p w:rsidR="00000000" w:rsidDel="00000000" w:rsidP="00000000" w:rsidRDefault="00000000" w:rsidRPr="00000000" w14:paraId="00000067">
      <w:pPr>
        <w:pStyle w:val="Heading3"/>
        <w:shd w:fill="ffffff" w:val="clear"/>
        <w:spacing w:after="180" w:before="180" w:lineRule="auto"/>
        <w:rPr/>
      </w:pPr>
      <w:bookmarkStart w:colFirst="0" w:colLast="0" w:name="_oaigy3m7nyfh" w:id="11"/>
      <w:bookmarkEnd w:id="11"/>
      <w:r w:rsidDel="00000000" w:rsidR="00000000" w:rsidRPr="00000000">
        <w:rPr>
          <w:rtl w:val="0"/>
        </w:rPr>
        <w:t xml:space="preserve">3.2. Stakeholders:</w:t>
      </w:r>
    </w:p>
    <w:p w:rsidR="00000000" w:rsidDel="00000000" w:rsidP="00000000" w:rsidRDefault="00000000" w:rsidRPr="00000000" w14:paraId="00000068">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There are three stakeholders identified for this project. The first is the project partner, Mark Novak, a quantitative ecologist who seeks to use both empirical and theoretic methods to better understand the dynamic of populations and multispecies communities. As the main petitioner for the concept, he wishes to utilize this new technology to provide better and more understandable models for the scientific community. The second stakeholder is identified as the ecologists and other scientists that are likely to utilize or read about the machine learning model through a scientific publication. Finally, the development team has a stake in the project because their capstone course grade and undergraduate graduation depend on the success of their research and development for the system.</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Style w:val="Subtitle"/>
        <w:shd w:fill="ffffff" w:val="clear"/>
        <w:spacing w:after="180" w:before="180" w:lineRule="auto"/>
        <w:jc w:val="center"/>
        <w:rPr/>
      </w:pPr>
      <w:bookmarkStart w:colFirst="0" w:colLast="0" w:name="_nv676q1jfg5e" w:id="12"/>
      <w:bookmarkEnd w:id="12"/>
      <w:r w:rsidDel="00000000" w:rsidR="00000000" w:rsidRPr="00000000">
        <w:rPr>
          <w:rtl w:val="0"/>
        </w:rPr>
        <w:t xml:space="preserve">Section 4: Project Constraints and Risks</w:t>
      </w:r>
    </w:p>
    <w:p w:rsidR="00000000" w:rsidDel="00000000" w:rsidP="00000000" w:rsidRDefault="00000000" w:rsidRPr="00000000" w14:paraId="0000006B">
      <w:pPr>
        <w:pStyle w:val="Heading3"/>
        <w:shd w:fill="ffffff" w:val="clear"/>
        <w:spacing w:after="180" w:before="180" w:lineRule="auto"/>
        <w:rPr/>
      </w:pPr>
      <w:bookmarkStart w:colFirst="0" w:colLast="0" w:name="_2x9fr0pcp3f0" w:id="13"/>
      <w:bookmarkEnd w:id="13"/>
      <w:r w:rsidDel="00000000" w:rsidR="00000000" w:rsidRPr="00000000">
        <w:rPr>
          <w:rtl w:val="0"/>
        </w:rPr>
        <w:t xml:space="preserve">4.1. Constraints:</w:t>
      </w:r>
    </w:p>
    <w:p w:rsidR="00000000" w:rsidDel="00000000" w:rsidP="00000000" w:rsidRDefault="00000000" w:rsidRPr="00000000" w14:paraId="0000006C">
      <w:pPr>
        <w:pStyle w:val="Heading4"/>
        <w:shd w:fill="ffffff" w:val="clear"/>
        <w:spacing w:after="180" w:before="180" w:lineRule="auto"/>
        <w:rPr>
          <w:sz w:val="22"/>
          <w:szCs w:val="22"/>
        </w:rPr>
      </w:pPr>
      <w:bookmarkStart w:colFirst="0" w:colLast="0" w:name="_q0asfp7k5g8" w:id="14"/>
      <w:bookmarkEnd w:id="14"/>
      <w:r w:rsidDel="00000000" w:rsidR="00000000" w:rsidRPr="00000000">
        <w:rPr>
          <w:sz w:val="22"/>
          <w:szCs w:val="22"/>
          <w:rtl w:val="0"/>
        </w:rPr>
        <w:t xml:space="preserve">Time</w:t>
      </w:r>
    </w:p>
    <w:p w:rsidR="00000000" w:rsidDel="00000000" w:rsidP="00000000" w:rsidRDefault="00000000" w:rsidRPr="00000000" w14:paraId="0000006D">
      <w:pPr>
        <w:shd w:fill="ffffff" w:val="clear"/>
        <w:spacing w:after="180" w:before="1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and development must be completed by the end of the 2021-2022 academic year. Due to the pioneering nature of the methodology (symbolic regression for modeling) in this field, general progress toward an understanding of the ecological species in the experiment and the tradeoffs of using machine learning to model abundance data is an indication of success. To specify time constraints for deliverables, Mark and the development team must learn more about the development process for machine-learning symbolic regression models. Thus, primary time constraints are the deadlines for documentation assignments for the Capstone class. The R&amp;D team expects to spend a collective 10-15 hours each week researching, developing, and evaluating the models. This estimate also includes weekly meetings with the assigned TA and primary stakeholder and team Scrum meetings to discuss individual progress. The team will formalize the timeline for deliverables as familiarity with the dataset and symbolic regression increases.</w:t>
      </w:r>
    </w:p>
    <w:p w:rsidR="00000000" w:rsidDel="00000000" w:rsidP="00000000" w:rsidRDefault="00000000" w:rsidRPr="00000000" w14:paraId="0000006E">
      <w:pPr>
        <w:pStyle w:val="Heading4"/>
        <w:shd w:fill="ffffff" w:val="clear"/>
        <w:spacing w:after="180" w:before="180" w:line="360" w:lineRule="auto"/>
        <w:rPr>
          <w:sz w:val="22"/>
          <w:szCs w:val="22"/>
        </w:rPr>
      </w:pPr>
      <w:bookmarkStart w:colFirst="0" w:colLast="0" w:name="_oqdexw725lly" w:id="15"/>
      <w:bookmarkEnd w:id="15"/>
      <w:r w:rsidDel="00000000" w:rsidR="00000000" w:rsidRPr="00000000">
        <w:rPr>
          <w:sz w:val="22"/>
          <w:szCs w:val="22"/>
          <w:rtl w:val="0"/>
        </w:rPr>
        <w:t xml:space="preserve">Resources</w:t>
      </w:r>
    </w:p>
    <w:p w:rsidR="00000000" w:rsidDel="00000000" w:rsidP="00000000" w:rsidRDefault="00000000" w:rsidRPr="00000000" w14:paraId="0000006F">
      <w:pPr>
        <w:shd w:fill="ffffff" w:val="clear"/>
        <w:spacing w:after="180" w:before="180" w:line="360" w:lineRule="auto"/>
        <w:rPr>
          <w:rFonts w:ascii="Times New Roman" w:cs="Times New Roman" w:eastAsia="Times New Roman" w:hAnsi="Times New Roman"/>
          <w:b w:val="1"/>
          <w:color w:val="2d3b45"/>
        </w:rPr>
      </w:pPr>
      <w:r w:rsidDel="00000000" w:rsidR="00000000" w:rsidRPr="00000000">
        <w:rPr>
          <w:rFonts w:ascii="Times New Roman" w:cs="Times New Roman" w:eastAsia="Times New Roman" w:hAnsi="Times New Roman"/>
          <w:rtl w:val="0"/>
        </w:rPr>
        <w:t xml:space="preserve">The only resources available are the resources that each member possesses and free services that Oregon State University provides to students. Mark Novak will be consulted for clarification on project requirements. The team will also refer to free online forums and professors who can provide support for model development. The National Science Foundation is no longer funding this project, so the team has no budget. Given the scope of this project, the lack of funding is not expected to be a problem.</w:t>
      </w:r>
      <w:r w:rsidDel="00000000" w:rsidR="00000000" w:rsidRPr="00000000">
        <w:rPr>
          <w:rtl w:val="0"/>
        </w:rPr>
      </w:r>
    </w:p>
    <w:p w:rsidR="00000000" w:rsidDel="00000000" w:rsidP="00000000" w:rsidRDefault="00000000" w:rsidRPr="00000000" w14:paraId="00000070">
      <w:pPr>
        <w:pStyle w:val="Heading4"/>
        <w:shd w:fill="ffffff" w:val="clear"/>
        <w:spacing w:after="180" w:before="180" w:lineRule="auto"/>
        <w:rPr>
          <w:sz w:val="22"/>
          <w:szCs w:val="22"/>
        </w:rPr>
      </w:pPr>
      <w:bookmarkStart w:colFirst="0" w:colLast="0" w:name="_i62k1x5unpca" w:id="16"/>
      <w:bookmarkEnd w:id="16"/>
      <w:r w:rsidDel="00000000" w:rsidR="00000000" w:rsidRPr="00000000">
        <w:rPr>
          <w:sz w:val="22"/>
          <w:szCs w:val="22"/>
          <w:rtl w:val="0"/>
        </w:rPr>
        <w:t xml:space="preserve">Scope</w:t>
      </w:r>
    </w:p>
    <w:p w:rsidR="00000000" w:rsidDel="00000000" w:rsidP="00000000" w:rsidRDefault="00000000" w:rsidRPr="00000000" w14:paraId="00000071">
      <w:pPr>
        <w:shd w:fill="ffffff" w:val="clear"/>
        <w:spacing w:after="180" w:before="1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scope for this project is flexible. Mark defined his measure of success to be any progress made toward an understandable equation to define population dynamics as observed by a three-year field experiment. A few stretch goals were mentioned in the case that a functional solution is successfully created using symbolic regression. The first is to test the produced model against existing solutions and similar datasets to see how the equation and ML algorithm compare. The second is to collaboratively write a paper to be published in a scientific journal detailing the work from the course of the project.</w:t>
      </w:r>
    </w:p>
    <w:p w:rsidR="00000000" w:rsidDel="00000000" w:rsidP="00000000" w:rsidRDefault="00000000" w:rsidRPr="00000000" w14:paraId="00000072">
      <w:pPr>
        <w:pStyle w:val="Heading3"/>
        <w:rPr/>
      </w:pPr>
      <w:bookmarkStart w:colFirst="0" w:colLast="0" w:name="_ot1gi1v5xpw5" w:id="17"/>
      <w:bookmarkEnd w:id="17"/>
      <w:r w:rsidDel="00000000" w:rsidR="00000000" w:rsidRPr="00000000">
        <w:rPr>
          <w:rtl w:val="0"/>
        </w:rPr>
        <w:t xml:space="preserve">4.2. Risk Management</w:t>
      </w:r>
    </w:p>
    <w:tbl>
      <w:tblPr>
        <w:tblStyle w:val="Table1"/>
        <w:tblW w:w="10755.0" w:type="dxa"/>
        <w:jc w:val="left"/>
        <w:tblInd w:w="-6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885"/>
        <w:gridCol w:w="1005"/>
        <w:gridCol w:w="2025"/>
        <w:gridCol w:w="2100"/>
        <w:gridCol w:w="2040"/>
        <w:tblGridChange w:id="0">
          <w:tblGrid>
            <w:gridCol w:w="2700"/>
            <w:gridCol w:w="885"/>
            <w:gridCol w:w="1005"/>
            <w:gridCol w:w="2025"/>
            <w:gridCol w:w="2100"/>
            <w:gridCol w:w="2040"/>
          </w:tblGrid>
        </w:tblGridChange>
      </w:tblGrid>
      <w:tr>
        <w:trPr>
          <w:cantSplit w:val="0"/>
          <w:tblHeader w:val="0"/>
        </w:trPr>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Impact</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Mitigation Strategy</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Early Detection</w:t>
            </w:r>
          </w:p>
        </w:tc>
        <w:tc>
          <w:tcPr>
            <w:tcBorders>
              <w:bottom w:color="000000" w:space="0" w:sz="1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The deadline may not be possible with the size of the minimal required scope of the project.</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To mitigate this, a review of current progress and an update to the plan will be done on a weekly basis so more resources can be brought in if required to accomplish the minimal required scope on time. Each update will provide an opportunity to assess current progress and decide if the project should move forward or if it should be scrapped or postponed</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Weekly plan updates result in an iteration plan that goes beyond the deadline.</w:t>
            </w:r>
            <w:r w:rsidDel="00000000" w:rsidR="00000000" w:rsidRPr="00000000">
              <w:rPr>
                <w:rtl w:val="0"/>
              </w:rPr>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d3b45"/>
                <w:sz w:val="24"/>
                <w:szCs w:val="24"/>
                <w:rtl w:val="0"/>
              </w:rPr>
              <w:t xml:space="preserve">Should the mitigation strategy fail to prevent/avoid the risk, the project may be scrapped without any solution being deployed.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 gets covid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 will serve as a hub for remote communication, so it should be easy to stay in touch and ensure deliverables are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Frequent communication is expected from each member. Members will notify each other of any illness.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may be slightly lower during this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less than 80%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design model, the method of improving model accuracy will be considered.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establishment of the model, output (print) the corresponding precision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predicted by the model may be largely inconsistent with the actual situation, so the project could not be used for experimental analysis</w:t>
            </w:r>
          </w:p>
        </w:tc>
      </w:tr>
    </w:tbl>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Subtitle"/>
        <w:shd w:fill="ffffff" w:val="clear"/>
        <w:spacing w:after="180" w:before="180" w:lineRule="auto"/>
        <w:rPr/>
      </w:pPr>
      <w:bookmarkStart w:colFirst="0" w:colLast="0" w:name="_mg6tvvpxra3i" w:id="18"/>
      <w:bookmarkEnd w:id="18"/>
      <w:r w:rsidDel="00000000" w:rsidR="00000000" w:rsidRPr="00000000">
        <w:rPr>
          <w:rtl w:val="0"/>
        </w:rPr>
        <w:t xml:space="preserve">Section 5: Iteration Plan and Estimate</w:t>
      </w:r>
    </w:p>
    <w:p w:rsidR="00000000" w:rsidDel="00000000" w:rsidP="00000000" w:rsidRDefault="00000000" w:rsidRPr="00000000" w14:paraId="000000B1">
      <w:pPr>
        <w:shd w:fill="ffffff" w:val="clear"/>
        <w:spacing w:after="180" w:before="180" w:line="360" w:lineRule="auto"/>
        <w:ind w:firstLine="720"/>
        <w:rPr>
          <w:rFonts w:ascii="Times New Roman" w:cs="Times New Roman" w:eastAsia="Times New Roman" w:hAnsi="Times New Roman"/>
          <w:color w:val="2d3b45"/>
        </w:rPr>
      </w:pPr>
      <w:r w:rsidDel="00000000" w:rsidR="00000000" w:rsidRPr="00000000">
        <w:rPr>
          <w:rFonts w:ascii="Times New Roman" w:cs="Times New Roman" w:eastAsia="Times New Roman" w:hAnsi="Times New Roman"/>
          <w:color w:val="2d3b45"/>
          <w:rtl w:val="0"/>
        </w:rPr>
        <w:t xml:space="preserve">Our individual iteration plans can be found in our previously submitted WIC’s. Submitted with this file is a copy of our spreadsheet containing a week by week task list in the form of a Gantt Chart. We have structured this model off of our current understanding of the project, which is likely to change over the course of the next term. We have this time allocated in two-week long sprints instead of the assumed three week style; we chose this to better align with a 10 week long term and allow for more adaptability in case we need to make changes over the course of the project. We aim to be testing models during much of the Winter term, nearing completion during weeks 9 and 10. We have included both a link to the spreadsheet in this document as well as an image of the Gantt Chart. </w:t>
      </w:r>
    </w:p>
    <w:p w:rsidR="00000000" w:rsidDel="00000000" w:rsidP="00000000" w:rsidRDefault="00000000" w:rsidRPr="00000000" w14:paraId="000000B2">
      <w:pPr>
        <w:shd w:fill="ffffff" w:val="clear"/>
        <w:spacing w:after="180" w:before="180" w:lineRule="auto"/>
        <w:rPr>
          <w:rFonts w:ascii="Times New Roman" w:cs="Times New Roman" w:eastAsia="Times New Roman" w:hAnsi="Times New Roman"/>
          <w:color w:val="2d3b45"/>
          <w:sz w:val="24"/>
          <w:szCs w:val="24"/>
        </w:rPr>
      </w:pPr>
      <w:r w:rsidDel="00000000" w:rsidR="00000000" w:rsidRPr="00000000">
        <w:rPr>
          <w:rFonts w:ascii="Times New Roman" w:cs="Times New Roman" w:eastAsia="Times New Roman" w:hAnsi="Times New Roman"/>
          <w:color w:val="2d3b45"/>
          <w:sz w:val="24"/>
          <w:szCs w:val="24"/>
          <w:rtl w:val="0"/>
        </w:rPr>
        <w:t xml:space="preserve">Gantt Chart Link: </w:t>
      </w:r>
      <w:hyperlink r:id="rId8">
        <w:r w:rsidDel="00000000" w:rsidR="00000000" w:rsidRPr="00000000">
          <w:rPr>
            <w:color w:val="0000ee"/>
            <w:u w:val="single"/>
            <w:shd w:fill="auto" w:val="clear"/>
            <w:rtl w:val="0"/>
          </w:rPr>
          <w:t xml:space="preserve">Gantt Chart Section 5</w:t>
        </w:r>
      </w:hyperlink>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-795337</wp:posOffset>
            </wp:positionH>
            <wp:positionV relativeFrom="paragraph">
              <wp:posOffset>341393</wp:posOffset>
            </wp:positionV>
            <wp:extent cx="7529513" cy="594100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529513" cy="5941008"/>
                    </a:xfrm>
                    <a:prstGeom prst="rect"/>
                    <a:ln/>
                  </pic:spPr>
                </pic:pic>
              </a:graphicData>
            </a:graphic>
          </wp:anchor>
        </w:drawing>
      </w:r>
    </w:p>
    <w:p w:rsidR="00000000" w:rsidDel="00000000" w:rsidP="00000000" w:rsidRDefault="00000000" w:rsidRPr="00000000" w14:paraId="000000B3">
      <w:pPr>
        <w:shd w:fill="ffffff" w:val="clear"/>
        <w:spacing w:after="180" w:before="18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5.2 Iteration Plan and Estimate Changes - 3/14/22</w:t>
      </w:r>
    </w:p>
    <w:p w:rsidR="00000000" w:rsidDel="00000000" w:rsidP="00000000" w:rsidRDefault="00000000" w:rsidRPr="00000000" w14:paraId="000000B4">
      <w:pPr>
        <w:shd w:fill="ffffff" w:val="clear"/>
        <w:spacing w:after="180" w:before="18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One major change we will be making to this section is that model development will continue for the first four weeks of spring term rather than completing at the end of winter like we originally planned for. This derivation from the initial draft should not harm our ability to complete deliverables by the required deadlines as we designed our project timeline with flexibility at the forefront. </w:t>
      </w:r>
    </w:p>
    <w:p w:rsidR="00000000" w:rsidDel="00000000" w:rsidP="00000000" w:rsidRDefault="00000000" w:rsidRPr="00000000" w14:paraId="000000B5">
      <w:pPr>
        <w:shd w:fill="ffffff" w:val="clear"/>
        <w:spacing w:after="180" w:before="180" w:line="36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A small change that was made is that the project partner updated new temperature data with daily average and we only needed to update the new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00" w:before="280" w:line="36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spacing w:line="36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200" w:lineRule="auto"/>
      <w:jc w:val="center"/>
    </w:pPr>
    <w:rPr>
      <w:rFonts w:ascii="Times New Roman" w:cs="Times New Roman" w:eastAsia="Times New Roman" w:hAnsi="Times New Roman"/>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nverts.wallawalla.edu/Arthropoda/Crustacea/Maxillopoda/Cirripedia/Balanus_glandula.html" TargetMode="External"/><Relationship Id="rId7" Type="http://schemas.openxmlformats.org/officeDocument/2006/relationships/hyperlink" Target="https://www.centralcoastbiodiversity.org/goose-neck-barnacle-bull-pollicipes-polymerus.html" TargetMode="External"/><Relationship Id="rId8" Type="http://schemas.openxmlformats.org/officeDocument/2006/relationships/hyperlink" Target="https://docs.google.com/spreadsheets/d/1i3fhstHsAJO9UC_Jn-h_lQkuTvrphv0yGD_DDu9KeD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