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C2C8A" w14:textId="51A25564" w:rsidR="006A381A" w:rsidRPr="006963A7" w:rsidRDefault="005A0D15" w:rsidP="00F11A8F">
      <w:pPr>
        <w:spacing w:line="360" w:lineRule="auto"/>
        <w:contextualSpacing/>
        <w:rPr>
          <w:b/>
          <w:sz w:val="32"/>
          <w:szCs w:val="20"/>
        </w:rPr>
      </w:pPr>
      <w:r>
        <w:rPr>
          <w:b/>
          <w:sz w:val="32"/>
          <w:szCs w:val="20"/>
        </w:rPr>
        <w:t xml:space="preserve">Systematic </w:t>
      </w:r>
      <w:r w:rsidR="00BF0224">
        <w:rPr>
          <w:b/>
          <w:sz w:val="32"/>
          <w:szCs w:val="20"/>
        </w:rPr>
        <w:t>Chemog</w:t>
      </w:r>
      <w:r w:rsidR="006A381A" w:rsidRPr="006963A7">
        <w:rPr>
          <w:b/>
          <w:sz w:val="32"/>
          <w:szCs w:val="20"/>
        </w:rPr>
        <w:t>enetic</w:t>
      </w:r>
      <w:r w:rsidR="00176954">
        <w:rPr>
          <w:b/>
          <w:sz w:val="32"/>
          <w:szCs w:val="20"/>
        </w:rPr>
        <w:t xml:space="preserve"> </w:t>
      </w:r>
      <w:r w:rsidR="00BF0224">
        <w:rPr>
          <w:b/>
          <w:sz w:val="32"/>
          <w:szCs w:val="20"/>
        </w:rPr>
        <w:t>Library</w:t>
      </w:r>
      <w:r>
        <w:rPr>
          <w:b/>
          <w:sz w:val="32"/>
          <w:szCs w:val="20"/>
        </w:rPr>
        <w:t xml:space="preserve"> Assembly</w:t>
      </w:r>
    </w:p>
    <w:p w14:paraId="52857B5B" w14:textId="380C2C38" w:rsidR="005B2BB0" w:rsidRPr="0093410D" w:rsidRDefault="005B2BB0" w:rsidP="005B2BB0">
      <w:pPr>
        <w:spacing w:line="360" w:lineRule="auto"/>
        <w:ind w:firstLine="720"/>
        <w:contextualSpacing/>
        <w:jc w:val="both"/>
        <w:rPr>
          <w:rFonts w:ascii="Arial" w:hAnsi="Arial" w:cs="Arial"/>
          <w:i/>
          <w:sz w:val="20"/>
          <w:szCs w:val="20"/>
        </w:rPr>
      </w:pPr>
      <w:r w:rsidRPr="0093410D">
        <w:rPr>
          <w:rFonts w:ascii="Arial" w:hAnsi="Arial" w:cs="Arial"/>
          <w:i/>
          <w:sz w:val="20"/>
          <w:szCs w:val="20"/>
        </w:rPr>
        <w:t>The assembly of chemo</w:t>
      </w:r>
      <w:r w:rsidR="002C44C4">
        <w:rPr>
          <w:rFonts w:ascii="Arial" w:hAnsi="Arial" w:cs="Arial"/>
          <w:i/>
          <w:sz w:val="20"/>
          <w:szCs w:val="20"/>
        </w:rPr>
        <w:t>genetic libraries composed</w:t>
      </w:r>
      <w:r w:rsidRPr="0093410D">
        <w:rPr>
          <w:rFonts w:ascii="Arial" w:hAnsi="Arial" w:cs="Arial"/>
          <w:i/>
          <w:sz w:val="20"/>
          <w:szCs w:val="20"/>
        </w:rPr>
        <w:t xml:space="preserve"> of chemical probes provides tremendous value to biomedical research</w:t>
      </w:r>
      <w:r w:rsidR="00CD4B1D">
        <w:rPr>
          <w:rFonts w:ascii="Arial" w:hAnsi="Arial" w:cs="Arial"/>
          <w:i/>
          <w:sz w:val="20"/>
          <w:szCs w:val="20"/>
        </w:rPr>
        <w:t>,</w:t>
      </w:r>
      <w:r w:rsidRPr="0093410D">
        <w:rPr>
          <w:rFonts w:ascii="Arial" w:hAnsi="Arial" w:cs="Arial"/>
          <w:i/>
          <w:sz w:val="20"/>
          <w:szCs w:val="20"/>
        </w:rPr>
        <w:t xml:space="preserve"> but requires </w:t>
      </w:r>
      <w:r w:rsidR="004A0997" w:rsidRPr="0093410D">
        <w:rPr>
          <w:rFonts w:ascii="Arial" w:hAnsi="Arial" w:cs="Arial"/>
          <w:i/>
          <w:sz w:val="20"/>
          <w:szCs w:val="20"/>
        </w:rPr>
        <w:t>substantial</w:t>
      </w:r>
      <w:r w:rsidRPr="0093410D">
        <w:rPr>
          <w:rFonts w:ascii="Arial" w:hAnsi="Arial" w:cs="Arial"/>
          <w:i/>
          <w:sz w:val="20"/>
          <w:szCs w:val="20"/>
        </w:rPr>
        <w:t xml:space="preserve"> effort to ensure diversity as well as quality of the contents. We </w:t>
      </w:r>
      <w:r w:rsidR="005A0D15">
        <w:rPr>
          <w:rFonts w:ascii="Arial" w:hAnsi="Arial" w:cs="Arial"/>
          <w:i/>
          <w:sz w:val="20"/>
          <w:szCs w:val="20"/>
        </w:rPr>
        <w:t>are assembling</w:t>
      </w:r>
      <w:r w:rsidRPr="0093410D">
        <w:rPr>
          <w:rFonts w:ascii="Arial" w:hAnsi="Arial" w:cs="Arial"/>
          <w:i/>
          <w:sz w:val="20"/>
          <w:szCs w:val="20"/>
        </w:rPr>
        <w:t xml:space="preserve"> a chemogenetic library by data mining and crowdsourcing institutional expertise. We are sharing our methodology, lessons learned, and disclosing our </w:t>
      </w:r>
      <w:r w:rsidR="005A0D15">
        <w:rPr>
          <w:rFonts w:ascii="Arial" w:hAnsi="Arial" w:cs="Arial"/>
          <w:i/>
          <w:sz w:val="20"/>
          <w:szCs w:val="20"/>
        </w:rPr>
        <w:t xml:space="preserve">current </w:t>
      </w:r>
      <w:r w:rsidRPr="0093410D">
        <w:rPr>
          <w:rFonts w:ascii="Arial" w:hAnsi="Arial" w:cs="Arial"/>
          <w:i/>
          <w:sz w:val="20"/>
          <w:szCs w:val="20"/>
        </w:rPr>
        <w:t>collection of 4</w:t>
      </w:r>
      <w:r w:rsidR="00D218C8">
        <w:rPr>
          <w:rFonts w:ascii="Arial" w:hAnsi="Arial" w:cs="Arial"/>
          <w:i/>
          <w:sz w:val="20"/>
          <w:szCs w:val="20"/>
        </w:rPr>
        <w:t>186</w:t>
      </w:r>
      <w:r w:rsidRPr="0093410D">
        <w:rPr>
          <w:rFonts w:ascii="Arial" w:hAnsi="Arial" w:cs="Arial"/>
          <w:i/>
          <w:sz w:val="20"/>
          <w:szCs w:val="20"/>
        </w:rPr>
        <w:t xml:space="preserve"> compounds with</w:t>
      </w:r>
      <w:r w:rsidR="00CD4B1D">
        <w:rPr>
          <w:rFonts w:ascii="Arial" w:hAnsi="Arial" w:cs="Arial"/>
          <w:i/>
          <w:sz w:val="20"/>
          <w:szCs w:val="20"/>
        </w:rPr>
        <w:t xml:space="preserve"> their</w:t>
      </w:r>
      <w:r w:rsidRPr="0093410D">
        <w:rPr>
          <w:rFonts w:ascii="Arial" w:hAnsi="Arial" w:cs="Arial"/>
          <w:i/>
          <w:sz w:val="20"/>
          <w:szCs w:val="20"/>
        </w:rPr>
        <w:t xml:space="preserve"> primary annotated gene targets. </w:t>
      </w:r>
    </w:p>
    <w:p w14:paraId="65DA2800" w14:textId="77777777" w:rsidR="006963A7" w:rsidRDefault="006963A7" w:rsidP="00806135">
      <w:pPr>
        <w:spacing w:line="360" w:lineRule="auto"/>
        <w:contextualSpacing/>
        <w:rPr>
          <w:rFonts w:ascii="Arial" w:hAnsi="Arial" w:cs="Arial"/>
          <w:b/>
          <w:bCs/>
          <w:sz w:val="20"/>
          <w:szCs w:val="20"/>
        </w:rPr>
      </w:pPr>
    </w:p>
    <w:p w14:paraId="7D3D6EF3" w14:textId="38DD2B6A" w:rsidR="007B64A4" w:rsidRPr="00806135" w:rsidRDefault="000C3398" w:rsidP="00806135">
      <w:pPr>
        <w:spacing w:line="360" w:lineRule="auto"/>
        <w:contextualSpacing/>
        <w:rPr>
          <w:rFonts w:ascii="Arial" w:hAnsi="Arial" w:cs="Arial"/>
          <w:b/>
          <w:bCs/>
          <w:sz w:val="20"/>
          <w:szCs w:val="20"/>
        </w:rPr>
      </w:pPr>
      <w:r w:rsidRPr="00B0600B">
        <w:rPr>
          <w:rFonts w:ascii="Arial" w:hAnsi="Arial" w:cs="Arial"/>
          <w:b/>
          <w:bCs/>
          <w:sz w:val="20"/>
          <w:szCs w:val="20"/>
        </w:rPr>
        <w:t xml:space="preserve">Stephen </w:t>
      </w:r>
      <w:r w:rsidR="00B61FED" w:rsidRPr="00B0600B">
        <w:rPr>
          <w:rFonts w:ascii="Arial" w:hAnsi="Arial" w:cs="Arial"/>
          <w:b/>
          <w:bCs/>
          <w:sz w:val="20"/>
          <w:szCs w:val="20"/>
        </w:rPr>
        <w:t xml:space="preserve">M. </w:t>
      </w:r>
      <w:r w:rsidRPr="00B0600B">
        <w:rPr>
          <w:rFonts w:ascii="Arial" w:hAnsi="Arial" w:cs="Arial"/>
          <w:b/>
          <w:bCs/>
          <w:sz w:val="20"/>
          <w:szCs w:val="20"/>
        </w:rPr>
        <w:t>Canham</w:t>
      </w:r>
      <w:r w:rsidR="00806135" w:rsidRPr="00B0600B">
        <w:rPr>
          <w:rFonts w:ascii="Arial" w:hAnsi="Arial" w:cs="Arial"/>
          <w:bCs/>
          <w:i/>
          <w:sz w:val="20"/>
          <w:szCs w:val="20"/>
          <w:vertAlign w:val="superscript"/>
        </w:rPr>
        <w:t>1</w:t>
      </w:r>
      <w:r w:rsidR="008E6263" w:rsidRPr="00395713">
        <w:rPr>
          <w:rFonts w:ascii="Arial" w:hAnsi="Arial" w:cs="Arial"/>
          <w:bCs/>
          <w:sz w:val="20"/>
          <w:szCs w:val="20"/>
        </w:rPr>
        <w:t>*</w:t>
      </w:r>
      <w:r w:rsidRPr="00B0600B">
        <w:rPr>
          <w:rFonts w:ascii="Arial" w:hAnsi="Arial" w:cs="Arial"/>
          <w:b/>
          <w:bCs/>
          <w:sz w:val="20"/>
          <w:szCs w:val="20"/>
        </w:rPr>
        <w:t xml:space="preserve">, </w:t>
      </w:r>
      <w:r w:rsidR="00C14147" w:rsidRPr="00B0600B">
        <w:rPr>
          <w:rFonts w:ascii="Arial" w:hAnsi="Arial" w:cs="Arial"/>
          <w:b/>
          <w:bCs/>
          <w:sz w:val="20"/>
          <w:szCs w:val="20"/>
        </w:rPr>
        <w:t>Yuan Wang</w:t>
      </w:r>
      <w:r w:rsidR="00806135" w:rsidRPr="00B0600B">
        <w:rPr>
          <w:rFonts w:ascii="Arial" w:hAnsi="Arial" w:cs="Arial"/>
          <w:bCs/>
          <w:i/>
          <w:sz w:val="20"/>
          <w:szCs w:val="20"/>
          <w:vertAlign w:val="superscript"/>
        </w:rPr>
        <w:t>1</w:t>
      </w:r>
      <w:r w:rsidR="00C14147" w:rsidRPr="00B0600B">
        <w:rPr>
          <w:rFonts w:ascii="Arial" w:hAnsi="Arial" w:cs="Arial"/>
          <w:b/>
          <w:bCs/>
          <w:sz w:val="20"/>
          <w:szCs w:val="20"/>
        </w:rPr>
        <w:t xml:space="preserve">, </w:t>
      </w:r>
      <w:r w:rsidR="00C01905" w:rsidRPr="00B0600B">
        <w:rPr>
          <w:rFonts w:ascii="Arial" w:hAnsi="Arial" w:cs="Arial"/>
          <w:b/>
          <w:bCs/>
          <w:sz w:val="20"/>
          <w:szCs w:val="20"/>
        </w:rPr>
        <w:t>Allen Cornett</w:t>
      </w:r>
      <w:r w:rsidR="00806135" w:rsidRPr="00B0600B">
        <w:rPr>
          <w:rFonts w:ascii="Arial" w:hAnsi="Arial" w:cs="Arial"/>
          <w:bCs/>
          <w:i/>
          <w:sz w:val="20"/>
          <w:szCs w:val="20"/>
          <w:vertAlign w:val="superscript"/>
        </w:rPr>
        <w:t>1</w:t>
      </w:r>
      <w:r w:rsidR="00C01905" w:rsidRPr="00B0600B">
        <w:rPr>
          <w:rFonts w:ascii="Arial" w:hAnsi="Arial" w:cs="Arial"/>
          <w:b/>
          <w:bCs/>
          <w:sz w:val="20"/>
          <w:szCs w:val="20"/>
        </w:rPr>
        <w:t xml:space="preserve">, </w:t>
      </w:r>
      <w:r w:rsidR="00C14147" w:rsidRPr="00B0600B">
        <w:rPr>
          <w:rFonts w:ascii="Arial" w:hAnsi="Arial" w:cs="Arial"/>
          <w:b/>
          <w:bCs/>
          <w:sz w:val="20"/>
          <w:szCs w:val="20"/>
        </w:rPr>
        <w:t>Doug</w:t>
      </w:r>
      <w:r w:rsidR="00DE0232">
        <w:rPr>
          <w:rFonts w:ascii="Arial" w:hAnsi="Arial" w:cs="Arial"/>
          <w:b/>
          <w:bCs/>
          <w:sz w:val="20"/>
          <w:szCs w:val="20"/>
        </w:rPr>
        <w:t>las S.</w:t>
      </w:r>
      <w:r w:rsidR="00C14147" w:rsidRPr="00B0600B">
        <w:rPr>
          <w:rFonts w:ascii="Arial" w:hAnsi="Arial" w:cs="Arial"/>
          <w:b/>
          <w:bCs/>
          <w:sz w:val="20"/>
          <w:szCs w:val="20"/>
        </w:rPr>
        <w:t xml:space="preserve"> Auld</w:t>
      </w:r>
      <w:r w:rsidR="00806135" w:rsidRPr="00B0600B">
        <w:rPr>
          <w:rFonts w:ascii="Arial" w:hAnsi="Arial" w:cs="Arial"/>
          <w:bCs/>
          <w:i/>
          <w:sz w:val="20"/>
          <w:szCs w:val="20"/>
          <w:vertAlign w:val="superscript"/>
        </w:rPr>
        <w:t>1</w:t>
      </w:r>
      <w:r w:rsidR="006E70C2" w:rsidRPr="00395713">
        <w:rPr>
          <w:rFonts w:ascii="Arial" w:hAnsi="Arial" w:cs="Arial"/>
          <w:bCs/>
          <w:sz w:val="20"/>
          <w:szCs w:val="20"/>
        </w:rPr>
        <w:t>*</w:t>
      </w:r>
      <w:r w:rsidR="00C14147" w:rsidRPr="00B0600B">
        <w:rPr>
          <w:rFonts w:ascii="Arial" w:hAnsi="Arial" w:cs="Arial"/>
          <w:b/>
          <w:bCs/>
          <w:sz w:val="20"/>
          <w:szCs w:val="20"/>
        </w:rPr>
        <w:t xml:space="preserve">, </w:t>
      </w:r>
      <w:r w:rsidR="790D1096" w:rsidRPr="00B0600B">
        <w:rPr>
          <w:rFonts w:ascii="Arial" w:hAnsi="Arial" w:cs="Arial"/>
          <w:b/>
          <w:bCs/>
          <w:sz w:val="20"/>
          <w:szCs w:val="20"/>
        </w:rPr>
        <w:t>Daniel</w:t>
      </w:r>
      <w:r w:rsidR="00AA3B17" w:rsidRPr="00B0600B">
        <w:rPr>
          <w:rFonts w:ascii="Arial" w:hAnsi="Arial" w:cs="Arial"/>
          <w:b/>
          <w:bCs/>
          <w:sz w:val="20"/>
          <w:szCs w:val="20"/>
        </w:rPr>
        <w:t xml:space="preserve"> K.</w:t>
      </w:r>
      <w:r w:rsidR="790D1096" w:rsidRPr="00B0600B">
        <w:rPr>
          <w:rFonts w:ascii="Arial" w:hAnsi="Arial" w:cs="Arial"/>
          <w:b/>
          <w:bCs/>
          <w:sz w:val="20"/>
          <w:szCs w:val="20"/>
        </w:rPr>
        <w:t xml:space="preserve"> B</w:t>
      </w:r>
      <w:r w:rsidR="49A0AA1B" w:rsidRPr="00B0600B">
        <w:rPr>
          <w:rFonts w:ascii="Arial" w:hAnsi="Arial" w:cs="Arial"/>
          <w:b/>
          <w:bCs/>
          <w:sz w:val="20"/>
          <w:szCs w:val="20"/>
        </w:rPr>
        <w:t>aeschlin</w:t>
      </w:r>
      <w:r w:rsidR="00806135" w:rsidRPr="00B0600B">
        <w:rPr>
          <w:rStyle w:val="normaltextrun1"/>
          <w:rFonts w:ascii="Arial" w:hAnsi="Arial" w:cs="Arial"/>
          <w:i/>
          <w:sz w:val="20"/>
          <w:szCs w:val="20"/>
          <w:vertAlign w:val="superscript"/>
        </w:rPr>
        <w:t>2</w:t>
      </w:r>
      <w:r w:rsidR="49A0AA1B" w:rsidRPr="00B0600B">
        <w:rPr>
          <w:rFonts w:ascii="Arial" w:hAnsi="Arial" w:cs="Arial"/>
          <w:b/>
          <w:bCs/>
          <w:sz w:val="20"/>
          <w:szCs w:val="20"/>
        </w:rPr>
        <w:t xml:space="preserve">, </w:t>
      </w:r>
      <w:r w:rsidR="75C2C61C" w:rsidRPr="00B0600B">
        <w:rPr>
          <w:rFonts w:ascii="Arial" w:hAnsi="Arial" w:cs="Arial"/>
          <w:b/>
          <w:bCs/>
          <w:sz w:val="20"/>
          <w:szCs w:val="20"/>
        </w:rPr>
        <w:t>Maude Patoor</w:t>
      </w:r>
      <w:r w:rsidR="00806135" w:rsidRPr="00B0600B">
        <w:rPr>
          <w:rStyle w:val="normaltextrun1"/>
          <w:rFonts w:ascii="Arial" w:hAnsi="Arial" w:cs="Arial"/>
          <w:i/>
          <w:sz w:val="20"/>
          <w:szCs w:val="20"/>
          <w:vertAlign w:val="superscript"/>
        </w:rPr>
        <w:t>2</w:t>
      </w:r>
      <w:r w:rsidR="75C2C61C" w:rsidRPr="00B0600B">
        <w:rPr>
          <w:rFonts w:ascii="Arial" w:hAnsi="Arial" w:cs="Arial"/>
          <w:b/>
          <w:bCs/>
          <w:sz w:val="20"/>
          <w:szCs w:val="20"/>
        </w:rPr>
        <w:t xml:space="preserve">, </w:t>
      </w:r>
      <w:r w:rsidR="00C01905" w:rsidRPr="00B0600B">
        <w:rPr>
          <w:rFonts w:ascii="Arial" w:hAnsi="Arial" w:cs="Arial"/>
          <w:b/>
          <w:bCs/>
          <w:sz w:val="20"/>
          <w:szCs w:val="20"/>
        </w:rPr>
        <w:t xml:space="preserve">Philip </w:t>
      </w:r>
      <w:r w:rsidR="00AA3B17" w:rsidRPr="00B0600B">
        <w:rPr>
          <w:rFonts w:ascii="Arial" w:hAnsi="Arial" w:cs="Arial"/>
          <w:b/>
          <w:bCs/>
          <w:sz w:val="20"/>
          <w:szCs w:val="20"/>
        </w:rPr>
        <w:t xml:space="preserve">R. </w:t>
      </w:r>
      <w:r w:rsidR="00C01905" w:rsidRPr="00B0600B">
        <w:rPr>
          <w:rFonts w:ascii="Arial" w:hAnsi="Arial" w:cs="Arial"/>
          <w:b/>
          <w:bCs/>
          <w:sz w:val="20"/>
          <w:szCs w:val="20"/>
        </w:rPr>
        <w:t>Skaanderup</w:t>
      </w:r>
      <w:r w:rsidR="00806135" w:rsidRPr="00B0600B">
        <w:rPr>
          <w:rStyle w:val="normaltextrun1"/>
          <w:rFonts w:ascii="Arial" w:hAnsi="Arial" w:cs="Arial"/>
          <w:i/>
          <w:sz w:val="20"/>
          <w:szCs w:val="20"/>
          <w:vertAlign w:val="superscript"/>
        </w:rPr>
        <w:t>2</w:t>
      </w:r>
      <w:r w:rsidR="00C01905" w:rsidRPr="00B0600B">
        <w:rPr>
          <w:rFonts w:ascii="Arial" w:hAnsi="Arial" w:cs="Arial"/>
          <w:b/>
          <w:bCs/>
          <w:sz w:val="20"/>
          <w:szCs w:val="20"/>
        </w:rPr>
        <w:t xml:space="preserve">, </w:t>
      </w:r>
      <w:r w:rsidR="75C2C61C" w:rsidRPr="00B0600B">
        <w:rPr>
          <w:rFonts w:ascii="Arial" w:hAnsi="Arial" w:cs="Arial"/>
          <w:b/>
          <w:bCs/>
          <w:sz w:val="20"/>
          <w:szCs w:val="20"/>
        </w:rPr>
        <w:t>Ayako Honda</w:t>
      </w:r>
      <w:r w:rsidR="00806135" w:rsidRPr="00B0600B">
        <w:rPr>
          <w:rFonts w:ascii="Arial" w:hAnsi="Arial" w:cs="Arial"/>
          <w:bCs/>
          <w:i/>
          <w:sz w:val="20"/>
          <w:szCs w:val="20"/>
          <w:vertAlign w:val="superscript"/>
        </w:rPr>
        <w:t>1</w:t>
      </w:r>
      <w:r w:rsidR="75C2C61C" w:rsidRPr="00B0600B">
        <w:rPr>
          <w:rFonts w:ascii="Arial" w:hAnsi="Arial" w:cs="Arial"/>
          <w:b/>
          <w:bCs/>
          <w:sz w:val="20"/>
          <w:szCs w:val="20"/>
        </w:rPr>
        <w:t xml:space="preserve">, </w:t>
      </w:r>
      <w:r w:rsidR="00B61FED" w:rsidRPr="00B0600B">
        <w:rPr>
          <w:rFonts w:ascii="Arial" w:hAnsi="Arial" w:cs="Arial"/>
          <w:b/>
          <w:bCs/>
          <w:sz w:val="20"/>
          <w:szCs w:val="20"/>
        </w:rPr>
        <w:t>Luis Llamas</w:t>
      </w:r>
      <w:r w:rsidR="00806135" w:rsidRPr="00B0600B">
        <w:rPr>
          <w:rFonts w:ascii="Arial" w:hAnsi="Arial" w:cs="Arial"/>
          <w:bCs/>
          <w:i/>
          <w:sz w:val="20"/>
          <w:szCs w:val="20"/>
          <w:vertAlign w:val="superscript"/>
        </w:rPr>
        <w:t>1</w:t>
      </w:r>
      <w:r w:rsidR="00B61FED" w:rsidRPr="00B0600B">
        <w:rPr>
          <w:rFonts w:ascii="Arial" w:hAnsi="Arial" w:cs="Arial"/>
          <w:b/>
          <w:bCs/>
          <w:sz w:val="20"/>
          <w:szCs w:val="20"/>
        </w:rPr>
        <w:t xml:space="preserve">, </w:t>
      </w:r>
      <w:r w:rsidR="00E36DA4" w:rsidRPr="00B0600B">
        <w:rPr>
          <w:rFonts w:ascii="Arial" w:hAnsi="Arial" w:cs="Arial"/>
          <w:b/>
          <w:bCs/>
          <w:sz w:val="20"/>
          <w:szCs w:val="20"/>
        </w:rPr>
        <w:t>Greg Wendel</w:t>
      </w:r>
      <w:r w:rsidR="00806135" w:rsidRPr="00B0600B">
        <w:rPr>
          <w:rFonts w:ascii="Arial" w:hAnsi="Arial" w:cs="Arial"/>
          <w:bCs/>
          <w:i/>
          <w:sz w:val="20"/>
          <w:szCs w:val="20"/>
          <w:vertAlign w:val="superscript"/>
        </w:rPr>
        <w:t>1</w:t>
      </w:r>
      <w:r w:rsidR="00E36DA4" w:rsidRPr="00B0600B">
        <w:rPr>
          <w:rFonts w:ascii="Arial" w:hAnsi="Arial" w:cs="Arial"/>
          <w:b/>
          <w:bCs/>
          <w:sz w:val="20"/>
          <w:szCs w:val="20"/>
        </w:rPr>
        <w:t xml:space="preserve">, Felipa </w:t>
      </w:r>
      <w:r w:rsidR="00565449" w:rsidRPr="00B0600B">
        <w:rPr>
          <w:rFonts w:ascii="Arial" w:hAnsi="Arial" w:cs="Arial"/>
          <w:b/>
          <w:bCs/>
          <w:sz w:val="20"/>
          <w:szCs w:val="20"/>
        </w:rPr>
        <w:t xml:space="preserve">A. </w:t>
      </w:r>
      <w:r w:rsidR="00E36DA4" w:rsidRPr="00B0600B">
        <w:rPr>
          <w:rFonts w:ascii="Arial" w:hAnsi="Arial" w:cs="Arial"/>
          <w:b/>
          <w:bCs/>
          <w:sz w:val="20"/>
          <w:szCs w:val="20"/>
        </w:rPr>
        <w:t>Mapa</w:t>
      </w:r>
      <w:r w:rsidR="00806135" w:rsidRPr="00B0600B">
        <w:rPr>
          <w:rFonts w:ascii="Arial" w:hAnsi="Arial" w:cs="Arial"/>
          <w:bCs/>
          <w:i/>
          <w:sz w:val="20"/>
          <w:szCs w:val="20"/>
          <w:vertAlign w:val="superscript"/>
        </w:rPr>
        <w:t>1</w:t>
      </w:r>
      <w:r w:rsidR="00E36DA4" w:rsidRPr="00B0600B">
        <w:rPr>
          <w:rFonts w:ascii="Arial" w:hAnsi="Arial" w:cs="Arial"/>
          <w:b/>
          <w:bCs/>
          <w:sz w:val="20"/>
          <w:szCs w:val="20"/>
        </w:rPr>
        <w:t>,</w:t>
      </w:r>
      <w:r w:rsidR="002A77C2" w:rsidRPr="00B0600B">
        <w:rPr>
          <w:rFonts w:ascii="Arial" w:hAnsi="Arial" w:cs="Arial"/>
          <w:b/>
          <w:bCs/>
          <w:sz w:val="20"/>
          <w:szCs w:val="20"/>
        </w:rPr>
        <w:t xml:space="preserve"> Peter Aspes</w:t>
      </w:r>
      <w:r w:rsidR="00E36DA4" w:rsidRPr="00B0600B">
        <w:rPr>
          <w:rFonts w:ascii="Arial" w:hAnsi="Arial" w:cs="Arial"/>
          <w:b/>
          <w:bCs/>
          <w:sz w:val="20"/>
          <w:szCs w:val="20"/>
        </w:rPr>
        <w:t>i Jr.</w:t>
      </w:r>
      <w:r w:rsidR="00806135" w:rsidRPr="00B0600B">
        <w:rPr>
          <w:rFonts w:ascii="Arial" w:hAnsi="Arial" w:cs="Arial"/>
          <w:bCs/>
          <w:i/>
          <w:sz w:val="20"/>
          <w:szCs w:val="20"/>
          <w:vertAlign w:val="superscript"/>
        </w:rPr>
        <w:t xml:space="preserve"> 1</w:t>
      </w:r>
      <w:r w:rsidR="00E36DA4" w:rsidRPr="00B0600B">
        <w:rPr>
          <w:rFonts w:ascii="Arial" w:hAnsi="Arial" w:cs="Arial"/>
          <w:b/>
          <w:bCs/>
          <w:sz w:val="20"/>
          <w:szCs w:val="20"/>
        </w:rPr>
        <w:t xml:space="preserve">, </w:t>
      </w:r>
      <w:r w:rsidR="00950B06" w:rsidRPr="00950B06">
        <w:rPr>
          <w:rFonts w:ascii="Arial" w:hAnsi="Arial" w:cs="Arial"/>
          <w:b/>
          <w:iCs/>
          <w:sz w:val="20"/>
          <w:szCs w:val="20"/>
        </w:rPr>
        <w:t>Nancy Labbe-Giguere</w:t>
      </w:r>
      <w:r w:rsidR="00950B06" w:rsidRPr="00B0600B">
        <w:rPr>
          <w:rFonts w:ascii="Arial" w:hAnsi="Arial" w:cs="Arial"/>
          <w:bCs/>
          <w:i/>
          <w:sz w:val="20"/>
          <w:szCs w:val="20"/>
          <w:vertAlign w:val="superscript"/>
        </w:rPr>
        <w:t>1</w:t>
      </w:r>
      <w:r w:rsidR="00950B06">
        <w:rPr>
          <w:rFonts w:ascii="Arial" w:hAnsi="Arial" w:cs="Arial"/>
          <w:b/>
          <w:iCs/>
          <w:sz w:val="20"/>
          <w:szCs w:val="20"/>
        </w:rPr>
        <w:t>,</w:t>
      </w:r>
      <w:r w:rsidR="00950B06" w:rsidRPr="00B0600B">
        <w:rPr>
          <w:rFonts w:ascii="Arial" w:hAnsi="Arial" w:cs="Arial"/>
          <w:b/>
          <w:bCs/>
          <w:sz w:val="20"/>
          <w:szCs w:val="20"/>
        </w:rPr>
        <w:t xml:space="preserve"> </w:t>
      </w:r>
      <w:r w:rsidR="00C01905" w:rsidRPr="00B0600B">
        <w:rPr>
          <w:rFonts w:ascii="Arial" w:hAnsi="Arial" w:cs="Arial"/>
          <w:b/>
          <w:bCs/>
          <w:sz w:val="20"/>
          <w:szCs w:val="20"/>
        </w:rPr>
        <w:t xml:space="preserve">Gabriel </w:t>
      </w:r>
      <w:r w:rsidR="00AA3B17" w:rsidRPr="00B0600B">
        <w:rPr>
          <w:rFonts w:ascii="Arial" w:hAnsi="Arial" w:cs="Arial"/>
          <w:b/>
          <w:bCs/>
          <w:sz w:val="20"/>
          <w:szCs w:val="20"/>
        </w:rPr>
        <w:t xml:space="preserve">G. </w:t>
      </w:r>
      <w:r w:rsidR="00C01905" w:rsidRPr="00B0600B">
        <w:rPr>
          <w:rFonts w:ascii="Arial" w:hAnsi="Arial" w:cs="Arial"/>
          <w:b/>
          <w:bCs/>
          <w:sz w:val="20"/>
          <w:szCs w:val="20"/>
        </w:rPr>
        <w:t>Gamber</w:t>
      </w:r>
      <w:r w:rsidR="00806135" w:rsidRPr="00B0600B">
        <w:rPr>
          <w:rFonts w:ascii="Arial" w:hAnsi="Arial" w:cs="Arial"/>
          <w:bCs/>
          <w:i/>
          <w:sz w:val="20"/>
          <w:szCs w:val="20"/>
          <w:vertAlign w:val="superscript"/>
        </w:rPr>
        <w:t>1</w:t>
      </w:r>
      <w:r w:rsidR="00C01905" w:rsidRPr="00B0600B">
        <w:rPr>
          <w:rFonts w:ascii="Arial" w:hAnsi="Arial" w:cs="Arial"/>
          <w:b/>
          <w:bCs/>
          <w:sz w:val="20"/>
          <w:szCs w:val="20"/>
        </w:rPr>
        <w:t xml:space="preserve">, </w:t>
      </w:r>
      <w:r w:rsidR="00F93546" w:rsidRPr="00B0600B">
        <w:rPr>
          <w:rFonts w:ascii="Arial" w:hAnsi="Arial" w:cs="Arial"/>
          <w:b/>
          <w:bCs/>
          <w:sz w:val="20"/>
          <w:szCs w:val="20"/>
        </w:rPr>
        <w:t xml:space="preserve">Daniel </w:t>
      </w:r>
      <w:r w:rsidR="00AA3B17" w:rsidRPr="00B0600B">
        <w:rPr>
          <w:rFonts w:ascii="Arial" w:hAnsi="Arial" w:cs="Arial"/>
          <w:b/>
          <w:bCs/>
          <w:sz w:val="20"/>
          <w:szCs w:val="20"/>
        </w:rPr>
        <w:t xml:space="preserve">S. </w:t>
      </w:r>
      <w:r w:rsidR="00F93546" w:rsidRPr="00B0600B">
        <w:rPr>
          <w:rFonts w:ascii="Arial" w:hAnsi="Arial" w:cs="Arial"/>
          <w:b/>
          <w:bCs/>
          <w:sz w:val="20"/>
          <w:szCs w:val="20"/>
        </w:rPr>
        <w:t>Palacios</w:t>
      </w:r>
      <w:r w:rsidR="00806135" w:rsidRPr="00B0600B">
        <w:rPr>
          <w:rFonts w:ascii="Arial" w:hAnsi="Arial" w:cs="Arial"/>
          <w:bCs/>
          <w:i/>
          <w:sz w:val="20"/>
          <w:szCs w:val="20"/>
          <w:vertAlign w:val="superscript"/>
        </w:rPr>
        <w:t>1</w:t>
      </w:r>
      <w:r w:rsidR="00F93546" w:rsidRPr="00B0600B">
        <w:rPr>
          <w:rFonts w:ascii="Arial" w:hAnsi="Arial" w:cs="Arial"/>
          <w:b/>
          <w:bCs/>
          <w:sz w:val="20"/>
          <w:szCs w:val="20"/>
        </w:rPr>
        <w:t xml:space="preserve">, </w:t>
      </w:r>
      <w:r w:rsidR="00FF404F">
        <w:rPr>
          <w:rFonts w:ascii="Arial" w:hAnsi="Arial" w:cs="Arial"/>
          <w:b/>
          <w:bCs/>
          <w:sz w:val="20"/>
          <w:szCs w:val="20"/>
        </w:rPr>
        <w:t>Ansgar Schuffenhauer</w:t>
      </w:r>
      <w:r w:rsidR="00FF404F" w:rsidRPr="001F41E0">
        <w:rPr>
          <w:rFonts w:ascii="Arial" w:hAnsi="Arial" w:cs="Arial"/>
          <w:bCs/>
          <w:i/>
          <w:sz w:val="20"/>
          <w:szCs w:val="20"/>
          <w:vertAlign w:val="superscript"/>
        </w:rPr>
        <w:t>2</w:t>
      </w:r>
      <w:r w:rsidR="00FF404F">
        <w:rPr>
          <w:rFonts w:ascii="Arial" w:hAnsi="Arial" w:cs="Arial"/>
          <w:b/>
          <w:bCs/>
          <w:sz w:val="20"/>
          <w:szCs w:val="20"/>
        </w:rPr>
        <w:t xml:space="preserve">, </w:t>
      </w:r>
      <w:r w:rsidR="00C10D71">
        <w:rPr>
          <w:rFonts w:ascii="Arial" w:hAnsi="Arial" w:cs="Arial"/>
          <w:b/>
          <w:bCs/>
          <w:sz w:val="20"/>
          <w:szCs w:val="20"/>
        </w:rPr>
        <w:t>Zhan Deng</w:t>
      </w:r>
      <w:r w:rsidR="00C10D71" w:rsidRPr="00B0600B">
        <w:rPr>
          <w:rFonts w:ascii="Arial" w:hAnsi="Arial" w:cs="Arial"/>
          <w:bCs/>
          <w:i/>
          <w:sz w:val="20"/>
          <w:szCs w:val="20"/>
          <w:vertAlign w:val="superscript"/>
        </w:rPr>
        <w:t>1</w:t>
      </w:r>
      <w:r w:rsidR="00C10D71">
        <w:rPr>
          <w:rFonts w:ascii="Arial" w:hAnsi="Arial" w:cs="Arial"/>
          <w:b/>
          <w:bCs/>
          <w:sz w:val="20"/>
          <w:szCs w:val="20"/>
        </w:rPr>
        <w:t xml:space="preserve">, </w:t>
      </w:r>
      <w:r w:rsidR="00E44D92">
        <w:rPr>
          <w:rFonts w:ascii="Arial" w:hAnsi="Arial" w:cs="Arial"/>
          <w:b/>
          <w:bCs/>
          <w:sz w:val="20"/>
          <w:szCs w:val="20"/>
        </w:rPr>
        <w:t>Florian Nigsch</w:t>
      </w:r>
      <w:r w:rsidR="00E44D92" w:rsidRPr="001F41E0">
        <w:rPr>
          <w:rFonts w:ascii="Arial" w:hAnsi="Arial" w:cs="Arial"/>
          <w:bCs/>
          <w:i/>
          <w:sz w:val="20"/>
          <w:szCs w:val="20"/>
          <w:vertAlign w:val="superscript"/>
        </w:rPr>
        <w:t>2</w:t>
      </w:r>
      <w:r w:rsidR="00E44D92">
        <w:rPr>
          <w:rFonts w:ascii="Arial" w:hAnsi="Arial" w:cs="Arial"/>
          <w:b/>
          <w:bCs/>
          <w:sz w:val="20"/>
          <w:szCs w:val="20"/>
        </w:rPr>
        <w:t xml:space="preserve">, </w:t>
      </w:r>
      <w:r w:rsidR="00AA3B17" w:rsidRPr="00B0600B">
        <w:rPr>
          <w:rFonts w:ascii="Arial" w:hAnsi="Arial" w:cs="Arial"/>
          <w:b/>
          <w:bCs/>
          <w:sz w:val="20"/>
          <w:szCs w:val="20"/>
        </w:rPr>
        <w:t>Math</w:t>
      </w:r>
      <w:r w:rsidR="00B0600B" w:rsidRPr="00B0600B">
        <w:rPr>
          <w:rFonts w:ascii="Arial" w:hAnsi="Arial" w:cs="Arial"/>
          <w:b/>
          <w:bCs/>
          <w:sz w:val="20"/>
          <w:szCs w:val="20"/>
        </w:rPr>
        <w:t>ias Frederi</w:t>
      </w:r>
      <w:r w:rsidR="00F93546" w:rsidRPr="00B0600B">
        <w:rPr>
          <w:rFonts w:ascii="Arial" w:hAnsi="Arial" w:cs="Arial"/>
          <w:b/>
          <w:bCs/>
          <w:sz w:val="20"/>
          <w:szCs w:val="20"/>
        </w:rPr>
        <w:t>ksen</w:t>
      </w:r>
      <w:r w:rsidR="00806135" w:rsidRPr="00B0600B">
        <w:rPr>
          <w:rStyle w:val="normaltextrun1"/>
          <w:rFonts w:ascii="Arial" w:hAnsi="Arial" w:cs="Arial"/>
          <w:i/>
          <w:sz w:val="20"/>
          <w:szCs w:val="20"/>
          <w:vertAlign w:val="superscript"/>
        </w:rPr>
        <w:t>2</w:t>
      </w:r>
      <w:r w:rsidR="75C2C61C" w:rsidRPr="00B0600B">
        <w:rPr>
          <w:rFonts w:ascii="Arial" w:hAnsi="Arial" w:cs="Arial"/>
          <w:b/>
          <w:bCs/>
          <w:sz w:val="20"/>
          <w:szCs w:val="20"/>
        </w:rPr>
        <w:t xml:space="preserve">, </w:t>
      </w:r>
      <w:r w:rsidR="00F93546" w:rsidRPr="00B0600B">
        <w:rPr>
          <w:rFonts w:ascii="Arial" w:hAnsi="Arial" w:cs="Arial"/>
          <w:b/>
          <w:bCs/>
          <w:sz w:val="20"/>
          <w:szCs w:val="20"/>
        </w:rPr>
        <w:t xml:space="preserve">Simon </w:t>
      </w:r>
      <w:r w:rsidR="00812941" w:rsidRPr="00B0600B">
        <w:rPr>
          <w:rFonts w:ascii="Arial" w:hAnsi="Arial" w:cs="Arial"/>
          <w:b/>
          <w:bCs/>
          <w:sz w:val="20"/>
          <w:szCs w:val="20"/>
        </w:rPr>
        <w:t xml:space="preserve">M. </w:t>
      </w:r>
      <w:r w:rsidR="00F93546" w:rsidRPr="00B0600B">
        <w:rPr>
          <w:rFonts w:ascii="Arial" w:hAnsi="Arial" w:cs="Arial"/>
          <w:b/>
          <w:bCs/>
          <w:sz w:val="20"/>
          <w:szCs w:val="20"/>
        </w:rPr>
        <w:t>Bushell</w:t>
      </w:r>
      <w:r w:rsidR="00806135" w:rsidRPr="00B0600B">
        <w:rPr>
          <w:rFonts w:ascii="Arial" w:hAnsi="Arial" w:cs="Arial"/>
          <w:bCs/>
          <w:i/>
          <w:sz w:val="20"/>
          <w:szCs w:val="20"/>
          <w:vertAlign w:val="superscript"/>
        </w:rPr>
        <w:t>1</w:t>
      </w:r>
      <w:r w:rsidR="00F93546" w:rsidRPr="00B0600B">
        <w:rPr>
          <w:rFonts w:ascii="Arial" w:hAnsi="Arial" w:cs="Arial"/>
          <w:b/>
          <w:bCs/>
          <w:sz w:val="20"/>
          <w:szCs w:val="20"/>
        </w:rPr>
        <w:t>, Deborah Rothman</w:t>
      </w:r>
      <w:r w:rsidR="00806135" w:rsidRPr="00B0600B">
        <w:rPr>
          <w:rFonts w:ascii="Arial" w:hAnsi="Arial" w:cs="Arial"/>
          <w:bCs/>
          <w:i/>
          <w:sz w:val="20"/>
          <w:szCs w:val="20"/>
          <w:vertAlign w:val="superscript"/>
        </w:rPr>
        <w:t>1</w:t>
      </w:r>
      <w:r w:rsidR="00F93546" w:rsidRPr="00B0600B">
        <w:rPr>
          <w:rFonts w:ascii="Arial" w:hAnsi="Arial" w:cs="Arial"/>
          <w:b/>
          <w:bCs/>
          <w:sz w:val="20"/>
          <w:szCs w:val="20"/>
        </w:rPr>
        <w:t xml:space="preserve">, Rishi </w:t>
      </w:r>
      <w:r w:rsidR="00812941" w:rsidRPr="00B0600B">
        <w:rPr>
          <w:rFonts w:ascii="Arial" w:hAnsi="Arial" w:cs="Arial"/>
          <w:b/>
          <w:bCs/>
          <w:sz w:val="20"/>
          <w:szCs w:val="20"/>
        </w:rPr>
        <w:t xml:space="preserve">K. </w:t>
      </w:r>
      <w:r w:rsidR="00F93546" w:rsidRPr="00B0600B">
        <w:rPr>
          <w:rFonts w:ascii="Arial" w:hAnsi="Arial" w:cs="Arial"/>
          <w:b/>
          <w:bCs/>
          <w:sz w:val="20"/>
          <w:szCs w:val="20"/>
        </w:rPr>
        <w:t>Jain</w:t>
      </w:r>
      <w:r w:rsidR="00806135" w:rsidRPr="00B0600B">
        <w:rPr>
          <w:rFonts w:ascii="Arial" w:hAnsi="Arial" w:cs="Arial"/>
          <w:bCs/>
          <w:i/>
          <w:sz w:val="20"/>
          <w:szCs w:val="20"/>
          <w:vertAlign w:val="superscript"/>
        </w:rPr>
        <w:t>1</w:t>
      </w:r>
      <w:r w:rsidR="00F93546" w:rsidRPr="00B0600B">
        <w:rPr>
          <w:rFonts w:ascii="Arial" w:hAnsi="Arial" w:cs="Arial"/>
          <w:b/>
          <w:bCs/>
          <w:sz w:val="20"/>
          <w:szCs w:val="20"/>
        </w:rPr>
        <w:t>,</w:t>
      </w:r>
      <w:r w:rsidR="00F11A8F" w:rsidRPr="00B0600B">
        <w:rPr>
          <w:rFonts w:ascii="Arial" w:hAnsi="Arial" w:cs="Arial"/>
          <w:b/>
          <w:bCs/>
          <w:sz w:val="20"/>
          <w:szCs w:val="20"/>
        </w:rPr>
        <w:t xml:space="preserve"> </w:t>
      </w:r>
      <w:r w:rsidR="00C01905" w:rsidRPr="00B0600B">
        <w:rPr>
          <w:rFonts w:ascii="Arial" w:hAnsi="Arial" w:cs="Arial"/>
          <w:b/>
          <w:bCs/>
          <w:sz w:val="20"/>
          <w:szCs w:val="20"/>
        </w:rPr>
        <w:t>Horst Hemmerle</w:t>
      </w:r>
      <w:r w:rsidR="00806135" w:rsidRPr="00B0600B">
        <w:rPr>
          <w:rFonts w:ascii="Arial" w:hAnsi="Arial" w:cs="Arial"/>
          <w:bCs/>
          <w:i/>
          <w:sz w:val="20"/>
          <w:szCs w:val="20"/>
          <w:vertAlign w:val="superscript"/>
        </w:rPr>
        <w:t>1</w:t>
      </w:r>
      <w:r w:rsidR="00C01905" w:rsidRPr="00B0600B">
        <w:rPr>
          <w:rFonts w:ascii="Arial" w:hAnsi="Arial" w:cs="Arial"/>
          <w:b/>
          <w:bCs/>
          <w:sz w:val="20"/>
          <w:szCs w:val="20"/>
        </w:rPr>
        <w:t xml:space="preserve">, </w:t>
      </w:r>
      <w:r w:rsidR="00A47A52" w:rsidRPr="00B0600B">
        <w:rPr>
          <w:rFonts w:ascii="Arial" w:hAnsi="Arial" w:cs="Arial"/>
          <w:b/>
          <w:bCs/>
          <w:sz w:val="20"/>
          <w:szCs w:val="20"/>
        </w:rPr>
        <w:t>Karin Briner</w:t>
      </w:r>
      <w:r w:rsidR="00806135" w:rsidRPr="00B0600B">
        <w:rPr>
          <w:rFonts w:ascii="Arial" w:hAnsi="Arial" w:cs="Arial"/>
          <w:bCs/>
          <w:i/>
          <w:sz w:val="20"/>
          <w:szCs w:val="20"/>
          <w:vertAlign w:val="superscript"/>
        </w:rPr>
        <w:t>1</w:t>
      </w:r>
      <w:r w:rsidR="00A47A52" w:rsidRPr="00B0600B">
        <w:rPr>
          <w:rFonts w:ascii="Arial" w:hAnsi="Arial" w:cs="Arial"/>
          <w:b/>
          <w:bCs/>
          <w:sz w:val="20"/>
          <w:szCs w:val="20"/>
        </w:rPr>
        <w:t xml:space="preserve">, </w:t>
      </w:r>
      <w:r w:rsidR="00AE1798" w:rsidRPr="00B0600B">
        <w:rPr>
          <w:rFonts w:ascii="Arial" w:hAnsi="Arial" w:cs="Arial"/>
          <w:b/>
          <w:bCs/>
          <w:sz w:val="20"/>
          <w:szCs w:val="20"/>
        </w:rPr>
        <w:t>Jeff</w:t>
      </w:r>
      <w:r w:rsidR="00812941" w:rsidRPr="00B0600B">
        <w:rPr>
          <w:rFonts w:ascii="Arial" w:hAnsi="Arial" w:cs="Arial"/>
          <w:b/>
          <w:bCs/>
          <w:sz w:val="20"/>
          <w:szCs w:val="20"/>
        </w:rPr>
        <w:t>ery A.</w:t>
      </w:r>
      <w:r w:rsidR="00AE1798" w:rsidRPr="00B0600B">
        <w:rPr>
          <w:rFonts w:ascii="Arial" w:hAnsi="Arial" w:cs="Arial"/>
          <w:b/>
          <w:bCs/>
          <w:sz w:val="20"/>
          <w:szCs w:val="20"/>
        </w:rPr>
        <w:t xml:space="preserve"> Porter</w:t>
      </w:r>
      <w:r w:rsidR="00AE1798" w:rsidRPr="00B0600B">
        <w:rPr>
          <w:rFonts w:ascii="Arial" w:hAnsi="Arial" w:cs="Arial"/>
          <w:bCs/>
          <w:i/>
          <w:sz w:val="20"/>
          <w:szCs w:val="20"/>
          <w:vertAlign w:val="superscript"/>
        </w:rPr>
        <w:t>1</w:t>
      </w:r>
      <w:r w:rsidR="00AE1798" w:rsidRPr="00B0600B">
        <w:rPr>
          <w:rFonts w:ascii="Arial" w:hAnsi="Arial" w:cs="Arial"/>
          <w:b/>
          <w:bCs/>
          <w:sz w:val="20"/>
          <w:szCs w:val="20"/>
        </w:rPr>
        <w:t xml:space="preserve">, </w:t>
      </w:r>
      <w:r w:rsidR="00F11A8F" w:rsidRPr="00B0600B">
        <w:rPr>
          <w:rFonts w:ascii="Arial" w:hAnsi="Arial" w:cs="Arial"/>
          <w:b/>
          <w:bCs/>
          <w:sz w:val="20"/>
          <w:szCs w:val="20"/>
        </w:rPr>
        <w:t>J</w:t>
      </w:r>
      <w:r w:rsidR="790D1096" w:rsidRPr="00B0600B">
        <w:rPr>
          <w:rFonts w:ascii="Arial" w:hAnsi="Arial" w:cs="Arial"/>
          <w:b/>
          <w:bCs/>
          <w:sz w:val="20"/>
          <w:szCs w:val="20"/>
        </w:rPr>
        <w:t xml:space="preserve">ohn </w:t>
      </w:r>
      <w:r w:rsidR="00812941" w:rsidRPr="00B0600B">
        <w:rPr>
          <w:rFonts w:ascii="Arial" w:hAnsi="Arial" w:cs="Arial"/>
          <w:b/>
          <w:bCs/>
          <w:sz w:val="20"/>
          <w:szCs w:val="20"/>
        </w:rPr>
        <w:t xml:space="preserve">A. </w:t>
      </w:r>
      <w:r w:rsidR="790D1096" w:rsidRPr="00B0600B">
        <w:rPr>
          <w:rFonts w:ascii="Arial" w:hAnsi="Arial" w:cs="Arial"/>
          <w:b/>
          <w:bCs/>
          <w:sz w:val="20"/>
          <w:szCs w:val="20"/>
        </w:rPr>
        <w:t>Tallarico</w:t>
      </w:r>
      <w:r w:rsidR="00806135" w:rsidRPr="00B0600B">
        <w:rPr>
          <w:rFonts w:ascii="Arial" w:hAnsi="Arial" w:cs="Arial"/>
          <w:bCs/>
          <w:i/>
          <w:sz w:val="20"/>
          <w:szCs w:val="20"/>
          <w:vertAlign w:val="superscript"/>
        </w:rPr>
        <w:t>1</w:t>
      </w:r>
      <w:r w:rsidR="790D1096" w:rsidRPr="00B0600B">
        <w:rPr>
          <w:rFonts w:ascii="Arial" w:hAnsi="Arial" w:cs="Arial"/>
          <w:b/>
          <w:bCs/>
          <w:sz w:val="20"/>
          <w:szCs w:val="20"/>
        </w:rPr>
        <w:t>, J</w:t>
      </w:r>
      <w:r w:rsidR="00F11A8F" w:rsidRPr="00B0600B">
        <w:rPr>
          <w:rFonts w:ascii="Arial" w:hAnsi="Arial" w:cs="Arial"/>
          <w:b/>
          <w:bCs/>
          <w:sz w:val="20"/>
          <w:szCs w:val="20"/>
        </w:rPr>
        <w:t xml:space="preserve">eremy </w:t>
      </w:r>
      <w:r w:rsidR="00812941" w:rsidRPr="00B0600B">
        <w:rPr>
          <w:rFonts w:ascii="Arial" w:hAnsi="Arial" w:cs="Arial"/>
          <w:b/>
          <w:bCs/>
          <w:sz w:val="20"/>
          <w:szCs w:val="20"/>
        </w:rPr>
        <w:t xml:space="preserve">L. </w:t>
      </w:r>
      <w:r w:rsidR="00F11A8F" w:rsidRPr="00B0600B">
        <w:rPr>
          <w:rFonts w:ascii="Arial" w:hAnsi="Arial" w:cs="Arial"/>
          <w:b/>
          <w:bCs/>
          <w:sz w:val="20"/>
          <w:szCs w:val="20"/>
        </w:rPr>
        <w:t>Jenkins</w:t>
      </w:r>
      <w:r w:rsidR="00806135" w:rsidRPr="00B0600B">
        <w:rPr>
          <w:rFonts w:ascii="Arial" w:hAnsi="Arial" w:cs="Arial"/>
          <w:bCs/>
          <w:i/>
          <w:sz w:val="20"/>
          <w:szCs w:val="20"/>
          <w:vertAlign w:val="superscript"/>
        </w:rPr>
        <w:t>1</w:t>
      </w:r>
      <w:r w:rsidR="00F11A8F" w:rsidRPr="00395713">
        <w:rPr>
          <w:rFonts w:ascii="Arial" w:hAnsi="Arial" w:cs="Arial"/>
          <w:bCs/>
          <w:sz w:val="20"/>
          <w:szCs w:val="20"/>
        </w:rPr>
        <w:t>*</w:t>
      </w:r>
      <w:r w:rsidR="00FF404F">
        <w:rPr>
          <w:rFonts w:ascii="Arial" w:hAnsi="Arial" w:cs="Arial"/>
          <w:b/>
          <w:bCs/>
          <w:sz w:val="20"/>
          <w:szCs w:val="20"/>
        </w:rPr>
        <w:t xml:space="preserve"> </w:t>
      </w:r>
    </w:p>
    <w:p w14:paraId="38D65025" w14:textId="77777777" w:rsidR="00BE7DCE" w:rsidRDefault="00BE7DCE" w:rsidP="009E7E3C">
      <w:pPr>
        <w:spacing w:line="360" w:lineRule="auto"/>
        <w:contextualSpacing/>
        <w:rPr>
          <w:rFonts w:ascii="Arial" w:hAnsi="Arial" w:cs="Arial"/>
          <w:b/>
          <w:bCs/>
          <w:sz w:val="20"/>
          <w:szCs w:val="20"/>
        </w:rPr>
      </w:pPr>
    </w:p>
    <w:p w14:paraId="10CD7CA0" w14:textId="4AEB8281" w:rsidR="00E36DA4" w:rsidRPr="00806135" w:rsidRDefault="00806135" w:rsidP="009E7E3C">
      <w:pPr>
        <w:spacing w:line="360" w:lineRule="auto"/>
        <w:contextualSpacing/>
        <w:rPr>
          <w:rFonts w:ascii="Arial" w:hAnsi="Arial" w:cs="Arial"/>
          <w:bCs/>
          <w:i/>
          <w:sz w:val="20"/>
          <w:szCs w:val="20"/>
        </w:rPr>
      </w:pPr>
      <w:r w:rsidRPr="00806135">
        <w:rPr>
          <w:rFonts w:ascii="Arial" w:hAnsi="Arial" w:cs="Arial"/>
          <w:bCs/>
          <w:i/>
          <w:sz w:val="20"/>
          <w:szCs w:val="20"/>
          <w:vertAlign w:val="superscript"/>
        </w:rPr>
        <w:t>1</w:t>
      </w:r>
      <w:r>
        <w:rPr>
          <w:rFonts w:ascii="Arial" w:hAnsi="Arial" w:cs="Arial"/>
          <w:bCs/>
          <w:i/>
          <w:sz w:val="20"/>
          <w:szCs w:val="20"/>
        </w:rPr>
        <w:t xml:space="preserve"> </w:t>
      </w:r>
      <w:r w:rsidR="00E36DA4" w:rsidRPr="00806135">
        <w:rPr>
          <w:rFonts w:ascii="Arial" w:hAnsi="Arial" w:cs="Arial"/>
          <w:bCs/>
          <w:i/>
          <w:sz w:val="20"/>
          <w:szCs w:val="20"/>
        </w:rPr>
        <w:t>Novartis Insti</w:t>
      </w:r>
      <w:r w:rsidR="001E0C3F">
        <w:rPr>
          <w:rFonts w:ascii="Arial" w:hAnsi="Arial" w:cs="Arial"/>
          <w:bCs/>
          <w:i/>
          <w:sz w:val="20"/>
          <w:szCs w:val="20"/>
        </w:rPr>
        <w:t>tute for BioMedical Research</w:t>
      </w:r>
      <w:r w:rsidR="003478C3">
        <w:rPr>
          <w:rFonts w:ascii="Arial" w:hAnsi="Arial" w:cs="Arial"/>
          <w:bCs/>
          <w:i/>
          <w:sz w:val="20"/>
          <w:szCs w:val="20"/>
        </w:rPr>
        <w:t>,</w:t>
      </w:r>
      <w:r w:rsidR="001E0C3F">
        <w:rPr>
          <w:rFonts w:ascii="Arial" w:hAnsi="Arial" w:cs="Arial"/>
          <w:bCs/>
          <w:i/>
          <w:sz w:val="20"/>
          <w:szCs w:val="20"/>
        </w:rPr>
        <w:t xml:space="preserve"> 181</w:t>
      </w:r>
      <w:r w:rsidR="00E36DA4" w:rsidRPr="00806135">
        <w:rPr>
          <w:rFonts w:ascii="Arial" w:hAnsi="Arial" w:cs="Arial"/>
          <w:bCs/>
          <w:i/>
          <w:sz w:val="20"/>
          <w:szCs w:val="20"/>
        </w:rPr>
        <w:t xml:space="preserve"> </w:t>
      </w:r>
      <w:r w:rsidR="00DE0232" w:rsidRPr="00806135">
        <w:rPr>
          <w:rFonts w:ascii="Arial" w:hAnsi="Arial" w:cs="Arial"/>
          <w:bCs/>
          <w:i/>
          <w:sz w:val="20"/>
          <w:szCs w:val="20"/>
        </w:rPr>
        <w:t>Ma</w:t>
      </w:r>
      <w:r w:rsidR="00DE0232">
        <w:rPr>
          <w:rFonts w:ascii="Arial" w:hAnsi="Arial" w:cs="Arial"/>
          <w:bCs/>
          <w:i/>
          <w:sz w:val="20"/>
          <w:szCs w:val="20"/>
        </w:rPr>
        <w:t>s</w:t>
      </w:r>
      <w:r w:rsidR="00DE0232" w:rsidRPr="00806135">
        <w:rPr>
          <w:rFonts w:ascii="Arial" w:hAnsi="Arial" w:cs="Arial"/>
          <w:bCs/>
          <w:i/>
          <w:sz w:val="20"/>
          <w:szCs w:val="20"/>
        </w:rPr>
        <w:t>sachusetts</w:t>
      </w:r>
      <w:r w:rsidR="00B61FED" w:rsidRPr="00806135">
        <w:rPr>
          <w:rFonts w:ascii="Arial" w:hAnsi="Arial" w:cs="Arial"/>
          <w:bCs/>
          <w:i/>
          <w:sz w:val="20"/>
          <w:szCs w:val="20"/>
        </w:rPr>
        <w:t xml:space="preserve"> Ave Cambridge, MA 02139.</w:t>
      </w:r>
    </w:p>
    <w:p w14:paraId="3632D028" w14:textId="77777777" w:rsidR="00806135" w:rsidRPr="00806135" w:rsidRDefault="00806135" w:rsidP="00806135">
      <w:pPr>
        <w:pStyle w:val="paragraph"/>
        <w:textAlignment w:val="baseline"/>
        <w:rPr>
          <w:rFonts w:ascii="Arial" w:hAnsi="Arial" w:cs="Arial"/>
          <w:i/>
          <w:sz w:val="20"/>
          <w:szCs w:val="20"/>
        </w:rPr>
      </w:pPr>
      <w:r w:rsidRPr="00806135">
        <w:rPr>
          <w:rStyle w:val="normaltextrun1"/>
          <w:rFonts w:ascii="Arial" w:hAnsi="Arial" w:cs="Arial"/>
          <w:i/>
          <w:sz w:val="20"/>
          <w:szCs w:val="20"/>
          <w:vertAlign w:val="superscript"/>
        </w:rPr>
        <w:t>2</w:t>
      </w:r>
      <w:r w:rsidRPr="00806135">
        <w:rPr>
          <w:rStyle w:val="normaltextrun1"/>
          <w:rFonts w:ascii="Arial" w:hAnsi="Arial" w:cs="Arial"/>
          <w:i/>
          <w:sz w:val="20"/>
          <w:szCs w:val="20"/>
        </w:rPr>
        <w:t xml:space="preserve"> Novartis Institute for Biomedical Research, </w:t>
      </w:r>
      <w:r w:rsidRPr="00806135">
        <w:rPr>
          <w:rStyle w:val="normaltextrun1"/>
          <w:rFonts w:ascii="Arial" w:hAnsi="Arial" w:cs="Arial"/>
          <w:i/>
          <w:color w:val="000000"/>
          <w:sz w:val="20"/>
          <w:szCs w:val="20"/>
          <w:shd w:val="clear" w:color="auto" w:fill="FFFFFF"/>
        </w:rPr>
        <w:t>Novartis Pharma AG, Forum 1 Novartis Campus, 4056 Basel, Switzerland</w:t>
      </w:r>
      <w:r w:rsidRPr="00806135">
        <w:rPr>
          <w:rStyle w:val="eop"/>
          <w:rFonts w:ascii="Arial" w:hAnsi="Arial" w:cs="Arial"/>
          <w:i/>
          <w:sz w:val="20"/>
          <w:szCs w:val="20"/>
        </w:rPr>
        <w:t> </w:t>
      </w:r>
    </w:p>
    <w:p w14:paraId="566853B0" w14:textId="77777777" w:rsidR="00225704" w:rsidRDefault="00225704" w:rsidP="00806135"/>
    <w:p w14:paraId="7B5F79E0" w14:textId="7279EFA5" w:rsidR="00096CF8" w:rsidRPr="00096CF8" w:rsidRDefault="00096CF8" w:rsidP="00806135">
      <w:r w:rsidRPr="00E70F2B">
        <w:t>*</w:t>
      </w:r>
      <w:r>
        <w:rPr>
          <w:vertAlign w:val="superscript"/>
        </w:rPr>
        <w:t xml:space="preserve"> </w:t>
      </w:r>
      <w:r>
        <w:t xml:space="preserve">e-mail: </w:t>
      </w:r>
      <w:hyperlink r:id="rId8" w:history="1">
        <w:r w:rsidRPr="0012762B">
          <w:rPr>
            <w:rStyle w:val="Hyperlink"/>
          </w:rPr>
          <w:t>steve.canham@novartis.com</w:t>
        </w:r>
      </w:hyperlink>
      <w:r>
        <w:t xml:space="preserve">; </w:t>
      </w:r>
      <w:hyperlink r:id="rId9" w:history="1">
        <w:r w:rsidR="003478C3" w:rsidRPr="00852712">
          <w:rPr>
            <w:rStyle w:val="Hyperlink"/>
          </w:rPr>
          <w:t>douglas.auld@novartis.com</w:t>
        </w:r>
      </w:hyperlink>
      <w:r w:rsidR="003478C3">
        <w:t xml:space="preserve">; </w:t>
      </w:r>
      <w:hyperlink r:id="rId10" w:history="1">
        <w:r w:rsidRPr="0012762B">
          <w:rPr>
            <w:rStyle w:val="Hyperlink"/>
          </w:rPr>
          <w:t>jeremy.jenkins@novartis.com</w:t>
        </w:r>
      </w:hyperlink>
      <w:r>
        <w:t xml:space="preserve"> </w:t>
      </w:r>
    </w:p>
    <w:p w14:paraId="18D378A5" w14:textId="77777777" w:rsidR="00DD38D6" w:rsidRPr="00806135" w:rsidRDefault="00225704" w:rsidP="00806135">
      <w:pPr>
        <w:spacing w:line="360" w:lineRule="auto"/>
        <w:contextualSpacing/>
        <w:jc w:val="both"/>
        <w:rPr>
          <w:rFonts w:ascii="Arial" w:hAnsi="Arial" w:cs="Arial"/>
          <w:b/>
          <w:bCs/>
          <w:i/>
          <w:iCs/>
          <w:sz w:val="20"/>
          <w:szCs w:val="20"/>
        </w:rPr>
      </w:pPr>
      <w:r w:rsidRPr="00806135">
        <w:rPr>
          <w:rFonts w:ascii="Arial" w:hAnsi="Arial" w:cs="Arial"/>
          <w:b/>
          <w:bCs/>
          <w:i/>
          <w:iCs/>
          <w:sz w:val="20"/>
          <w:szCs w:val="20"/>
        </w:rPr>
        <w:t>Introduction</w:t>
      </w:r>
    </w:p>
    <w:p w14:paraId="03C80592" w14:textId="2F71C230" w:rsidR="00951019" w:rsidRPr="0033570A" w:rsidRDefault="0033570A" w:rsidP="003C2306">
      <w:pPr>
        <w:spacing w:line="360" w:lineRule="auto"/>
        <w:ind w:firstLine="720"/>
        <w:contextualSpacing/>
        <w:jc w:val="both"/>
        <w:rPr>
          <w:rFonts w:ascii="Arial" w:hAnsi="Arial" w:cs="Arial"/>
          <w:sz w:val="20"/>
          <w:szCs w:val="20"/>
        </w:rPr>
      </w:pPr>
      <w:r w:rsidRPr="003C2306">
        <w:rPr>
          <w:rFonts w:ascii="Arial" w:hAnsi="Arial" w:cs="Arial"/>
          <w:sz w:val="20"/>
          <w:szCs w:val="20"/>
        </w:rPr>
        <w:t>Historical screening of</w:t>
      </w:r>
      <w:r w:rsidR="00BC3EE8" w:rsidRPr="003C2306">
        <w:rPr>
          <w:rFonts w:ascii="Arial" w:hAnsi="Arial" w:cs="Arial"/>
          <w:sz w:val="20"/>
          <w:szCs w:val="20"/>
        </w:rPr>
        <w:t xml:space="preserve"> compound</w:t>
      </w:r>
      <w:r w:rsidRPr="003C2306">
        <w:rPr>
          <w:rFonts w:ascii="Arial" w:hAnsi="Arial" w:cs="Arial"/>
          <w:sz w:val="20"/>
          <w:szCs w:val="20"/>
        </w:rPr>
        <w:t xml:space="preserve"> collections against biological assays along with efforts to characterize the mechanism of action (MoA) of compounds has led to the discovery of many small molecule chemical probes and drugs.</w:t>
      </w:r>
      <w:r>
        <w:rPr>
          <w:rFonts w:ascii="Arial" w:hAnsi="Arial" w:cs="Arial"/>
          <w:color w:val="C0504D" w:themeColor="accent2"/>
          <w:sz w:val="20"/>
          <w:szCs w:val="20"/>
        </w:rPr>
        <w:t xml:space="preserve"> </w:t>
      </w:r>
      <w:r w:rsidR="00D81C01" w:rsidRPr="0033570A">
        <w:rPr>
          <w:rFonts w:ascii="Arial" w:hAnsi="Arial" w:cs="Arial"/>
          <w:sz w:val="20"/>
          <w:szCs w:val="20"/>
        </w:rPr>
        <w:t>This has enabled the construction of</w:t>
      </w:r>
      <w:r w:rsidR="00D934B1" w:rsidRPr="0033570A">
        <w:rPr>
          <w:rFonts w:ascii="Arial" w:hAnsi="Arial" w:cs="Arial"/>
          <w:sz w:val="20"/>
          <w:szCs w:val="20"/>
        </w:rPr>
        <w:t xml:space="preserve"> </w:t>
      </w:r>
      <w:r w:rsidR="00E230FC">
        <w:rPr>
          <w:rFonts w:ascii="Arial" w:hAnsi="Arial" w:cs="Arial"/>
          <w:sz w:val="20"/>
          <w:szCs w:val="20"/>
        </w:rPr>
        <w:t xml:space="preserve">smaller </w:t>
      </w:r>
      <w:r w:rsidR="00E230FC" w:rsidRPr="0033570A">
        <w:rPr>
          <w:rFonts w:ascii="Arial" w:hAnsi="Arial" w:cs="Arial"/>
          <w:sz w:val="20"/>
          <w:szCs w:val="20"/>
        </w:rPr>
        <w:t>focused libraries</w:t>
      </w:r>
      <w:r w:rsidR="00D81C01" w:rsidRPr="0033570A">
        <w:rPr>
          <w:rFonts w:ascii="Arial" w:hAnsi="Arial" w:cs="Arial"/>
          <w:sz w:val="20"/>
          <w:szCs w:val="20"/>
        </w:rPr>
        <w:t xml:space="preserve"> w</w:t>
      </w:r>
      <w:r w:rsidR="00B87577" w:rsidRPr="0033570A">
        <w:rPr>
          <w:rFonts w:ascii="Arial" w:hAnsi="Arial" w:cs="Arial"/>
          <w:sz w:val="20"/>
          <w:szCs w:val="20"/>
        </w:rPr>
        <w:t>hich,</w:t>
      </w:r>
      <w:r w:rsidR="001134B5" w:rsidRPr="0033570A">
        <w:rPr>
          <w:rFonts w:ascii="Arial" w:hAnsi="Arial" w:cs="Arial"/>
          <w:sz w:val="20"/>
          <w:szCs w:val="20"/>
        </w:rPr>
        <w:t xml:space="preserve"> in </w:t>
      </w:r>
      <w:r w:rsidR="001134B5">
        <w:rPr>
          <w:rFonts w:ascii="Arial" w:hAnsi="Arial" w:cs="Arial"/>
          <w:sz w:val="20"/>
          <w:szCs w:val="20"/>
        </w:rPr>
        <w:t>lieu of through</w:t>
      </w:r>
      <w:r w:rsidR="005B3C45">
        <w:rPr>
          <w:rFonts w:ascii="Arial" w:hAnsi="Arial" w:cs="Arial"/>
          <w:sz w:val="20"/>
          <w:szCs w:val="20"/>
        </w:rPr>
        <w:t>put</w:t>
      </w:r>
      <w:r w:rsidR="001134B5">
        <w:rPr>
          <w:rFonts w:ascii="Arial" w:hAnsi="Arial" w:cs="Arial"/>
          <w:sz w:val="20"/>
          <w:szCs w:val="20"/>
        </w:rPr>
        <w:t xml:space="preserve"> have</w:t>
      </w:r>
      <w:r w:rsidR="00E230FC">
        <w:rPr>
          <w:rFonts w:ascii="Arial" w:hAnsi="Arial" w:cs="Arial"/>
          <w:sz w:val="20"/>
          <w:szCs w:val="20"/>
        </w:rPr>
        <w:t xml:space="preserve"> been instrumental toward the identification of potential therapeutic targets, understand</w:t>
      </w:r>
      <w:r w:rsidR="002E7BEA">
        <w:rPr>
          <w:rFonts w:ascii="Arial" w:hAnsi="Arial" w:cs="Arial"/>
          <w:sz w:val="20"/>
          <w:szCs w:val="20"/>
        </w:rPr>
        <w:t>ing</w:t>
      </w:r>
      <w:r w:rsidR="00E230FC">
        <w:rPr>
          <w:rFonts w:ascii="Arial" w:hAnsi="Arial" w:cs="Arial"/>
          <w:sz w:val="20"/>
          <w:szCs w:val="20"/>
        </w:rPr>
        <w:t xml:space="preserve"> biological signaling, and </w:t>
      </w:r>
      <w:r w:rsidR="00563E08">
        <w:rPr>
          <w:rFonts w:ascii="Arial" w:hAnsi="Arial" w:cs="Arial"/>
          <w:sz w:val="20"/>
          <w:szCs w:val="20"/>
        </w:rPr>
        <w:t>enabl</w:t>
      </w:r>
      <w:r w:rsidR="002E7BEA">
        <w:rPr>
          <w:rFonts w:ascii="Arial" w:hAnsi="Arial" w:cs="Arial"/>
          <w:sz w:val="20"/>
          <w:szCs w:val="20"/>
        </w:rPr>
        <w:t>ing</w:t>
      </w:r>
      <w:r w:rsidR="00E230FC">
        <w:rPr>
          <w:rFonts w:ascii="Arial" w:hAnsi="Arial" w:cs="Arial"/>
          <w:sz w:val="20"/>
          <w:szCs w:val="20"/>
        </w:rPr>
        <w:t xml:space="preserve"> drug repositioning opportunities.</w:t>
      </w:r>
      <w:r w:rsidR="00B92F7B">
        <w:rPr>
          <w:rStyle w:val="EndnoteReference"/>
          <w:rFonts w:ascii="Arial" w:hAnsi="Arial" w:cs="Arial"/>
          <w:sz w:val="20"/>
          <w:szCs w:val="20"/>
        </w:rPr>
        <w:endnoteReference w:id="1"/>
      </w:r>
      <w:r w:rsidR="008C7351">
        <w:rPr>
          <w:rFonts w:ascii="Arial" w:hAnsi="Arial" w:cs="Arial"/>
          <w:sz w:val="20"/>
          <w:szCs w:val="20"/>
          <w:vertAlign w:val="superscript"/>
        </w:rPr>
        <w:t>,</w:t>
      </w:r>
      <w:r w:rsidR="00644855">
        <w:rPr>
          <w:rStyle w:val="EndnoteReference"/>
          <w:rFonts w:ascii="Arial" w:hAnsi="Arial" w:cs="Arial"/>
          <w:sz w:val="20"/>
          <w:szCs w:val="20"/>
        </w:rPr>
        <w:endnoteReference w:id="2"/>
      </w:r>
      <w:r w:rsidR="004860D8">
        <w:rPr>
          <w:rFonts w:ascii="Arial" w:hAnsi="Arial" w:cs="Arial"/>
          <w:sz w:val="20"/>
          <w:szCs w:val="20"/>
        </w:rPr>
        <w:t xml:space="preserve"> </w:t>
      </w:r>
      <w:r w:rsidR="001C4DA5">
        <w:rPr>
          <w:rFonts w:ascii="Arial" w:hAnsi="Arial" w:cs="Arial"/>
          <w:sz w:val="20"/>
          <w:szCs w:val="20"/>
        </w:rPr>
        <w:t>Such libraries can be particularly informative when examining the mechanism underlying phenotypic assays.</w:t>
      </w:r>
    </w:p>
    <w:p w14:paraId="2B8A6B49" w14:textId="3A096BD3" w:rsidR="00D80E51" w:rsidRDefault="001C4DA5" w:rsidP="003C2306">
      <w:pPr>
        <w:spacing w:line="360" w:lineRule="auto"/>
        <w:ind w:firstLine="720"/>
        <w:contextualSpacing/>
        <w:jc w:val="both"/>
        <w:rPr>
          <w:rFonts w:ascii="Arial" w:hAnsi="Arial" w:cs="Arial"/>
          <w:sz w:val="20"/>
          <w:szCs w:val="20"/>
        </w:rPr>
      </w:pPr>
      <w:r w:rsidRPr="0033570A">
        <w:rPr>
          <w:rFonts w:ascii="Arial" w:hAnsi="Arial" w:cs="Arial"/>
          <w:sz w:val="20"/>
          <w:szCs w:val="20"/>
        </w:rPr>
        <w:t>The potential of phenotypic screening in disease relevant models facilitates greater potential translatability toward in vivo experiments</w:t>
      </w:r>
      <w:r w:rsidRPr="0033570A">
        <w:rPr>
          <w:rStyle w:val="EndnoteReference"/>
          <w:rFonts w:ascii="Arial" w:hAnsi="Arial" w:cs="Arial"/>
          <w:sz w:val="20"/>
          <w:szCs w:val="20"/>
        </w:rPr>
        <w:endnoteReference w:id="3"/>
      </w:r>
      <w:r w:rsidRPr="0033570A">
        <w:rPr>
          <w:rFonts w:ascii="Arial" w:hAnsi="Arial" w:cs="Arial"/>
          <w:sz w:val="20"/>
          <w:szCs w:val="20"/>
          <w:vertAlign w:val="superscript"/>
        </w:rPr>
        <w:t>,</w:t>
      </w:r>
      <w:r w:rsidRPr="0033570A">
        <w:rPr>
          <w:rStyle w:val="EndnoteReference"/>
          <w:rFonts w:ascii="Arial" w:hAnsi="Arial" w:cs="Arial"/>
          <w:sz w:val="20"/>
          <w:szCs w:val="20"/>
        </w:rPr>
        <w:endnoteReference w:id="4"/>
      </w:r>
      <w:r>
        <w:rPr>
          <w:rFonts w:ascii="Arial" w:hAnsi="Arial" w:cs="Arial"/>
          <w:sz w:val="20"/>
          <w:szCs w:val="20"/>
        </w:rPr>
        <w:t>. R</w:t>
      </w:r>
      <w:r w:rsidRPr="0033570A">
        <w:rPr>
          <w:rFonts w:ascii="Arial" w:hAnsi="Arial" w:cs="Arial"/>
          <w:sz w:val="20"/>
          <w:szCs w:val="20"/>
        </w:rPr>
        <w:t>etrospective analyses of first-in-class drugs highlight the potential clinical success of drug candidates from systems-based approaches that often originate from phenotypic screening.</w:t>
      </w:r>
      <w:r w:rsidRPr="0033570A">
        <w:rPr>
          <w:rStyle w:val="EndnoteReference"/>
          <w:rFonts w:ascii="Arial" w:hAnsi="Arial" w:cs="Arial"/>
          <w:sz w:val="20"/>
          <w:szCs w:val="20"/>
        </w:rPr>
        <w:endnoteReference w:id="5"/>
      </w:r>
      <w:r w:rsidRPr="0033570A">
        <w:rPr>
          <w:rFonts w:ascii="Arial" w:hAnsi="Arial" w:cs="Arial"/>
          <w:sz w:val="20"/>
          <w:szCs w:val="20"/>
          <w:vertAlign w:val="superscript"/>
        </w:rPr>
        <w:t>,</w:t>
      </w:r>
      <w:r w:rsidRPr="0033570A">
        <w:rPr>
          <w:rStyle w:val="EndnoteReference"/>
          <w:rFonts w:ascii="Arial" w:hAnsi="Arial" w:cs="Arial"/>
          <w:sz w:val="20"/>
          <w:szCs w:val="20"/>
        </w:rPr>
        <w:endnoteReference w:id="6"/>
      </w:r>
      <w:r w:rsidRPr="0033570A">
        <w:rPr>
          <w:rFonts w:ascii="Arial" w:hAnsi="Arial" w:cs="Arial"/>
          <w:sz w:val="20"/>
          <w:szCs w:val="20"/>
          <w:vertAlign w:val="superscript"/>
        </w:rPr>
        <w:t>,</w:t>
      </w:r>
      <w:r w:rsidRPr="0033570A">
        <w:rPr>
          <w:rStyle w:val="EndnoteReference"/>
          <w:rFonts w:ascii="Arial" w:hAnsi="Arial" w:cs="Arial"/>
          <w:sz w:val="20"/>
          <w:szCs w:val="20"/>
        </w:rPr>
        <w:endnoteReference w:id="7"/>
      </w:r>
      <w:r w:rsidRPr="0066088B">
        <w:rPr>
          <w:rFonts w:ascii="Arial" w:hAnsi="Arial" w:cs="Arial"/>
          <w:sz w:val="20"/>
          <w:szCs w:val="20"/>
        </w:rPr>
        <w:t xml:space="preserve"> </w:t>
      </w:r>
      <w:r>
        <w:rPr>
          <w:rFonts w:ascii="Arial" w:hAnsi="Arial" w:cs="Arial"/>
          <w:sz w:val="20"/>
          <w:szCs w:val="20"/>
        </w:rPr>
        <w:t xml:space="preserve"> </w:t>
      </w:r>
      <w:r w:rsidR="00951019" w:rsidRPr="0033570A">
        <w:rPr>
          <w:rFonts w:ascii="Arial" w:hAnsi="Arial" w:cs="Arial"/>
          <w:sz w:val="20"/>
          <w:szCs w:val="20"/>
        </w:rPr>
        <w:t>To</w:t>
      </w:r>
      <w:r w:rsidR="00951019">
        <w:rPr>
          <w:rFonts w:ascii="Arial" w:hAnsi="Arial" w:cs="Arial"/>
          <w:sz w:val="20"/>
          <w:szCs w:val="20"/>
        </w:rPr>
        <w:t xml:space="preserve"> capitalize</w:t>
      </w:r>
      <w:r w:rsidR="00DF3BF6">
        <w:rPr>
          <w:rFonts w:ascii="Arial" w:hAnsi="Arial" w:cs="Arial"/>
          <w:sz w:val="20"/>
          <w:szCs w:val="20"/>
        </w:rPr>
        <w:t xml:space="preserve"> on </w:t>
      </w:r>
      <w:r w:rsidR="001C1FF7">
        <w:rPr>
          <w:rFonts w:ascii="Arial" w:hAnsi="Arial" w:cs="Arial"/>
          <w:sz w:val="20"/>
          <w:szCs w:val="20"/>
        </w:rPr>
        <w:t xml:space="preserve">the </w:t>
      </w:r>
      <w:r w:rsidR="002D5C4C">
        <w:rPr>
          <w:rFonts w:ascii="Arial" w:hAnsi="Arial" w:cs="Arial"/>
          <w:sz w:val="20"/>
          <w:szCs w:val="20"/>
        </w:rPr>
        <w:t xml:space="preserve">unique </w:t>
      </w:r>
      <w:r w:rsidR="009D4C10" w:rsidRPr="003C2306">
        <w:rPr>
          <w:rFonts w:ascii="Arial" w:hAnsi="Arial" w:cs="Arial"/>
          <w:sz w:val="20"/>
          <w:szCs w:val="20"/>
        </w:rPr>
        <w:t>qualities</w:t>
      </w:r>
      <w:r w:rsidR="004548F9" w:rsidRPr="003C2306">
        <w:rPr>
          <w:rFonts w:ascii="Arial" w:hAnsi="Arial" w:cs="Arial"/>
          <w:sz w:val="20"/>
          <w:szCs w:val="20"/>
        </w:rPr>
        <w:t xml:space="preserve"> </w:t>
      </w:r>
      <w:r w:rsidR="002D5C4C">
        <w:rPr>
          <w:rFonts w:ascii="Arial" w:hAnsi="Arial" w:cs="Arial"/>
          <w:sz w:val="20"/>
          <w:szCs w:val="20"/>
        </w:rPr>
        <w:t>of</w:t>
      </w:r>
      <w:r w:rsidR="00A5700A">
        <w:rPr>
          <w:rFonts w:ascii="Arial" w:hAnsi="Arial" w:cs="Arial"/>
          <w:sz w:val="20"/>
          <w:szCs w:val="20"/>
        </w:rPr>
        <w:t xml:space="preserve"> </w:t>
      </w:r>
      <w:r w:rsidR="002D5C4C">
        <w:rPr>
          <w:rFonts w:ascii="Arial" w:hAnsi="Arial" w:cs="Arial"/>
          <w:sz w:val="20"/>
          <w:szCs w:val="20"/>
        </w:rPr>
        <w:t xml:space="preserve">tool compounds </w:t>
      </w:r>
      <w:r w:rsidR="009D4C10" w:rsidRPr="003C2306">
        <w:rPr>
          <w:rFonts w:ascii="Arial" w:hAnsi="Arial" w:cs="Arial"/>
          <w:sz w:val="20"/>
          <w:szCs w:val="20"/>
        </w:rPr>
        <w:t>within our own</w:t>
      </w:r>
      <w:r w:rsidR="003562A0">
        <w:rPr>
          <w:rFonts w:ascii="Arial" w:hAnsi="Arial" w:cs="Arial"/>
          <w:color w:val="C0504D" w:themeColor="accent2"/>
          <w:sz w:val="20"/>
          <w:szCs w:val="20"/>
        </w:rPr>
        <w:t xml:space="preserve"> </w:t>
      </w:r>
      <w:r w:rsidR="00DF3BF6" w:rsidRPr="003562A0">
        <w:rPr>
          <w:rFonts w:ascii="Arial" w:hAnsi="Arial" w:cs="Arial"/>
          <w:sz w:val="20"/>
          <w:szCs w:val="20"/>
        </w:rPr>
        <w:t>phenotypic</w:t>
      </w:r>
      <w:r w:rsidR="00DF3BF6">
        <w:rPr>
          <w:rFonts w:ascii="Arial" w:hAnsi="Arial" w:cs="Arial"/>
          <w:sz w:val="20"/>
          <w:szCs w:val="20"/>
        </w:rPr>
        <w:t xml:space="preserve"> </w:t>
      </w:r>
      <w:r w:rsidR="002D5C4C">
        <w:rPr>
          <w:rFonts w:ascii="Arial" w:hAnsi="Arial" w:cs="Arial"/>
          <w:sz w:val="20"/>
          <w:szCs w:val="20"/>
        </w:rPr>
        <w:t>screening efforts</w:t>
      </w:r>
      <w:r w:rsidR="00DF3BF6">
        <w:rPr>
          <w:rFonts w:ascii="Arial" w:hAnsi="Arial" w:cs="Arial"/>
          <w:sz w:val="20"/>
          <w:szCs w:val="20"/>
        </w:rPr>
        <w:t>,</w:t>
      </w:r>
      <w:r w:rsidR="002D5C4C">
        <w:rPr>
          <w:rFonts w:ascii="Arial" w:hAnsi="Arial" w:cs="Arial"/>
          <w:sz w:val="20"/>
          <w:szCs w:val="20"/>
        </w:rPr>
        <w:t xml:space="preserve"> we create</w:t>
      </w:r>
      <w:r w:rsidR="001C1FF7">
        <w:rPr>
          <w:rFonts w:ascii="Arial" w:hAnsi="Arial" w:cs="Arial"/>
          <w:sz w:val="20"/>
          <w:szCs w:val="20"/>
        </w:rPr>
        <w:t>d</w:t>
      </w:r>
      <w:r w:rsidR="002D5C4C">
        <w:rPr>
          <w:rFonts w:ascii="Arial" w:hAnsi="Arial" w:cs="Arial"/>
          <w:sz w:val="20"/>
          <w:szCs w:val="20"/>
        </w:rPr>
        <w:t xml:space="preserve"> a</w:t>
      </w:r>
      <w:r w:rsidR="001C1FF7">
        <w:rPr>
          <w:rFonts w:ascii="Arial" w:hAnsi="Arial" w:cs="Arial"/>
          <w:sz w:val="20"/>
          <w:szCs w:val="20"/>
        </w:rPr>
        <w:t xml:space="preserve"> strategic workflow</w:t>
      </w:r>
      <w:r w:rsidR="002D5C4C">
        <w:rPr>
          <w:rFonts w:ascii="Arial" w:hAnsi="Arial" w:cs="Arial"/>
          <w:sz w:val="20"/>
          <w:szCs w:val="20"/>
        </w:rPr>
        <w:t xml:space="preserve"> </w:t>
      </w:r>
      <w:r w:rsidR="001C1FF7">
        <w:rPr>
          <w:rFonts w:ascii="Arial" w:hAnsi="Arial" w:cs="Arial"/>
          <w:sz w:val="20"/>
          <w:szCs w:val="20"/>
        </w:rPr>
        <w:t xml:space="preserve">to construct a </w:t>
      </w:r>
      <w:r w:rsidR="002D5C4C">
        <w:rPr>
          <w:rFonts w:ascii="Arial" w:hAnsi="Arial" w:cs="Arial"/>
          <w:sz w:val="20"/>
          <w:szCs w:val="20"/>
        </w:rPr>
        <w:t xml:space="preserve">set of </w:t>
      </w:r>
      <w:r w:rsidR="00C824D4">
        <w:rPr>
          <w:rFonts w:ascii="Arial" w:hAnsi="Arial" w:cs="Arial"/>
          <w:sz w:val="20"/>
          <w:szCs w:val="20"/>
        </w:rPr>
        <w:t>probe</w:t>
      </w:r>
      <w:r w:rsidR="001C1FF7">
        <w:rPr>
          <w:rFonts w:ascii="Arial" w:hAnsi="Arial" w:cs="Arial"/>
          <w:sz w:val="20"/>
          <w:szCs w:val="20"/>
        </w:rPr>
        <w:t>s with the primary goal of broad</w:t>
      </w:r>
      <w:r w:rsidR="00C569ED">
        <w:rPr>
          <w:rFonts w:ascii="Arial" w:hAnsi="Arial" w:cs="Arial"/>
          <w:sz w:val="20"/>
          <w:szCs w:val="20"/>
        </w:rPr>
        <w:t xml:space="preserve"> </w:t>
      </w:r>
      <w:r w:rsidR="001C1FF7">
        <w:rPr>
          <w:rFonts w:ascii="Arial" w:hAnsi="Arial" w:cs="Arial"/>
          <w:sz w:val="20"/>
          <w:szCs w:val="20"/>
        </w:rPr>
        <w:t xml:space="preserve">representation </w:t>
      </w:r>
      <w:r w:rsidR="00DF3BF6">
        <w:rPr>
          <w:rFonts w:ascii="Arial" w:hAnsi="Arial" w:cs="Arial"/>
          <w:sz w:val="20"/>
          <w:szCs w:val="20"/>
        </w:rPr>
        <w:t xml:space="preserve">across </w:t>
      </w:r>
      <w:r w:rsidR="001C1FF7">
        <w:rPr>
          <w:rFonts w:ascii="Arial" w:hAnsi="Arial" w:cs="Arial"/>
          <w:sz w:val="20"/>
          <w:szCs w:val="20"/>
        </w:rPr>
        <w:t>as many human</w:t>
      </w:r>
      <w:r w:rsidR="00DF3BF6">
        <w:rPr>
          <w:rFonts w:ascii="Arial" w:hAnsi="Arial" w:cs="Arial"/>
          <w:sz w:val="20"/>
          <w:szCs w:val="20"/>
        </w:rPr>
        <w:t xml:space="preserve"> targets and modalities</w:t>
      </w:r>
      <w:r w:rsidR="00C569ED">
        <w:rPr>
          <w:rFonts w:ascii="Arial" w:hAnsi="Arial" w:cs="Arial"/>
          <w:sz w:val="20"/>
          <w:szCs w:val="20"/>
        </w:rPr>
        <w:t xml:space="preserve"> as possible</w:t>
      </w:r>
      <w:r w:rsidR="002D5C4C">
        <w:rPr>
          <w:rFonts w:ascii="Arial" w:hAnsi="Arial" w:cs="Arial"/>
          <w:sz w:val="20"/>
          <w:szCs w:val="20"/>
        </w:rPr>
        <w:t>.</w:t>
      </w:r>
      <w:r w:rsidR="00214FB0">
        <w:rPr>
          <w:rFonts w:ascii="Arial" w:hAnsi="Arial" w:cs="Arial"/>
          <w:sz w:val="20"/>
          <w:szCs w:val="20"/>
        </w:rPr>
        <w:t xml:space="preserve"> </w:t>
      </w:r>
      <w:r w:rsidR="008C7351">
        <w:rPr>
          <w:rFonts w:ascii="Arial" w:hAnsi="Arial" w:cs="Arial"/>
          <w:sz w:val="20"/>
          <w:szCs w:val="20"/>
        </w:rPr>
        <w:t>Over the course of 6 years, we assembled and grew a dynamic chemogenetic library of chemical probes (a Mechanism-of-Action Box, or MoA Box) using a mixture of data mining and crowdsourcing institutional expertise across a range of cross-functional scientists</w:t>
      </w:r>
      <w:r w:rsidR="000718F4">
        <w:rPr>
          <w:rFonts w:ascii="Arial" w:hAnsi="Arial" w:cs="Arial"/>
          <w:sz w:val="20"/>
          <w:szCs w:val="20"/>
        </w:rPr>
        <w:t xml:space="preserve"> within Novartis</w:t>
      </w:r>
      <w:r w:rsidR="008C7351">
        <w:rPr>
          <w:rFonts w:ascii="Arial" w:hAnsi="Arial" w:cs="Arial"/>
          <w:sz w:val="20"/>
          <w:szCs w:val="20"/>
        </w:rPr>
        <w:t xml:space="preserve">. While a chemogenetic library is not conceptually unique, we wish to share our lessons learned in construction, annotation, </w:t>
      </w:r>
      <w:r w:rsidR="00643508">
        <w:rPr>
          <w:rFonts w:ascii="Arial" w:hAnsi="Arial" w:cs="Arial"/>
          <w:sz w:val="20"/>
          <w:szCs w:val="20"/>
        </w:rPr>
        <w:t>and application of our</w:t>
      </w:r>
      <w:r w:rsidR="008C7351">
        <w:rPr>
          <w:rFonts w:ascii="Arial" w:hAnsi="Arial" w:cs="Arial"/>
          <w:sz w:val="20"/>
          <w:szCs w:val="20"/>
        </w:rPr>
        <w:t xml:space="preserve"> MoA Box so that </w:t>
      </w:r>
      <w:r w:rsidR="008C7351">
        <w:rPr>
          <w:rFonts w:ascii="Arial" w:hAnsi="Arial" w:cs="Arial"/>
          <w:sz w:val="20"/>
          <w:szCs w:val="20"/>
        </w:rPr>
        <w:lastRenderedPageBreak/>
        <w:t>they may help spur discussions and enable the larger chemical probe community should others wish to undertake parallel efforts.</w:t>
      </w:r>
      <w:r w:rsidR="00511D5C" w:rsidRPr="0039042D">
        <w:rPr>
          <w:rFonts w:ascii="Arial" w:hAnsi="Arial" w:cs="Arial"/>
          <w:sz w:val="20"/>
          <w:szCs w:val="20"/>
        </w:rPr>
        <w:t xml:space="preserve"> </w:t>
      </w:r>
      <w:r w:rsidR="00E63416">
        <w:rPr>
          <w:rFonts w:ascii="Arial" w:hAnsi="Arial" w:cs="Arial"/>
          <w:sz w:val="20"/>
          <w:szCs w:val="20"/>
        </w:rPr>
        <w:t xml:space="preserve">Our efforts have enabled a </w:t>
      </w:r>
      <w:r w:rsidR="004E1B66">
        <w:rPr>
          <w:rFonts w:ascii="Arial" w:hAnsi="Arial" w:cs="Arial"/>
          <w:sz w:val="20"/>
          <w:szCs w:val="20"/>
        </w:rPr>
        <w:t>plated and available</w:t>
      </w:r>
      <w:r w:rsidR="00E63416">
        <w:rPr>
          <w:rFonts w:ascii="Arial" w:hAnsi="Arial" w:cs="Arial"/>
          <w:sz w:val="20"/>
          <w:szCs w:val="20"/>
        </w:rPr>
        <w:t xml:space="preserve"> chemogenetic library (NIBR MoA Box)</w:t>
      </w:r>
      <w:r w:rsidR="004E1B66">
        <w:rPr>
          <w:rFonts w:ascii="Arial" w:hAnsi="Arial" w:cs="Arial"/>
          <w:sz w:val="20"/>
          <w:szCs w:val="20"/>
        </w:rPr>
        <w:t xml:space="preserve"> for open collaboration</w:t>
      </w:r>
      <w:r w:rsidR="00703464">
        <w:rPr>
          <w:rFonts w:ascii="Arial" w:hAnsi="Arial" w:cs="Arial"/>
          <w:sz w:val="20"/>
          <w:szCs w:val="20"/>
        </w:rPr>
        <w:t>s</w:t>
      </w:r>
      <w:r w:rsidR="00E63416">
        <w:rPr>
          <w:rFonts w:ascii="Arial" w:hAnsi="Arial" w:cs="Arial"/>
          <w:sz w:val="20"/>
          <w:szCs w:val="20"/>
        </w:rPr>
        <w:t xml:space="preserve"> with external partners</w:t>
      </w:r>
      <w:r w:rsidR="004E1B66">
        <w:rPr>
          <w:rFonts w:ascii="Arial" w:hAnsi="Arial" w:cs="Arial"/>
          <w:sz w:val="20"/>
          <w:szCs w:val="20"/>
        </w:rPr>
        <w:t xml:space="preserve"> through our Novartis’</w:t>
      </w:r>
      <w:r w:rsidR="008E7FB1">
        <w:rPr>
          <w:rFonts w:ascii="Arial" w:hAnsi="Arial" w:cs="Arial"/>
          <w:sz w:val="20"/>
          <w:szCs w:val="20"/>
        </w:rPr>
        <w:t xml:space="preserve"> </w:t>
      </w:r>
      <w:r w:rsidR="002D4A2C">
        <w:rPr>
          <w:rFonts w:ascii="Arial" w:hAnsi="Arial" w:cs="Arial"/>
          <w:sz w:val="20"/>
          <w:szCs w:val="20"/>
        </w:rPr>
        <w:t>facilitated</w:t>
      </w:r>
      <w:r w:rsidR="008E7FB1">
        <w:rPr>
          <w:rFonts w:ascii="Arial" w:hAnsi="Arial" w:cs="Arial"/>
          <w:sz w:val="20"/>
          <w:szCs w:val="20"/>
        </w:rPr>
        <w:t xml:space="preserve"> access to screening t</w:t>
      </w:r>
      <w:r w:rsidR="004E1B66">
        <w:rPr>
          <w:rFonts w:ascii="Arial" w:hAnsi="Arial" w:cs="Arial"/>
          <w:sz w:val="20"/>
          <w:szCs w:val="20"/>
        </w:rPr>
        <w:t>echnologies (FAST)</w:t>
      </w:r>
      <w:r w:rsidR="006E70C2">
        <w:rPr>
          <w:rFonts w:ascii="Arial" w:hAnsi="Arial" w:cs="Arial"/>
          <w:sz w:val="20"/>
          <w:szCs w:val="20"/>
        </w:rPr>
        <w:t xml:space="preserve"> group</w:t>
      </w:r>
      <w:r w:rsidR="004E1B66">
        <w:rPr>
          <w:rFonts w:ascii="Arial" w:hAnsi="Arial" w:cs="Arial"/>
          <w:sz w:val="20"/>
          <w:szCs w:val="20"/>
        </w:rPr>
        <w:t>.</w:t>
      </w:r>
    </w:p>
    <w:p w14:paraId="7842A0AA" w14:textId="77777777" w:rsidR="00A12DDF" w:rsidRDefault="00A12DDF" w:rsidP="00D80E51">
      <w:pPr>
        <w:spacing w:line="360" w:lineRule="auto"/>
        <w:contextualSpacing/>
        <w:jc w:val="both"/>
        <w:rPr>
          <w:rFonts w:ascii="Arial" w:hAnsi="Arial" w:cs="Arial"/>
          <w:b/>
          <w:i/>
          <w:sz w:val="20"/>
          <w:szCs w:val="20"/>
        </w:rPr>
      </w:pPr>
    </w:p>
    <w:p w14:paraId="2F1A8F19" w14:textId="77777777" w:rsidR="007340FD" w:rsidRPr="00D80E51" w:rsidRDefault="007340FD" w:rsidP="00D80E51">
      <w:pPr>
        <w:spacing w:line="360" w:lineRule="auto"/>
        <w:contextualSpacing/>
        <w:jc w:val="both"/>
        <w:rPr>
          <w:rFonts w:ascii="Arial" w:hAnsi="Arial" w:cs="Arial"/>
          <w:sz w:val="20"/>
          <w:szCs w:val="20"/>
        </w:rPr>
      </w:pPr>
      <w:r w:rsidRPr="00674FBC">
        <w:rPr>
          <w:rFonts w:ascii="Arial" w:hAnsi="Arial" w:cs="Arial"/>
          <w:b/>
          <w:i/>
          <w:sz w:val="20"/>
          <w:szCs w:val="20"/>
        </w:rPr>
        <w:t>Info</w:t>
      </w:r>
      <w:r>
        <w:rPr>
          <w:rFonts w:ascii="Arial" w:hAnsi="Arial" w:cs="Arial"/>
          <w:b/>
          <w:i/>
          <w:sz w:val="20"/>
          <w:szCs w:val="20"/>
        </w:rPr>
        <w:t>r</w:t>
      </w:r>
      <w:r w:rsidRPr="00674FBC">
        <w:rPr>
          <w:rFonts w:ascii="Arial" w:hAnsi="Arial" w:cs="Arial"/>
          <w:b/>
          <w:i/>
          <w:sz w:val="20"/>
          <w:szCs w:val="20"/>
        </w:rPr>
        <w:t xml:space="preserve">matics driven </w:t>
      </w:r>
      <w:r>
        <w:rPr>
          <w:rFonts w:ascii="Arial" w:hAnsi="Arial" w:cs="Arial"/>
          <w:b/>
          <w:i/>
          <w:sz w:val="20"/>
          <w:szCs w:val="20"/>
        </w:rPr>
        <w:t>knowledge automation</w:t>
      </w:r>
    </w:p>
    <w:p w14:paraId="28F076F1" w14:textId="36FD605D" w:rsidR="007340FD" w:rsidRDefault="007340FD" w:rsidP="006963A7">
      <w:pPr>
        <w:spacing w:line="360" w:lineRule="auto"/>
        <w:ind w:firstLine="720"/>
        <w:contextualSpacing/>
        <w:jc w:val="both"/>
        <w:rPr>
          <w:rFonts w:ascii="Arial" w:hAnsi="Arial" w:cs="Arial"/>
          <w:sz w:val="20"/>
          <w:szCs w:val="20"/>
        </w:rPr>
      </w:pPr>
      <w:r>
        <w:rPr>
          <w:rFonts w:ascii="Arial" w:hAnsi="Arial" w:cs="Arial"/>
          <w:sz w:val="20"/>
          <w:szCs w:val="20"/>
        </w:rPr>
        <w:t xml:space="preserve">The initial </w:t>
      </w:r>
      <w:r w:rsidR="00BF35A7">
        <w:rPr>
          <w:rFonts w:ascii="Arial" w:hAnsi="Arial" w:cs="Arial"/>
          <w:sz w:val="20"/>
          <w:szCs w:val="20"/>
        </w:rPr>
        <w:t xml:space="preserve">NIBR </w:t>
      </w:r>
      <w:r>
        <w:rPr>
          <w:rFonts w:ascii="Arial" w:hAnsi="Arial" w:cs="Arial"/>
          <w:sz w:val="20"/>
          <w:szCs w:val="20"/>
        </w:rPr>
        <w:t>MoA Box construction was guided by general principles</w:t>
      </w:r>
      <w:r>
        <w:rPr>
          <w:rStyle w:val="EndnoteReference"/>
          <w:rFonts w:ascii="Arial" w:hAnsi="Arial" w:cs="Arial"/>
          <w:sz w:val="20"/>
          <w:szCs w:val="20"/>
        </w:rPr>
        <w:endnoteReference w:id="8"/>
      </w:r>
      <w:r w:rsidRPr="000E3E2A">
        <w:rPr>
          <w:rFonts w:ascii="Arial" w:hAnsi="Arial" w:cs="Arial"/>
          <w:sz w:val="20"/>
          <w:szCs w:val="20"/>
          <w:vertAlign w:val="superscript"/>
        </w:rPr>
        <w:t>,</w:t>
      </w:r>
      <w:r>
        <w:rPr>
          <w:rStyle w:val="EndnoteReference"/>
          <w:rFonts w:ascii="Arial" w:hAnsi="Arial" w:cs="Arial"/>
          <w:sz w:val="20"/>
          <w:szCs w:val="20"/>
        </w:rPr>
        <w:endnoteReference w:id="9"/>
      </w:r>
      <w:r>
        <w:rPr>
          <w:rFonts w:ascii="Arial" w:hAnsi="Arial" w:cs="Arial"/>
          <w:sz w:val="20"/>
          <w:szCs w:val="20"/>
        </w:rPr>
        <w:t xml:space="preserve"> outlined for robust tool compounds: 1) demonstrated target engagement; 2) physiochemical properties sufficient for cell-based assays; 3) demonstrated cellular (or organismal) pharmacodynamics effects and 4) appropriate control compounds. A central pillar of our strategy was to be inclusive for the sake of target coverage, with the option to include or exclude probes in a dynamic fashion as internal and external compound</w:t>
      </w:r>
      <w:r w:rsidR="00E51402">
        <w:rPr>
          <w:rFonts w:ascii="Arial" w:hAnsi="Arial" w:cs="Arial"/>
          <w:sz w:val="20"/>
          <w:szCs w:val="20"/>
        </w:rPr>
        <w:sym w:font="Symbol" w:char="F02D"/>
      </w:r>
      <w:r>
        <w:rPr>
          <w:rFonts w:ascii="Arial" w:hAnsi="Arial" w:cs="Arial"/>
          <w:sz w:val="20"/>
          <w:szCs w:val="20"/>
        </w:rPr>
        <w:t>target knowledge evolves</w:t>
      </w:r>
      <w:r w:rsidR="001962AA">
        <w:rPr>
          <w:rFonts w:ascii="Arial" w:hAnsi="Arial" w:cs="Arial"/>
          <w:sz w:val="20"/>
          <w:szCs w:val="20"/>
        </w:rPr>
        <w:t>.</w:t>
      </w:r>
      <w:r>
        <w:rPr>
          <w:rFonts w:ascii="Arial" w:hAnsi="Arial" w:cs="Arial"/>
          <w:sz w:val="20"/>
          <w:szCs w:val="20"/>
        </w:rPr>
        <w:t xml:space="preserve"> By being inclusive, we acknowledge that hits from our MoA Box screens provide comp</w:t>
      </w:r>
      <w:r w:rsidR="00E51402">
        <w:rPr>
          <w:rFonts w:ascii="Arial" w:hAnsi="Arial" w:cs="Arial"/>
          <w:sz w:val="20"/>
          <w:szCs w:val="20"/>
        </w:rPr>
        <w:t>ound</w:t>
      </w:r>
      <w:r w:rsidR="00E51402">
        <w:rPr>
          <w:rFonts w:ascii="Arial" w:hAnsi="Arial" w:cs="Arial"/>
          <w:sz w:val="20"/>
          <w:szCs w:val="20"/>
        </w:rPr>
        <w:sym w:font="Symbol" w:char="F02D"/>
      </w:r>
      <w:r>
        <w:rPr>
          <w:rFonts w:ascii="Arial" w:hAnsi="Arial" w:cs="Arial"/>
          <w:sz w:val="20"/>
          <w:szCs w:val="20"/>
        </w:rPr>
        <w:t>target hypotheses that require additional follow-up validation.</w:t>
      </w:r>
      <w:r w:rsidR="001962AA">
        <w:rPr>
          <w:rFonts w:ascii="Arial" w:hAnsi="Arial" w:cs="Arial"/>
          <w:sz w:val="20"/>
          <w:szCs w:val="20"/>
        </w:rPr>
        <w:t xml:space="preserve"> </w:t>
      </w:r>
    </w:p>
    <w:p w14:paraId="2C0FD29E" w14:textId="06340C35" w:rsidR="00643508" w:rsidRDefault="007340FD" w:rsidP="00643508">
      <w:pPr>
        <w:spacing w:line="360" w:lineRule="auto"/>
        <w:jc w:val="both"/>
        <w:rPr>
          <w:rFonts w:ascii="Arial" w:hAnsi="Arial" w:cs="Arial"/>
          <w:sz w:val="20"/>
          <w:szCs w:val="20"/>
        </w:rPr>
      </w:pPr>
      <w:r>
        <w:rPr>
          <w:rFonts w:ascii="Arial" w:hAnsi="Arial" w:cs="Arial"/>
          <w:sz w:val="20"/>
          <w:szCs w:val="20"/>
        </w:rPr>
        <w:t xml:space="preserve">In order to design heuristics to prioritize members, we first needed a large-scale structured bioactivity knowledgebase. </w:t>
      </w:r>
      <w:r w:rsidRPr="00600467">
        <w:rPr>
          <w:rFonts w:ascii="Arial" w:hAnsi="Arial" w:cs="Arial"/>
          <w:sz w:val="20"/>
          <w:szCs w:val="20"/>
        </w:rPr>
        <w:t xml:space="preserve">HitHub </w:t>
      </w:r>
      <w:r>
        <w:rPr>
          <w:rFonts w:ascii="Arial" w:hAnsi="Arial" w:cs="Arial"/>
          <w:sz w:val="20"/>
          <w:szCs w:val="20"/>
        </w:rPr>
        <w:t>is</w:t>
      </w:r>
      <w:r w:rsidRPr="00600467">
        <w:rPr>
          <w:rFonts w:ascii="Arial" w:hAnsi="Arial" w:cs="Arial"/>
          <w:sz w:val="20"/>
          <w:szCs w:val="20"/>
        </w:rPr>
        <w:t xml:space="preserve"> a</w:t>
      </w:r>
      <w:r>
        <w:rPr>
          <w:rFonts w:ascii="Arial" w:hAnsi="Arial" w:cs="Arial"/>
          <w:sz w:val="20"/>
          <w:szCs w:val="20"/>
        </w:rPr>
        <w:t xml:space="preserve"> robust </w:t>
      </w:r>
      <w:r w:rsidR="00CD4B1D">
        <w:rPr>
          <w:rFonts w:ascii="Arial" w:hAnsi="Arial" w:cs="Arial"/>
          <w:sz w:val="20"/>
          <w:szCs w:val="20"/>
        </w:rPr>
        <w:t xml:space="preserve">database and </w:t>
      </w:r>
      <w:r>
        <w:rPr>
          <w:rFonts w:ascii="Arial" w:hAnsi="Arial" w:cs="Arial"/>
          <w:sz w:val="20"/>
          <w:szCs w:val="20"/>
        </w:rPr>
        <w:t>automation system</w:t>
      </w:r>
      <w:r w:rsidRPr="007F3C3A">
        <w:rPr>
          <w:rFonts w:ascii="Arial" w:hAnsi="Arial" w:cs="Arial"/>
          <w:sz w:val="20"/>
          <w:szCs w:val="20"/>
        </w:rPr>
        <w:t xml:space="preserve"> that helps aggregate and integrate</w:t>
      </w:r>
      <w:r>
        <w:rPr>
          <w:rFonts w:ascii="Arial" w:hAnsi="Arial" w:cs="Arial"/>
          <w:sz w:val="20"/>
          <w:szCs w:val="20"/>
        </w:rPr>
        <w:t xml:space="preserve"> </w:t>
      </w:r>
      <w:r w:rsidRPr="00600467">
        <w:rPr>
          <w:rFonts w:ascii="Arial" w:hAnsi="Arial" w:cs="Arial"/>
          <w:sz w:val="20"/>
          <w:szCs w:val="20"/>
        </w:rPr>
        <w:t xml:space="preserve">chemical and biological data collected from internal, public, and </w:t>
      </w:r>
      <w:r>
        <w:rPr>
          <w:rFonts w:ascii="Arial" w:hAnsi="Arial" w:cs="Arial"/>
          <w:sz w:val="20"/>
          <w:szCs w:val="20"/>
        </w:rPr>
        <w:t xml:space="preserve">licensed </w:t>
      </w:r>
      <w:r w:rsidRPr="00600467">
        <w:rPr>
          <w:rFonts w:ascii="Arial" w:hAnsi="Arial" w:cs="Arial"/>
          <w:sz w:val="20"/>
          <w:szCs w:val="20"/>
        </w:rPr>
        <w:t>commercial sources</w:t>
      </w:r>
      <w:r>
        <w:rPr>
          <w:rFonts w:ascii="Arial" w:hAnsi="Arial" w:cs="Arial"/>
          <w:sz w:val="20"/>
          <w:szCs w:val="20"/>
        </w:rPr>
        <w:t xml:space="preserve">, with the </w:t>
      </w:r>
      <w:r w:rsidRPr="00600467">
        <w:rPr>
          <w:rFonts w:ascii="Arial" w:hAnsi="Arial" w:cs="Arial"/>
          <w:sz w:val="20"/>
          <w:szCs w:val="20"/>
        </w:rPr>
        <w:t xml:space="preserve">goal </w:t>
      </w:r>
      <w:r>
        <w:rPr>
          <w:rFonts w:ascii="Arial" w:hAnsi="Arial" w:cs="Arial"/>
          <w:sz w:val="20"/>
          <w:szCs w:val="20"/>
        </w:rPr>
        <w:t>of</w:t>
      </w:r>
      <w:r w:rsidRPr="00600467">
        <w:rPr>
          <w:rFonts w:ascii="Arial" w:hAnsi="Arial" w:cs="Arial"/>
          <w:sz w:val="20"/>
          <w:szCs w:val="20"/>
        </w:rPr>
        <w:t xml:space="preserve"> support</w:t>
      </w:r>
      <w:r>
        <w:rPr>
          <w:rFonts w:ascii="Arial" w:hAnsi="Arial" w:cs="Arial"/>
          <w:sz w:val="20"/>
          <w:szCs w:val="20"/>
        </w:rPr>
        <w:t>ing</w:t>
      </w:r>
      <w:r w:rsidRPr="00600467">
        <w:rPr>
          <w:rFonts w:ascii="Arial" w:hAnsi="Arial" w:cs="Arial"/>
          <w:sz w:val="20"/>
          <w:szCs w:val="20"/>
        </w:rPr>
        <w:t xml:space="preserve"> </w:t>
      </w:r>
      <w:r w:rsidRPr="00076A7D">
        <w:rPr>
          <w:rFonts w:ascii="Arial" w:hAnsi="Arial" w:cs="Arial"/>
          <w:sz w:val="20"/>
          <w:szCs w:val="20"/>
        </w:rPr>
        <w:t>inf</w:t>
      </w:r>
      <w:r w:rsidR="00BF35A7">
        <w:rPr>
          <w:rFonts w:ascii="Arial" w:hAnsi="Arial" w:cs="Arial"/>
          <w:sz w:val="20"/>
          <w:szCs w:val="20"/>
        </w:rPr>
        <w:t>ormatics-based drug discovery at</w:t>
      </w:r>
      <w:r w:rsidR="008C5E78">
        <w:rPr>
          <w:rFonts w:ascii="Arial" w:hAnsi="Arial" w:cs="Arial"/>
          <w:sz w:val="20"/>
          <w:szCs w:val="20"/>
        </w:rPr>
        <w:t xml:space="preserve"> </w:t>
      </w:r>
      <w:r w:rsidR="00647555" w:rsidRPr="003C2306">
        <w:rPr>
          <w:rFonts w:ascii="Arial" w:hAnsi="Arial" w:cs="Arial"/>
          <w:sz w:val="20"/>
          <w:szCs w:val="20"/>
        </w:rPr>
        <w:t>NIBR</w:t>
      </w:r>
      <w:r w:rsidR="008C5E78" w:rsidRPr="003C2306">
        <w:rPr>
          <w:rFonts w:ascii="Arial" w:hAnsi="Arial" w:cs="Arial"/>
          <w:sz w:val="20"/>
          <w:szCs w:val="20"/>
        </w:rPr>
        <w:t xml:space="preserve"> </w:t>
      </w:r>
      <w:r w:rsidRPr="00076A7D">
        <w:rPr>
          <w:rFonts w:ascii="Arial" w:hAnsi="Arial" w:cs="Arial"/>
          <w:sz w:val="20"/>
          <w:szCs w:val="20"/>
        </w:rPr>
        <w:t xml:space="preserve">(Figure 2). </w:t>
      </w:r>
      <w:r w:rsidRPr="00674FBC">
        <w:rPr>
          <w:rFonts w:ascii="Arial" w:hAnsi="Arial" w:cs="Arial"/>
          <w:sz w:val="20"/>
          <w:szCs w:val="20"/>
        </w:rPr>
        <w:t>At its most</w:t>
      </w:r>
      <w:r>
        <w:rPr>
          <w:rFonts w:ascii="Arial" w:hAnsi="Arial" w:cs="Arial"/>
          <w:sz w:val="20"/>
          <w:szCs w:val="20"/>
        </w:rPr>
        <w:t xml:space="preserve"> </w:t>
      </w:r>
      <w:r w:rsidRPr="00674FBC">
        <w:rPr>
          <w:rFonts w:ascii="Arial" w:hAnsi="Arial" w:cs="Arial"/>
          <w:sz w:val="20"/>
          <w:szCs w:val="20"/>
        </w:rPr>
        <w:t>rudimentary level, HitHub facilities informatics applications by</w:t>
      </w:r>
      <w:r>
        <w:rPr>
          <w:rFonts w:ascii="Arial" w:hAnsi="Arial" w:cs="Arial"/>
          <w:sz w:val="20"/>
          <w:szCs w:val="20"/>
        </w:rPr>
        <w:t xml:space="preserve"> </w:t>
      </w:r>
      <w:r w:rsidRPr="00674FBC">
        <w:rPr>
          <w:rFonts w:ascii="Arial" w:hAnsi="Arial" w:cs="Arial"/>
          <w:sz w:val="20"/>
          <w:szCs w:val="20"/>
        </w:rPr>
        <w:t>aggregating relevant chemical and biological information to a central</w:t>
      </w:r>
      <w:r>
        <w:rPr>
          <w:rFonts w:ascii="Arial" w:hAnsi="Arial" w:cs="Arial"/>
          <w:sz w:val="20"/>
          <w:szCs w:val="20"/>
        </w:rPr>
        <w:t xml:space="preserve"> </w:t>
      </w:r>
      <w:r w:rsidR="00643508">
        <w:rPr>
          <w:rFonts w:ascii="Arial" w:hAnsi="Arial" w:cs="Arial"/>
          <w:sz w:val="20"/>
          <w:szCs w:val="20"/>
        </w:rPr>
        <w:t>location.</w:t>
      </w:r>
      <w:r w:rsidRPr="00674FBC">
        <w:rPr>
          <w:rFonts w:ascii="Arial" w:hAnsi="Arial" w:cs="Arial"/>
          <w:sz w:val="20"/>
          <w:szCs w:val="20"/>
        </w:rPr>
        <w:t xml:space="preserve"> By minimizing the overhead involved in drawing upon</w:t>
      </w:r>
      <w:r>
        <w:rPr>
          <w:rFonts w:ascii="Arial" w:hAnsi="Arial" w:cs="Arial"/>
          <w:sz w:val="20"/>
          <w:szCs w:val="20"/>
        </w:rPr>
        <w:t xml:space="preserve"> </w:t>
      </w:r>
      <w:r w:rsidRPr="00674FBC">
        <w:rPr>
          <w:rFonts w:ascii="Arial" w:hAnsi="Arial" w:cs="Arial"/>
          <w:sz w:val="20"/>
          <w:szCs w:val="20"/>
        </w:rPr>
        <w:t>information from multiple sources, HitHub facilitates both ad hoc</w:t>
      </w:r>
      <w:r>
        <w:rPr>
          <w:rFonts w:ascii="Arial" w:hAnsi="Arial" w:cs="Arial"/>
          <w:sz w:val="20"/>
          <w:szCs w:val="20"/>
        </w:rPr>
        <w:t xml:space="preserve"> </w:t>
      </w:r>
      <w:r w:rsidRPr="00674FBC">
        <w:rPr>
          <w:rFonts w:ascii="Arial" w:hAnsi="Arial" w:cs="Arial"/>
          <w:sz w:val="20"/>
          <w:szCs w:val="20"/>
        </w:rPr>
        <w:t>exploration and also provides a robust foundation upon which standard</w:t>
      </w:r>
      <w:r>
        <w:rPr>
          <w:rFonts w:ascii="Arial" w:hAnsi="Arial" w:cs="Arial"/>
          <w:sz w:val="20"/>
          <w:szCs w:val="20"/>
        </w:rPr>
        <w:t xml:space="preserve"> </w:t>
      </w:r>
      <w:r w:rsidRPr="00674FBC">
        <w:rPr>
          <w:rFonts w:ascii="Arial" w:hAnsi="Arial" w:cs="Arial"/>
          <w:sz w:val="20"/>
          <w:szCs w:val="20"/>
        </w:rPr>
        <w:t>workflows can be developed and shared.</w:t>
      </w:r>
    </w:p>
    <w:p w14:paraId="760FD3C8" w14:textId="0FA7844A" w:rsidR="007340FD" w:rsidRDefault="007340FD" w:rsidP="00643508">
      <w:pPr>
        <w:spacing w:line="360" w:lineRule="auto"/>
        <w:ind w:firstLine="720"/>
        <w:jc w:val="both"/>
        <w:rPr>
          <w:rFonts w:ascii="Arial" w:hAnsi="Arial" w:cs="Arial"/>
          <w:sz w:val="20"/>
          <w:szCs w:val="20"/>
        </w:rPr>
      </w:pPr>
      <w:r w:rsidRPr="00674FBC">
        <w:rPr>
          <w:rFonts w:ascii="Arial" w:hAnsi="Arial" w:cs="Arial"/>
          <w:sz w:val="20"/>
          <w:szCs w:val="20"/>
        </w:rPr>
        <w:t>Often, the most useful of such workflows involve bringing together</w:t>
      </w:r>
      <w:r>
        <w:rPr>
          <w:rFonts w:ascii="Arial" w:hAnsi="Arial" w:cs="Arial"/>
          <w:sz w:val="20"/>
          <w:szCs w:val="20"/>
        </w:rPr>
        <w:t xml:space="preserve"> </w:t>
      </w:r>
      <w:r w:rsidRPr="00674FBC">
        <w:rPr>
          <w:rFonts w:ascii="Arial" w:hAnsi="Arial" w:cs="Arial"/>
          <w:sz w:val="20"/>
          <w:szCs w:val="20"/>
        </w:rPr>
        <w:t>info</w:t>
      </w:r>
      <w:r w:rsidR="00643508">
        <w:rPr>
          <w:rFonts w:ascii="Arial" w:hAnsi="Arial" w:cs="Arial"/>
          <w:sz w:val="20"/>
          <w:szCs w:val="20"/>
        </w:rPr>
        <w:t>rmation from different sources.</w:t>
      </w:r>
      <w:r w:rsidRPr="00674FBC">
        <w:rPr>
          <w:rFonts w:ascii="Arial" w:hAnsi="Arial" w:cs="Arial"/>
          <w:sz w:val="20"/>
          <w:szCs w:val="20"/>
        </w:rPr>
        <w:t xml:space="preserve"> Such</w:t>
      </w:r>
      <w:r>
        <w:rPr>
          <w:rFonts w:ascii="Arial" w:hAnsi="Arial" w:cs="Arial"/>
          <w:sz w:val="20"/>
          <w:szCs w:val="20"/>
        </w:rPr>
        <w:t xml:space="preserve"> </w:t>
      </w:r>
      <w:r w:rsidRPr="00674FBC">
        <w:rPr>
          <w:rFonts w:ascii="Arial" w:hAnsi="Arial" w:cs="Arial"/>
          <w:sz w:val="20"/>
          <w:szCs w:val="20"/>
        </w:rPr>
        <w:t>operations, however, require the presence of matching keys shared by the</w:t>
      </w:r>
      <w:r>
        <w:rPr>
          <w:rFonts w:ascii="Arial" w:hAnsi="Arial" w:cs="Arial"/>
          <w:sz w:val="20"/>
          <w:szCs w:val="20"/>
        </w:rPr>
        <w:t xml:space="preserve"> </w:t>
      </w:r>
      <w:r w:rsidR="00643508">
        <w:rPr>
          <w:rFonts w:ascii="Arial" w:hAnsi="Arial" w:cs="Arial"/>
          <w:sz w:val="20"/>
          <w:szCs w:val="20"/>
        </w:rPr>
        <w:t>items to be joined.</w:t>
      </w:r>
      <w:r w:rsidRPr="00674FBC">
        <w:rPr>
          <w:rFonts w:ascii="Arial" w:hAnsi="Arial" w:cs="Arial"/>
          <w:sz w:val="20"/>
          <w:szCs w:val="20"/>
        </w:rPr>
        <w:t xml:space="preserve"> Consequently, an important part of importing data</w:t>
      </w:r>
      <w:r>
        <w:rPr>
          <w:rFonts w:ascii="Arial" w:hAnsi="Arial" w:cs="Arial"/>
          <w:sz w:val="20"/>
          <w:szCs w:val="20"/>
        </w:rPr>
        <w:t xml:space="preserve"> </w:t>
      </w:r>
      <w:r w:rsidRPr="00674FBC">
        <w:rPr>
          <w:rFonts w:ascii="Arial" w:hAnsi="Arial" w:cs="Arial"/>
          <w:sz w:val="20"/>
          <w:szCs w:val="20"/>
        </w:rPr>
        <w:t>into HitHub involves gen</w:t>
      </w:r>
      <w:r w:rsidR="00643508">
        <w:rPr>
          <w:rFonts w:ascii="Arial" w:hAnsi="Arial" w:cs="Arial"/>
          <w:sz w:val="20"/>
          <w:szCs w:val="20"/>
        </w:rPr>
        <w:t>erating or exposing these keys.</w:t>
      </w:r>
      <w:r w:rsidRPr="00674FBC">
        <w:rPr>
          <w:rFonts w:ascii="Arial" w:hAnsi="Arial" w:cs="Arial"/>
          <w:sz w:val="20"/>
          <w:szCs w:val="20"/>
        </w:rPr>
        <w:t xml:space="preserve"> To enable</w:t>
      </w:r>
      <w:r>
        <w:rPr>
          <w:rFonts w:ascii="Arial" w:hAnsi="Arial" w:cs="Arial"/>
          <w:sz w:val="20"/>
          <w:szCs w:val="20"/>
        </w:rPr>
        <w:t xml:space="preserve"> </w:t>
      </w:r>
      <w:r w:rsidRPr="00674FBC">
        <w:rPr>
          <w:rFonts w:ascii="Arial" w:hAnsi="Arial" w:cs="Arial"/>
          <w:sz w:val="20"/>
          <w:szCs w:val="20"/>
        </w:rPr>
        <w:t>joining of data from different sources via common chemical structure,</w:t>
      </w:r>
      <w:r>
        <w:rPr>
          <w:rFonts w:ascii="Arial" w:hAnsi="Arial" w:cs="Arial"/>
          <w:sz w:val="20"/>
          <w:szCs w:val="20"/>
        </w:rPr>
        <w:t xml:space="preserve"> </w:t>
      </w:r>
      <w:r w:rsidRPr="00674FBC">
        <w:rPr>
          <w:rFonts w:ascii="Arial" w:hAnsi="Arial" w:cs="Arial"/>
          <w:sz w:val="20"/>
          <w:szCs w:val="20"/>
        </w:rPr>
        <w:t>IUPAC InChI Keys are generated for</w:t>
      </w:r>
      <w:r w:rsidR="00036958">
        <w:rPr>
          <w:rFonts w:ascii="Arial" w:hAnsi="Arial" w:cs="Arial"/>
          <w:sz w:val="20"/>
          <w:szCs w:val="20"/>
        </w:rPr>
        <w:t xml:space="preserve"> all incoming</w:t>
      </w:r>
      <w:r w:rsidRPr="00674FBC">
        <w:rPr>
          <w:rFonts w:ascii="Arial" w:hAnsi="Arial" w:cs="Arial"/>
          <w:sz w:val="20"/>
          <w:szCs w:val="20"/>
        </w:rPr>
        <w:t xml:space="preserve"> small molecule data.</w:t>
      </w:r>
      <w:r>
        <w:rPr>
          <w:rFonts w:ascii="Arial" w:hAnsi="Arial" w:cs="Arial"/>
          <w:sz w:val="20"/>
          <w:szCs w:val="20"/>
        </w:rPr>
        <w:t xml:space="preserve"> </w:t>
      </w:r>
      <w:r w:rsidRPr="00674FBC">
        <w:rPr>
          <w:rFonts w:ascii="Arial" w:hAnsi="Arial" w:cs="Arial"/>
          <w:sz w:val="20"/>
          <w:szCs w:val="20"/>
        </w:rPr>
        <w:t>Similarly, the import process attempts to assign an NCBI gene ID to</w:t>
      </w:r>
      <w:r>
        <w:rPr>
          <w:rFonts w:ascii="Arial" w:hAnsi="Arial" w:cs="Arial"/>
          <w:sz w:val="20"/>
          <w:szCs w:val="20"/>
        </w:rPr>
        <w:t xml:space="preserve"> </w:t>
      </w:r>
      <w:r w:rsidR="00643508">
        <w:rPr>
          <w:rFonts w:ascii="Arial" w:hAnsi="Arial" w:cs="Arial"/>
          <w:sz w:val="20"/>
          <w:szCs w:val="20"/>
        </w:rPr>
        <w:t>incoming target data. </w:t>
      </w:r>
      <w:r w:rsidRPr="00674FBC">
        <w:rPr>
          <w:rFonts w:ascii="Arial" w:hAnsi="Arial" w:cs="Arial"/>
          <w:sz w:val="20"/>
          <w:szCs w:val="20"/>
        </w:rPr>
        <w:t>The presence of these keys increases the</w:t>
      </w:r>
      <w:r>
        <w:rPr>
          <w:rFonts w:ascii="Arial" w:hAnsi="Arial" w:cs="Arial"/>
          <w:sz w:val="20"/>
          <w:szCs w:val="20"/>
        </w:rPr>
        <w:t xml:space="preserve"> </w:t>
      </w:r>
      <w:r w:rsidRPr="00674FBC">
        <w:rPr>
          <w:rFonts w:ascii="Arial" w:hAnsi="Arial" w:cs="Arial"/>
          <w:sz w:val="20"/>
          <w:szCs w:val="20"/>
        </w:rPr>
        <w:t>integration of the system and multiplies its utility for data analysts.</w:t>
      </w:r>
      <w:r w:rsidR="00643508">
        <w:rPr>
          <w:rFonts w:ascii="Arial" w:hAnsi="Arial" w:cs="Arial"/>
          <w:sz w:val="20"/>
          <w:szCs w:val="20"/>
        </w:rPr>
        <w:t xml:space="preserve"> </w:t>
      </w:r>
      <w:r>
        <w:rPr>
          <w:rFonts w:ascii="Arial" w:hAnsi="Arial" w:cs="Arial"/>
          <w:sz w:val="20"/>
          <w:szCs w:val="20"/>
        </w:rPr>
        <w:t>Summary bioactivity tables of all upstream sources are then used to create a</w:t>
      </w:r>
      <w:r w:rsidR="00E51402">
        <w:rPr>
          <w:rFonts w:ascii="Arial" w:hAnsi="Arial" w:cs="Arial"/>
          <w:sz w:val="20"/>
          <w:szCs w:val="20"/>
        </w:rPr>
        <w:t>ctivity assertions for compound</w:t>
      </w:r>
      <w:r w:rsidR="00E51402">
        <w:rPr>
          <w:rFonts w:ascii="Arial" w:hAnsi="Arial" w:cs="Arial"/>
          <w:sz w:val="20"/>
          <w:szCs w:val="20"/>
        </w:rPr>
        <w:sym w:font="Symbol" w:char="F02D"/>
      </w:r>
      <w:r>
        <w:rPr>
          <w:rFonts w:ascii="Arial" w:hAnsi="Arial" w:cs="Arial"/>
          <w:sz w:val="20"/>
          <w:szCs w:val="20"/>
        </w:rPr>
        <w:t xml:space="preserve">target pairs. </w:t>
      </w:r>
    </w:p>
    <w:p w14:paraId="583C9E6F" w14:textId="5CC752B4" w:rsidR="00BD6DDD" w:rsidRDefault="007340FD" w:rsidP="00643508">
      <w:pPr>
        <w:spacing w:line="360" w:lineRule="auto"/>
        <w:ind w:firstLine="720"/>
        <w:contextualSpacing/>
        <w:jc w:val="both"/>
        <w:rPr>
          <w:rFonts w:ascii="Arial" w:hAnsi="Arial" w:cs="Arial"/>
          <w:sz w:val="20"/>
          <w:szCs w:val="20"/>
        </w:rPr>
      </w:pPr>
      <w:r>
        <w:rPr>
          <w:rFonts w:ascii="Arial" w:hAnsi="Arial" w:cs="Arial"/>
          <w:sz w:val="20"/>
          <w:szCs w:val="20"/>
        </w:rPr>
        <w:t xml:space="preserve">Having constructed a large-scaled integrated bioactivity data warehouse, we next devised a computational model for prioritization of MoA Box members through a quantitative confidence metric, which we later developed into </w:t>
      </w:r>
      <w:r w:rsidR="0038696D">
        <w:rPr>
          <w:rFonts w:ascii="Arial" w:hAnsi="Arial" w:cs="Arial"/>
          <w:sz w:val="20"/>
          <w:szCs w:val="20"/>
        </w:rPr>
        <w:t xml:space="preserve">a </w:t>
      </w:r>
      <w:r>
        <w:rPr>
          <w:rFonts w:ascii="Arial" w:hAnsi="Arial" w:cs="Arial"/>
          <w:sz w:val="20"/>
          <w:szCs w:val="20"/>
        </w:rPr>
        <w:t>Tool Score.</w:t>
      </w:r>
      <w:r>
        <w:rPr>
          <w:rStyle w:val="EndnoteReference"/>
          <w:rFonts w:ascii="Arial" w:hAnsi="Arial" w:cs="Arial"/>
          <w:sz w:val="20"/>
          <w:szCs w:val="20"/>
        </w:rPr>
        <w:endnoteReference w:id="10"/>
      </w:r>
      <w:r w:rsidRPr="00674FBC">
        <w:rPr>
          <w:rFonts w:ascii="Arial" w:hAnsi="Arial" w:cs="Arial"/>
          <w:sz w:val="20"/>
          <w:szCs w:val="20"/>
          <w:vertAlign w:val="superscript"/>
        </w:rPr>
        <w:t>,</w:t>
      </w:r>
      <w:r>
        <w:rPr>
          <w:rStyle w:val="EndnoteReference"/>
          <w:rFonts w:ascii="Arial" w:hAnsi="Arial" w:cs="Arial"/>
          <w:sz w:val="20"/>
          <w:szCs w:val="20"/>
        </w:rPr>
        <w:endnoteReference w:id="11"/>
      </w:r>
      <w:r>
        <w:rPr>
          <w:rFonts w:ascii="Arial" w:hAnsi="Arial" w:cs="Arial"/>
          <w:sz w:val="20"/>
          <w:szCs w:val="20"/>
        </w:rPr>
        <w:t xml:space="preserve"> In brief, </w:t>
      </w:r>
      <w:r w:rsidR="0038696D">
        <w:rPr>
          <w:rFonts w:ascii="Arial" w:hAnsi="Arial" w:cs="Arial"/>
          <w:sz w:val="20"/>
          <w:szCs w:val="20"/>
        </w:rPr>
        <w:t xml:space="preserve">a </w:t>
      </w:r>
      <w:r>
        <w:rPr>
          <w:rFonts w:ascii="Arial" w:hAnsi="Arial" w:cs="Arial"/>
          <w:sz w:val="20"/>
          <w:szCs w:val="20"/>
        </w:rPr>
        <w:t>Tool Score evaluates both the strength of evidence of compound-target modulation and target selectivity. Strength of evidence derives from combining multiple computational inferences or annotat</w:t>
      </w:r>
      <w:r w:rsidR="00643508">
        <w:rPr>
          <w:rFonts w:ascii="Arial" w:hAnsi="Arial" w:cs="Arial"/>
          <w:sz w:val="20"/>
          <w:szCs w:val="20"/>
        </w:rPr>
        <w:t xml:space="preserve">ions into a strength assertion. </w:t>
      </w:r>
      <w:r>
        <w:rPr>
          <w:rFonts w:ascii="Arial" w:hAnsi="Arial" w:cs="Arial"/>
          <w:sz w:val="20"/>
          <w:szCs w:val="20"/>
        </w:rPr>
        <w:t xml:space="preserve">Target selectivity parameters were derived by using machine learning to identify descriptors in aggregated compound bioactivity data that maximally distinguish good and poor probes. Using such data-driven quantitative heuristics we can </w:t>
      </w:r>
      <w:r>
        <w:rPr>
          <w:rFonts w:ascii="Arial" w:hAnsi="Arial" w:cs="Arial"/>
          <w:sz w:val="20"/>
          <w:szCs w:val="20"/>
        </w:rPr>
        <w:lastRenderedPageBreak/>
        <w:t>automatically 1) rank potent and selective candidate tool compounds for each individual human target, 2) consider structural diversity of tools, and 3) filter to samples available within the Novartis compound archive. About 2/3 of the current library came from this fully automated workflow (Figure 1B). Where many probes were available per target, we attempted to limit the membership to &lt;10 compounds with a target range of 5, enforcing chemotype diversit</w:t>
      </w:r>
      <w:r w:rsidR="00643508">
        <w:rPr>
          <w:rFonts w:ascii="Arial" w:hAnsi="Arial" w:cs="Arial"/>
          <w:sz w:val="20"/>
          <w:szCs w:val="20"/>
        </w:rPr>
        <w:t>y using 2D chemical similarity.</w:t>
      </w:r>
      <w:r>
        <w:rPr>
          <w:rFonts w:ascii="Arial" w:hAnsi="Arial" w:cs="Arial"/>
          <w:sz w:val="20"/>
          <w:szCs w:val="20"/>
        </w:rPr>
        <w:t xml:space="preserve"> We prioritized members using Tool Score-like parameters (potency, the amount of papers, patents, or assay data available), pipeline phase reached, and origin, keeping one Novartis-originating compound where available. Compound modality is annotated where available (e.g. antagonist, agonist, destabilizer, etc). In some cases we include probes where the defined mechanism-of-action can be described</w:t>
      </w:r>
      <w:r w:rsidR="00643508">
        <w:rPr>
          <w:rFonts w:ascii="Arial" w:hAnsi="Arial" w:cs="Arial"/>
          <w:sz w:val="20"/>
          <w:szCs w:val="20"/>
        </w:rPr>
        <w:t>,</w:t>
      </w:r>
      <w:r>
        <w:rPr>
          <w:rFonts w:ascii="Arial" w:hAnsi="Arial" w:cs="Arial"/>
          <w:sz w:val="20"/>
          <w:szCs w:val="20"/>
        </w:rPr>
        <w:t xml:space="preserve"> but precise resolution to a molecular target among possible isoforms or homologs remains</w:t>
      </w:r>
      <w:r w:rsidR="00D361F7">
        <w:rPr>
          <w:rFonts w:ascii="Arial" w:hAnsi="Arial" w:cs="Arial"/>
          <w:sz w:val="20"/>
          <w:szCs w:val="20"/>
        </w:rPr>
        <w:t xml:space="preserve"> uncertain</w:t>
      </w:r>
      <w:r>
        <w:rPr>
          <w:rFonts w:ascii="Arial" w:hAnsi="Arial" w:cs="Arial"/>
          <w:sz w:val="20"/>
          <w:szCs w:val="20"/>
        </w:rPr>
        <w:t xml:space="preserve">. </w:t>
      </w:r>
    </w:p>
    <w:p w14:paraId="2896EF0D" w14:textId="77777777" w:rsidR="00643508" w:rsidRPr="00643508" w:rsidRDefault="00643508" w:rsidP="00643508">
      <w:pPr>
        <w:spacing w:line="360" w:lineRule="auto"/>
        <w:ind w:firstLine="720"/>
        <w:contextualSpacing/>
        <w:jc w:val="both"/>
        <w:rPr>
          <w:rFonts w:ascii="Arial" w:hAnsi="Arial" w:cs="Arial"/>
          <w:sz w:val="20"/>
          <w:szCs w:val="20"/>
        </w:rPr>
      </w:pPr>
    </w:p>
    <w:p w14:paraId="415DA0B0" w14:textId="77777777" w:rsidR="005878E1" w:rsidRPr="00806135" w:rsidRDefault="00622279" w:rsidP="00806135">
      <w:pPr>
        <w:spacing w:line="360" w:lineRule="auto"/>
        <w:contextualSpacing/>
        <w:jc w:val="both"/>
        <w:rPr>
          <w:rFonts w:ascii="Arial" w:hAnsi="Arial" w:cs="Arial"/>
          <w:b/>
          <w:bCs/>
          <w:i/>
          <w:iCs/>
          <w:sz w:val="20"/>
          <w:szCs w:val="20"/>
        </w:rPr>
      </w:pPr>
      <w:r w:rsidRPr="00806135">
        <w:rPr>
          <w:rFonts w:ascii="Arial" w:hAnsi="Arial" w:cs="Arial"/>
          <w:b/>
          <w:bCs/>
          <w:i/>
          <w:iCs/>
          <w:sz w:val="20"/>
          <w:szCs w:val="20"/>
        </w:rPr>
        <w:t>Leveraging Institutional Insights</w:t>
      </w:r>
    </w:p>
    <w:p w14:paraId="3FEA470B" w14:textId="77777777" w:rsidR="00FD03FE" w:rsidRDefault="00573F9C" w:rsidP="009E7E3C">
      <w:pPr>
        <w:spacing w:line="360" w:lineRule="auto"/>
        <w:ind w:firstLine="720"/>
        <w:contextualSpacing/>
        <w:jc w:val="both"/>
        <w:rPr>
          <w:rFonts w:ascii="Arial" w:hAnsi="Arial" w:cs="Arial"/>
          <w:sz w:val="20"/>
          <w:szCs w:val="20"/>
        </w:rPr>
      </w:pPr>
      <w:r>
        <w:rPr>
          <w:rFonts w:ascii="Arial" w:hAnsi="Arial" w:cs="Arial"/>
          <w:sz w:val="20"/>
          <w:szCs w:val="20"/>
        </w:rPr>
        <w:t xml:space="preserve">The computational approach was extremely powerful for the initial </w:t>
      </w:r>
      <w:r w:rsidR="00AA1B41">
        <w:rPr>
          <w:rFonts w:ascii="Arial" w:hAnsi="Arial" w:cs="Arial"/>
          <w:sz w:val="20"/>
          <w:szCs w:val="20"/>
        </w:rPr>
        <w:t>pre-2014</w:t>
      </w:r>
      <w:r>
        <w:rPr>
          <w:rFonts w:ascii="Arial" w:hAnsi="Arial" w:cs="Arial"/>
          <w:sz w:val="20"/>
          <w:szCs w:val="20"/>
        </w:rPr>
        <w:t xml:space="preserve"> </w:t>
      </w:r>
      <w:r w:rsidR="00C569ED">
        <w:rPr>
          <w:rFonts w:ascii="Arial" w:hAnsi="Arial" w:cs="Arial"/>
          <w:sz w:val="20"/>
          <w:szCs w:val="20"/>
        </w:rPr>
        <w:t xml:space="preserve">library </w:t>
      </w:r>
      <w:r w:rsidR="007A0A81">
        <w:rPr>
          <w:rFonts w:ascii="Arial" w:hAnsi="Arial" w:cs="Arial"/>
          <w:sz w:val="20"/>
          <w:szCs w:val="20"/>
        </w:rPr>
        <w:t>assembly</w:t>
      </w:r>
      <w:r w:rsidR="00C569ED">
        <w:rPr>
          <w:rFonts w:ascii="Arial" w:hAnsi="Arial" w:cs="Arial"/>
          <w:sz w:val="20"/>
          <w:szCs w:val="20"/>
        </w:rPr>
        <w:t xml:space="preserve"> by large-</w:t>
      </w:r>
      <w:r>
        <w:rPr>
          <w:rFonts w:ascii="Arial" w:hAnsi="Arial" w:cs="Arial"/>
          <w:sz w:val="20"/>
          <w:szCs w:val="20"/>
        </w:rPr>
        <w:t>scale identification and rankin</w:t>
      </w:r>
      <w:r w:rsidR="00616441">
        <w:rPr>
          <w:rFonts w:ascii="Arial" w:hAnsi="Arial" w:cs="Arial"/>
          <w:sz w:val="20"/>
          <w:szCs w:val="20"/>
        </w:rPr>
        <w:t>g of potential tool compounds, but was</w:t>
      </w:r>
      <w:r>
        <w:rPr>
          <w:rFonts w:ascii="Arial" w:hAnsi="Arial" w:cs="Arial"/>
          <w:sz w:val="20"/>
          <w:szCs w:val="20"/>
        </w:rPr>
        <w:t xml:space="preserve"> limited in the dependence on </w:t>
      </w:r>
      <w:r w:rsidR="007A0A81">
        <w:rPr>
          <w:rFonts w:ascii="Arial" w:hAnsi="Arial" w:cs="Arial"/>
          <w:sz w:val="20"/>
          <w:szCs w:val="20"/>
        </w:rPr>
        <w:t>accessible</w:t>
      </w:r>
      <w:r w:rsidR="00945A30">
        <w:rPr>
          <w:rFonts w:ascii="Arial" w:hAnsi="Arial" w:cs="Arial"/>
          <w:sz w:val="20"/>
          <w:szCs w:val="20"/>
        </w:rPr>
        <w:t>,</w:t>
      </w:r>
      <w:r w:rsidR="00333194">
        <w:rPr>
          <w:rFonts w:ascii="Arial" w:hAnsi="Arial" w:cs="Arial"/>
          <w:sz w:val="20"/>
          <w:szCs w:val="20"/>
        </w:rPr>
        <w:t xml:space="preserve"> </w:t>
      </w:r>
      <w:r>
        <w:rPr>
          <w:rFonts w:ascii="Arial" w:hAnsi="Arial" w:cs="Arial"/>
          <w:sz w:val="20"/>
          <w:szCs w:val="20"/>
        </w:rPr>
        <w:t xml:space="preserve">warehoused data. </w:t>
      </w:r>
      <w:r w:rsidR="00D73932">
        <w:rPr>
          <w:rFonts w:ascii="Arial" w:hAnsi="Arial" w:cs="Arial"/>
          <w:sz w:val="20"/>
          <w:szCs w:val="20"/>
        </w:rPr>
        <w:t>I</w:t>
      </w:r>
      <w:r>
        <w:rPr>
          <w:rFonts w:ascii="Arial" w:hAnsi="Arial" w:cs="Arial"/>
          <w:sz w:val="20"/>
          <w:szCs w:val="20"/>
        </w:rPr>
        <w:t xml:space="preserve">dentifying tool compounds from diverse and heterogeneous bioactivity databases was </w:t>
      </w:r>
      <w:r w:rsidR="00D73932">
        <w:rPr>
          <w:rFonts w:ascii="Arial" w:hAnsi="Arial" w:cs="Arial"/>
          <w:sz w:val="20"/>
          <w:szCs w:val="20"/>
        </w:rPr>
        <w:t>challenging</w:t>
      </w:r>
      <w:r>
        <w:rPr>
          <w:rFonts w:ascii="Arial" w:hAnsi="Arial" w:cs="Arial"/>
          <w:sz w:val="20"/>
          <w:szCs w:val="20"/>
        </w:rPr>
        <w:t xml:space="preserve"> from</w:t>
      </w:r>
      <w:r w:rsidR="00616441">
        <w:rPr>
          <w:rFonts w:ascii="Arial" w:hAnsi="Arial" w:cs="Arial"/>
          <w:sz w:val="20"/>
          <w:szCs w:val="20"/>
        </w:rPr>
        <w:t xml:space="preserve"> strictly</w:t>
      </w:r>
      <w:r>
        <w:rPr>
          <w:rFonts w:ascii="Arial" w:hAnsi="Arial" w:cs="Arial"/>
          <w:sz w:val="20"/>
          <w:szCs w:val="20"/>
        </w:rPr>
        <w:t xml:space="preserve"> an informatics computational </w:t>
      </w:r>
      <w:r w:rsidR="007A0A81">
        <w:rPr>
          <w:rFonts w:ascii="Arial" w:hAnsi="Arial" w:cs="Arial"/>
          <w:sz w:val="20"/>
          <w:szCs w:val="20"/>
        </w:rPr>
        <w:t>library</w:t>
      </w:r>
      <w:r>
        <w:rPr>
          <w:rFonts w:ascii="Arial" w:hAnsi="Arial" w:cs="Arial"/>
          <w:sz w:val="20"/>
          <w:szCs w:val="20"/>
        </w:rPr>
        <w:t xml:space="preserve"> design.</w:t>
      </w:r>
      <w:r>
        <w:rPr>
          <w:rStyle w:val="EndnoteReference"/>
          <w:rFonts w:ascii="Arial" w:hAnsi="Arial" w:cs="Arial"/>
          <w:sz w:val="20"/>
          <w:szCs w:val="20"/>
        </w:rPr>
        <w:endnoteReference w:id="12"/>
      </w:r>
      <w:r>
        <w:rPr>
          <w:rFonts w:ascii="Arial" w:hAnsi="Arial" w:cs="Arial"/>
          <w:sz w:val="20"/>
          <w:szCs w:val="20"/>
        </w:rPr>
        <w:t xml:space="preserve"> </w:t>
      </w:r>
      <w:r w:rsidR="00FD03FE">
        <w:rPr>
          <w:rFonts w:ascii="Arial" w:hAnsi="Arial" w:cs="Arial"/>
          <w:sz w:val="20"/>
          <w:szCs w:val="20"/>
        </w:rPr>
        <w:t>Aside from incorrect or unconcise chemical structure assignments, a</w:t>
      </w:r>
      <w:r w:rsidR="00FD03FE" w:rsidRPr="00E076FB">
        <w:rPr>
          <w:rFonts w:ascii="Arial" w:hAnsi="Arial" w:cs="Arial"/>
          <w:sz w:val="20"/>
          <w:szCs w:val="20"/>
        </w:rPr>
        <w:t xml:space="preserve">ssay target </w:t>
      </w:r>
      <w:r w:rsidR="00FD03FE">
        <w:rPr>
          <w:rFonts w:ascii="Arial" w:hAnsi="Arial" w:cs="Arial"/>
          <w:sz w:val="20"/>
          <w:szCs w:val="20"/>
        </w:rPr>
        <w:t>annotations may also be incorrect or misleading (e.g. a protein that is an assay readout or stimulant may be annotated as the assay target). Further the challenge of k</w:t>
      </w:r>
      <w:r w:rsidR="00FD03FE" w:rsidRPr="00E076FB">
        <w:rPr>
          <w:rFonts w:ascii="Arial" w:hAnsi="Arial" w:cs="Arial"/>
          <w:sz w:val="20"/>
          <w:szCs w:val="20"/>
        </w:rPr>
        <w:t xml:space="preserve">nown and unknown </w:t>
      </w:r>
      <w:r w:rsidR="00FD03FE">
        <w:rPr>
          <w:rFonts w:ascii="Arial" w:hAnsi="Arial" w:cs="Arial"/>
          <w:sz w:val="20"/>
          <w:szCs w:val="20"/>
        </w:rPr>
        <w:t>p</w:t>
      </w:r>
      <w:r w:rsidR="00FD03FE" w:rsidRPr="00E076FB">
        <w:rPr>
          <w:rFonts w:ascii="Arial" w:hAnsi="Arial" w:cs="Arial"/>
          <w:sz w:val="20"/>
          <w:szCs w:val="20"/>
        </w:rPr>
        <w:t>olypharmacology</w:t>
      </w:r>
      <w:r w:rsidR="00FD03FE">
        <w:rPr>
          <w:rFonts w:ascii="Arial" w:hAnsi="Arial" w:cs="Arial"/>
          <w:sz w:val="20"/>
          <w:szCs w:val="20"/>
        </w:rPr>
        <w:t xml:space="preserve"> leads to complexity in data analysis (</w:t>
      </w:r>
      <w:r w:rsidR="00FD03FE" w:rsidRPr="00036958">
        <w:rPr>
          <w:rFonts w:ascii="Arial" w:hAnsi="Arial" w:cs="Arial"/>
          <w:i/>
          <w:sz w:val="20"/>
          <w:szCs w:val="20"/>
        </w:rPr>
        <w:t>vide infra</w:t>
      </w:r>
      <w:r w:rsidR="00FD03FE">
        <w:rPr>
          <w:rFonts w:ascii="Arial" w:hAnsi="Arial" w:cs="Arial"/>
          <w:sz w:val="20"/>
          <w:szCs w:val="20"/>
        </w:rPr>
        <w:t xml:space="preserve">). </w:t>
      </w:r>
    </w:p>
    <w:p w14:paraId="19B4594D" w14:textId="701C1BB1" w:rsidR="00D258DA" w:rsidRPr="00806135" w:rsidRDefault="00573F9C" w:rsidP="00FD03FE">
      <w:pPr>
        <w:spacing w:line="360" w:lineRule="auto"/>
        <w:ind w:firstLine="720"/>
        <w:contextualSpacing/>
        <w:jc w:val="both"/>
        <w:rPr>
          <w:rFonts w:ascii="Arial" w:hAnsi="Arial" w:cs="Arial"/>
          <w:sz w:val="20"/>
          <w:szCs w:val="20"/>
        </w:rPr>
      </w:pPr>
      <w:r>
        <w:rPr>
          <w:rFonts w:ascii="Arial" w:hAnsi="Arial" w:cs="Arial"/>
          <w:sz w:val="20"/>
          <w:szCs w:val="20"/>
        </w:rPr>
        <w:t xml:space="preserve">We therefore chose to augment our informatics driven approach with the collective </w:t>
      </w:r>
      <w:r w:rsidR="007A0A81">
        <w:rPr>
          <w:rFonts w:ascii="Arial" w:hAnsi="Arial" w:cs="Arial"/>
          <w:sz w:val="20"/>
          <w:szCs w:val="20"/>
        </w:rPr>
        <w:t>institutional</w:t>
      </w:r>
      <w:r w:rsidR="00F24632">
        <w:rPr>
          <w:rFonts w:ascii="Arial" w:hAnsi="Arial" w:cs="Arial"/>
          <w:sz w:val="20"/>
          <w:szCs w:val="20"/>
        </w:rPr>
        <w:t xml:space="preserve"> knowledge of cross-</w:t>
      </w:r>
      <w:r>
        <w:rPr>
          <w:rFonts w:ascii="Arial" w:hAnsi="Arial" w:cs="Arial"/>
          <w:sz w:val="20"/>
          <w:szCs w:val="20"/>
        </w:rPr>
        <w:t>functional scientist</w:t>
      </w:r>
      <w:r w:rsidR="00E11A56">
        <w:rPr>
          <w:rFonts w:ascii="Arial" w:hAnsi="Arial" w:cs="Arial"/>
          <w:sz w:val="20"/>
          <w:szCs w:val="20"/>
        </w:rPr>
        <w:t>s</w:t>
      </w:r>
      <w:r>
        <w:rPr>
          <w:rFonts w:ascii="Arial" w:hAnsi="Arial" w:cs="Arial"/>
          <w:sz w:val="20"/>
          <w:szCs w:val="20"/>
        </w:rPr>
        <w:t xml:space="preserve">. </w:t>
      </w:r>
      <w:r w:rsidR="00FD03FE">
        <w:rPr>
          <w:rFonts w:ascii="Arial" w:hAnsi="Arial" w:cs="Arial"/>
          <w:sz w:val="20"/>
          <w:szCs w:val="20"/>
        </w:rPr>
        <w:t>We believed that scientists</w:t>
      </w:r>
      <w:r w:rsidR="00703464">
        <w:rPr>
          <w:rFonts w:ascii="Arial" w:hAnsi="Arial" w:cs="Arial"/>
          <w:sz w:val="20"/>
          <w:szCs w:val="20"/>
        </w:rPr>
        <w:t xml:space="preserve"> </w:t>
      </w:r>
      <w:r w:rsidR="00FD03FE">
        <w:rPr>
          <w:rFonts w:ascii="Arial" w:hAnsi="Arial" w:cs="Arial"/>
          <w:sz w:val="20"/>
          <w:szCs w:val="20"/>
        </w:rPr>
        <w:t>with first-hand experience have the best understanding on the most robust and selective chemical probes</w:t>
      </w:r>
      <w:r w:rsidR="00FD03FE" w:rsidRPr="00FD03FE">
        <w:rPr>
          <w:rFonts w:ascii="Arial" w:hAnsi="Arial" w:cs="Arial"/>
          <w:sz w:val="20"/>
          <w:szCs w:val="20"/>
        </w:rPr>
        <w:t xml:space="preserve"> </w:t>
      </w:r>
      <w:r w:rsidR="00FD03FE">
        <w:rPr>
          <w:rFonts w:ascii="Arial" w:hAnsi="Arial" w:cs="Arial"/>
          <w:sz w:val="20"/>
          <w:szCs w:val="20"/>
        </w:rPr>
        <w:t>could enhance and surpass exclusively informatics approaches.</w:t>
      </w:r>
      <w:r w:rsidR="00FD03FE">
        <w:rPr>
          <w:rStyle w:val="EndnoteReference"/>
          <w:rFonts w:ascii="Arial" w:hAnsi="Arial" w:cs="Arial"/>
          <w:sz w:val="20"/>
          <w:szCs w:val="20"/>
        </w:rPr>
        <w:endnoteReference w:id="13"/>
      </w:r>
      <w:r w:rsidR="00FD03FE">
        <w:rPr>
          <w:rFonts w:ascii="Arial" w:hAnsi="Arial" w:cs="Arial"/>
          <w:sz w:val="20"/>
          <w:szCs w:val="20"/>
        </w:rPr>
        <w:t xml:space="preserve"> </w:t>
      </w:r>
      <w:r w:rsidR="00D63F93">
        <w:rPr>
          <w:rFonts w:ascii="Arial" w:hAnsi="Arial" w:cs="Arial"/>
          <w:sz w:val="20"/>
          <w:szCs w:val="20"/>
        </w:rPr>
        <w:t xml:space="preserve">Similar insight-driven </w:t>
      </w:r>
      <w:r w:rsidR="00D73932">
        <w:rPr>
          <w:rFonts w:ascii="Arial" w:hAnsi="Arial" w:cs="Arial"/>
          <w:sz w:val="20"/>
          <w:szCs w:val="20"/>
        </w:rPr>
        <w:t xml:space="preserve">crowdsourcing </w:t>
      </w:r>
      <w:r w:rsidR="009B6C68">
        <w:rPr>
          <w:rFonts w:ascii="Arial" w:hAnsi="Arial" w:cs="Arial"/>
          <w:sz w:val="20"/>
          <w:szCs w:val="20"/>
        </w:rPr>
        <w:t>effort</w:t>
      </w:r>
      <w:r w:rsidR="00D63F93">
        <w:rPr>
          <w:rFonts w:ascii="Arial" w:hAnsi="Arial" w:cs="Arial"/>
          <w:sz w:val="20"/>
          <w:szCs w:val="20"/>
        </w:rPr>
        <w:t>s</w:t>
      </w:r>
      <w:r w:rsidR="009B6C68">
        <w:rPr>
          <w:rFonts w:ascii="Arial" w:hAnsi="Arial" w:cs="Arial"/>
          <w:sz w:val="20"/>
          <w:szCs w:val="20"/>
        </w:rPr>
        <w:t xml:space="preserve"> to</w:t>
      </w:r>
      <w:r w:rsidR="00333194">
        <w:rPr>
          <w:rFonts w:ascii="Arial" w:hAnsi="Arial" w:cs="Arial"/>
          <w:sz w:val="20"/>
          <w:szCs w:val="20"/>
        </w:rPr>
        <w:t xml:space="preserve"> </w:t>
      </w:r>
      <w:r w:rsidR="009B6C68">
        <w:rPr>
          <w:rFonts w:ascii="Arial" w:hAnsi="Arial" w:cs="Arial"/>
          <w:sz w:val="20"/>
          <w:szCs w:val="20"/>
        </w:rPr>
        <w:t>collect public domain probe molecules</w:t>
      </w:r>
      <w:r w:rsidR="00D63F93">
        <w:rPr>
          <w:rFonts w:ascii="Arial" w:hAnsi="Arial" w:cs="Arial"/>
          <w:sz w:val="20"/>
          <w:szCs w:val="20"/>
        </w:rPr>
        <w:t xml:space="preserve"> have been recently reported.</w:t>
      </w:r>
      <w:r w:rsidR="0015795C">
        <w:rPr>
          <w:rStyle w:val="EndnoteReference"/>
          <w:rFonts w:ascii="Arial" w:hAnsi="Arial" w:cs="Arial"/>
          <w:sz w:val="20"/>
          <w:szCs w:val="20"/>
        </w:rPr>
        <w:endnoteReference w:id="14"/>
      </w:r>
      <w:r w:rsidR="0015795C" w:rsidRPr="00806135">
        <w:rPr>
          <w:rFonts w:ascii="Arial" w:hAnsi="Arial" w:cs="Arial"/>
          <w:sz w:val="20"/>
          <w:szCs w:val="20"/>
          <w:vertAlign w:val="superscript"/>
        </w:rPr>
        <w:t>,</w:t>
      </w:r>
      <w:r w:rsidR="0015795C">
        <w:rPr>
          <w:rStyle w:val="EndnoteReference"/>
          <w:rFonts w:ascii="Arial" w:hAnsi="Arial" w:cs="Arial"/>
          <w:sz w:val="20"/>
          <w:szCs w:val="20"/>
        </w:rPr>
        <w:endnoteReference w:id="15"/>
      </w:r>
      <w:r w:rsidR="009B6C68">
        <w:rPr>
          <w:rFonts w:ascii="Arial" w:hAnsi="Arial" w:cs="Arial"/>
          <w:sz w:val="20"/>
          <w:szCs w:val="20"/>
        </w:rPr>
        <w:t xml:space="preserve"> </w:t>
      </w:r>
      <w:r w:rsidR="00FD03FE">
        <w:rPr>
          <w:rFonts w:ascii="Arial" w:hAnsi="Arial" w:cs="Arial"/>
          <w:sz w:val="20"/>
          <w:szCs w:val="20"/>
        </w:rPr>
        <w:t xml:space="preserve"> </w:t>
      </w:r>
      <w:r w:rsidR="00616441">
        <w:rPr>
          <w:rFonts w:ascii="Arial" w:hAnsi="Arial" w:cs="Arial"/>
          <w:sz w:val="20"/>
          <w:szCs w:val="20"/>
        </w:rPr>
        <w:t>An awareness campaign engaged the Novartis scientific community to cumulate the wisdom of screeners, informaticians, chemists, biologists</w:t>
      </w:r>
      <w:r w:rsidR="00703464">
        <w:rPr>
          <w:rFonts w:ascii="Arial" w:hAnsi="Arial" w:cs="Arial"/>
          <w:sz w:val="20"/>
          <w:szCs w:val="20"/>
        </w:rPr>
        <w:t xml:space="preserve"> and pharmacologists</w:t>
      </w:r>
      <w:r w:rsidR="00616441">
        <w:rPr>
          <w:rFonts w:ascii="Arial" w:hAnsi="Arial" w:cs="Arial"/>
          <w:sz w:val="20"/>
          <w:szCs w:val="20"/>
        </w:rPr>
        <w:t xml:space="preserve"> and enhance the content of our chemogenetics library. </w:t>
      </w:r>
      <w:r w:rsidR="00333194">
        <w:rPr>
          <w:rFonts w:ascii="Arial" w:hAnsi="Arial" w:cs="Arial"/>
          <w:sz w:val="20"/>
          <w:szCs w:val="20"/>
        </w:rPr>
        <w:t>To access the collective insights of the drug discovery scientists at N</w:t>
      </w:r>
      <w:r w:rsidR="00F24632">
        <w:rPr>
          <w:rFonts w:ascii="Arial" w:hAnsi="Arial" w:cs="Arial"/>
          <w:sz w:val="20"/>
          <w:szCs w:val="20"/>
        </w:rPr>
        <w:t>ovartis we created a simple web-</w:t>
      </w:r>
      <w:r w:rsidR="00333194">
        <w:rPr>
          <w:rFonts w:ascii="Arial" w:hAnsi="Arial" w:cs="Arial"/>
          <w:sz w:val="20"/>
          <w:szCs w:val="20"/>
        </w:rPr>
        <w:t>based nomination form (Figure 2) open to any individual at Novartis. T</w:t>
      </w:r>
      <w:r w:rsidR="00616441">
        <w:rPr>
          <w:rFonts w:ascii="Arial" w:hAnsi="Arial" w:cs="Arial"/>
          <w:sz w:val="20"/>
          <w:szCs w:val="20"/>
        </w:rPr>
        <w:t>he nomination page permitted</w:t>
      </w:r>
      <w:r w:rsidR="00333194">
        <w:rPr>
          <w:rFonts w:ascii="Arial" w:hAnsi="Arial" w:cs="Arial"/>
          <w:sz w:val="20"/>
          <w:szCs w:val="20"/>
        </w:rPr>
        <w:t xml:space="preserve"> nomi</w:t>
      </w:r>
      <w:r w:rsidR="2C18E230">
        <w:rPr>
          <w:rFonts w:ascii="Arial" w:hAnsi="Arial" w:cs="Arial"/>
          <w:sz w:val="20"/>
          <w:szCs w:val="20"/>
        </w:rPr>
        <w:t>n</w:t>
      </w:r>
      <w:r w:rsidR="00333194">
        <w:rPr>
          <w:rFonts w:ascii="Arial" w:hAnsi="Arial" w:cs="Arial"/>
          <w:sz w:val="20"/>
          <w:szCs w:val="20"/>
        </w:rPr>
        <w:t>ation</w:t>
      </w:r>
      <w:r w:rsidR="00616441">
        <w:rPr>
          <w:rFonts w:ascii="Arial" w:hAnsi="Arial" w:cs="Arial"/>
          <w:sz w:val="20"/>
          <w:szCs w:val="20"/>
        </w:rPr>
        <w:t>s</w:t>
      </w:r>
      <w:r w:rsidR="00333194">
        <w:rPr>
          <w:rFonts w:ascii="Arial" w:hAnsi="Arial" w:cs="Arial"/>
          <w:sz w:val="20"/>
          <w:szCs w:val="20"/>
        </w:rPr>
        <w:t xml:space="preserve"> of new compounds (from internal projects or literature)</w:t>
      </w:r>
      <w:r w:rsidR="00CE5ADD">
        <w:rPr>
          <w:rFonts w:ascii="Arial" w:hAnsi="Arial" w:cs="Arial"/>
          <w:sz w:val="20"/>
          <w:szCs w:val="20"/>
        </w:rPr>
        <w:t>,</w:t>
      </w:r>
      <w:r w:rsidR="00333194">
        <w:rPr>
          <w:rFonts w:ascii="Arial" w:hAnsi="Arial" w:cs="Arial"/>
          <w:sz w:val="20"/>
          <w:szCs w:val="20"/>
        </w:rPr>
        <w:t xml:space="preserve"> but also to provide expertise </w:t>
      </w:r>
      <w:r w:rsidR="00CE5ADD">
        <w:rPr>
          <w:rFonts w:ascii="Arial" w:hAnsi="Arial" w:cs="Arial"/>
          <w:sz w:val="20"/>
          <w:szCs w:val="20"/>
        </w:rPr>
        <w:t xml:space="preserve">and further insights to </w:t>
      </w:r>
      <w:r w:rsidR="00F24632">
        <w:rPr>
          <w:rFonts w:ascii="Arial" w:hAnsi="Arial" w:cs="Arial"/>
          <w:sz w:val="20"/>
          <w:szCs w:val="20"/>
        </w:rPr>
        <w:t>well-</w:t>
      </w:r>
      <w:r w:rsidR="00333194">
        <w:rPr>
          <w:rFonts w:ascii="Arial" w:hAnsi="Arial" w:cs="Arial"/>
          <w:sz w:val="20"/>
          <w:szCs w:val="20"/>
        </w:rPr>
        <w:t>established targets</w:t>
      </w:r>
      <w:r w:rsidR="00DF2E8D">
        <w:rPr>
          <w:rFonts w:ascii="Arial" w:hAnsi="Arial" w:cs="Arial"/>
          <w:sz w:val="20"/>
          <w:szCs w:val="20"/>
        </w:rPr>
        <w:t xml:space="preserve"> </w:t>
      </w:r>
      <w:r w:rsidR="00333194">
        <w:rPr>
          <w:rFonts w:ascii="Arial" w:hAnsi="Arial" w:cs="Arial"/>
          <w:sz w:val="20"/>
          <w:szCs w:val="20"/>
        </w:rPr>
        <w:t>(</w:t>
      </w:r>
      <w:r w:rsidR="00333194" w:rsidRPr="00806135">
        <w:rPr>
          <w:rFonts w:ascii="Arial" w:hAnsi="Arial" w:cs="Arial"/>
          <w:i/>
          <w:iCs/>
          <w:sz w:val="20"/>
          <w:szCs w:val="20"/>
        </w:rPr>
        <w:t xml:space="preserve">e.g. </w:t>
      </w:r>
      <w:r w:rsidR="00333194">
        <w:rPr>
          <w:rFonts w:ascii="Arial" w:hAnsi="Arial" w:cs="Arial"/>
          <w:sz w:val="20"/>
          <w:szCs w:val="20"/>
        </w:rPr>
        <w:t>what is the “best” PI3K tool compound) and specific probes</w:t>
      </w:r>
      <w:r w:rsidR="00DF2E8D">
        <w:rPr>
          <w:rFonts w:ascii="Arial" w:hAnsi="Arial" w:cs="Arial"/>
          <w:sz w:val="20"/>
          <w:szCs w:val="20"/>
        </w:rPr>
        <w:t xml:space="preserve"> (unpublished targets for known compounds)</w:t>
      </w:r>
      <w:r w:rsidR="00333194">
        <w:rPr>
          <w:rFonts w:ascii="Arial" w:hAnsi="Arial" w:cs="Arial"/>
          <w:sz w:val="20"/>
          <w:szCs w:val="20"/>
        </w:rPr>
        <w:t xml:space="preserve">. </w:t>
      </w:r>
      <w:r w:rsidR="00616441">
        <w:rPr>
          <w:rFonts w:ascii="Arial" w:hAnsi="Arial" w:cs="Arial"/>
          <w:sz w:val="20"/>
          <w:szCs w:val="20"/>
        </w:rPr>
        <w:t>Coupling of our human insight approach aided our informatic strategy by suggesting close analogues of use-restricted probe molecules (</w:t>
      </w:r>
      <w:r w:rsidR="00616441" w:rsidRPr="00806135">
        <w:rPr>
          <w:rFonts w:ascii="Arial" w:hAnsi="Arial" w:cs="Arial"/>
          <w:i/>
          <w:iCs/>
          <w:sz w:val="20"/>
          <w:szCs w:val="20"/>
        </w:rPr>
        <w:t>e.g.</w:t>
      </w:r>
      <w:r w:rsidR="00616441">
        <w:rPr>
          <w:rFonts w:ascii="Arial" w:hAnsi="Arial" w:cs="Arial"/>
          <w:sz w:val="20"/>
          <w:szCs w:val="20"/>
        </w:rPr>
        <w:t xml:space="preserve"> clinical candidates, controlled substances) or rare compounds (natural products) whose supply was limited. </w:t>
      </w:r>
      <w:r w:rsidR="00C37138">
        <w:rPr>
          <w:rFonts w:ascii="Arial" w:hAnsi="Arial" w:cs="Arial"/>
          <w:sz w:val="20"/>
          <w:szCs w:val="20"/>
        </w:rPr>
        <w:t>With our</w:t>
      </w:r>
      <w:r w:rsidR="00333194">
        <w:rPr>
          <w:rFonts w:ascii="Arial" w:hAnsi="Arial" w:cs="Arial"/>
          <w:sz w:val="20"/>
          <w:szCs w:val="20"/>
        </w:rPr>
        <w:t xml:space="preserve"> insight-driven </w:t>
      </w:r>
      <w:r w:rsidR="00F24632">
        <w:rPr>
          <w:rFonts w:ascii="Arial" w:hAnsi="Arial" w:cs="Arial"/>
          <w:sz w:val="20"/>
          <w:szCs w:val="20"/>
        </w:rPr>
        <w:t>approach,</w:t>
      </w:r>
      <w:r w:rsidR="00333194">
        <w:rPr>
          <w:rFonts w:ascii="Arial" w:hAnsi="Arial" w:cs="Arial"/>
          <w:sz w:val="20"/>
          <w:szCs w:val="20"/>
        </w:rPr>
        <w:t xml:space="preserve"> we </w:t>
      </w:r>
      <w:r w:rsidR="00DF2E8D">
        <w:rPr>
          <w:rFonts w:ascii="Arial" w:hAnsi="Arial" w:cs="Arial"/>
          <w:sz w:val="20"/>
          <w:szCs w:val="20"/>
        </w:rPr>
        <w:t>could evade</w:t>
      </w:r>
      <w:r w:rsidR="00333194">
        <w:rPr>
          <w:rFonts w:ascii="Arial" w:hAnsi="Arial" w:cs="Arial"/>
          <w:sz w:val="20"/>
          <w:szCs w:val="20"/>
        </w:rPr>
        <w:t xml:space="preserve"> stri</w:t>
      </w:r>
      <w:r w:rsidR="18ED113C">
        <w:rPr>
          <w:rFonts w:ascii="Arial" w:hAnsi="Arial" w:cs="Arial"/>
          <w:sz w:val="20"/>
          <w:szCs w:val="20"/>
        </w:rPr>
        <w:t>n</w:t>
      </w:r>
      <w:r w:rsidR="00333194">
        <w:rPr>
          <w:rFonts w:ascii="Arial" w:hAnsi="Arial" w:cs="Arial"/>
          <w:sz w:val="20"/>
          <w:szCs w:val="20"/>
        </w:rPr>
        <w:t xml:space="preserve">gent parameters </w:t>
      </w:r>
      <w:r w:rsidR="00DF2E8D">
        <w:rPr>
          <w:rFonts w:ascii="Arial" w:hAnsi="Arial" w:cs="Arial"/>
          <w:sz w:val="20"/>
          <w:szCs w:val="20"/>
        </w:rPr>
        <w:t xml:space="preserve">criteria </w:t>
      </w:r>
      <w:r w:rsidR="00333194">
        <w:rPr>
          <w:rFonts w:ascii="Arial" w:hAnsi="Arial" w:cs="Arial"/>
          <w:sz w:val="20"/>
          <w:szCs w:val="20"/>
        </w:rPr>
        <w:t>for probe inclusion</w:t>
      </w:r>
      <w:r w:rsidR="00DF2E8D">
        <w:rPr>
          <w:rFonts w:ascii="Arial" w:hAnsi="Arial" w:cs="Arial"/>
          <w:sz w:val="20"/>
          <w:szCs w:val="20"/>
        </w:rPr>
        <w:t xml:space="preserve"> and instead</w:t>
      </w:r>
      <w:r w:rsidR="00333194">
        <w:rPr>
          <w:rFonts w:ascii="Arial" w:hAnsi="Arial" w:cs="Arial"/>
          <w:sz w:val="20"/>
          <w:szCs w:val="20"/>
        </w:rPr>
        <w:t xml:space="preserve"> rely on our four </w:t>
      </w:r>
      <w:r w:rsidR="00DF2E8D">
        <w:rPr>
          <w:rFonts w:ascii="Arial" w:hAnsi="Arial" w:cs="Arial"/>
          <w:sz w:val="20"/>
          <w:szCs w:val="20"/>
        </w:rPr>
        <w:t>simple</w:t>
      </w:r>
      <w:r w:rsidR="00616441">
        <w:rPr>
          <w:rFonts w:ascii="Arial" w:hAnsi="Arial" w:cs="Arial"/>
          <w:sz w:val="20"/>
          <w:szCs w:val="20"/>
        </w:rPr>
        <w:t xml:space="preserve"> design principles (</w:t>
      </w:r>
      <w:r w:rsidR="00616441" w:rsidRPr="00616441">
        <w:rPr>
          <w:rFonts w:ascii="Arial" w:hAnsi="Arial" w:cs="Arial"/>
          <w:i/>
          <w:sz w:val="20"/>
          <w:szCs w:val="20"/>
        </w:rPr>
        <w:t>vide supra</w:t>
      </w:r>
      <w:r w:rsidR="00616441">
        <w:rPr>
          <w:rFonts w:ascii="Arial" w:hAnsi="Arial" w:cs="Arial"/>
          <w:sz w:val="20"/>
          <w:szCs w:val="20"/>
        </w:rPr>
        <w:t xml:space="preserve">). </w:t>
      </w:r>
      <w:r w:rsidR="00333194">
        <w:rPr>
          <w:rFonts w:ascii="Arial" w:hAnsi="Arial" w:cs="Arial"/>
          <w:sz w:val="20"/>
          <w:szCs w:val="20"/>
        </w:rPr>
        <w:t xml:space="preserve">This enabled broader target coverage surpassing the potential liability of </w:t>
      </w:r>
      <w:r w:rsidR="000E186A" w:rsidRPr="00806135">
        <w:rPr>
          <w:rFonts w:ascii="Arial" w:hAnsi="Arial" w:cs="Arial"/>
          <w:i/>
          <w:iCs/>
          <w:sz w:val="20"/>
          <w:szCs w:val="20"/>
        </w:rPr>
        <w:t>in silico</w:t>
      </w:r>
      <w:r w:rsidR="000E186A">
        <w:rPr>
          <w:rFonts w:ascii="Arial" w:hAnsi="Arial" w:cs="Arial"/>
          <w:sz w:val="20"/>
          <w:szCs w:val="20"/>
        </w:rPr>
        <w:t xml:space="preserve"> filtering criteria </w:t>
      </w:r>
      <w:r w:rsidR="00440994">
        <w:rPr>
          <w:rFonts w:ascii="Arial" w:hAnsi="Arial" w:cs="Arial"/>
          <w:sz w:val="20"/>
          <w:szCs w:val="20"/>
        </w:rPr>
        <w:t>(</w:t>
      </w:r>
      <w:r w:rsidR="000E186A">
        <w:rPr>
          <w:rFonts w:ascii="Arial" w:hAnsi="Arial" w:cs="Arial"/>
          <w:sz w:val="20"/>
          <w:szCs w:val="20"/>
        </w:rPr>
        <w:t>activity</w:t>
      </w:r>
      <w:r w:rsidR="00440994">
        <w:rPr>
          <w:rFonts w:ascii="Arial" w:hAnsi="Arial" w:cs="Arial"/>
          <w:sz w:val="20"/>
          <w:szCs w:val="20"/>
        </w:rPr>
        <w:t xml:space="preserve">, </w:t>
      </w:r>
      <w:r w:rsidR="000E186A">
        <w:rPr>
          <w:rFonts w:ascii="Arial" w:hAnsi="Arial" w:cs="Arial"/>
          <w:sz w:val="20"/>
          <w:szCs w:val="20"/>
        </w:rPr>
        <w:t>selectivity</w:t>
      </w:r>
      <w:r w:rsidR="00440994">
        <w:rPr>
          <w:rFonts w:ascii="Arial" w:hAnsi="Arial" w:cs="Arial"/>
          <w:sz w:val="20"/>
          <w:szCs w:val="20"/>
        </w:rPr>
        <w:t>, MW, etc)</w:t>
      </w:r>
      <w:r w:rsidR="000E186A">
        <w:rPr>
          <w:rFonts w:ascii="Arial" w:hAnsi="Arial" w:cs="Arial"/>
          <w:sz w:val="20"/>
          <w:szCs w:val="20"/>
        </w:rPr>
        <w:t xml:space="preserve"> </w:t>
      </w:r>
      <w:r w:rsidR="00333194">
        <w:rPr>
          <w:rFonts w:ascii="Arial" w:hAnsi="Arial" w:cs="Arial"/>
          <w:sz w:val="20"/>
          <w:szCs w:val="20"/>
        </w:rPr>
        <w:t>that would</w:t>
      </w:r>
      <w:r w:rsidR="000E186A">
        <w:rPr>
          <w:rFonts w:ascii="Arial" w:hAnsi="Arial" w:cs="Arial"/>
          <w:sz w:val="20"/>
          <w:szCs w:val="20"/>
        </w:rPr>
        <w:t xml:space="preserve"> eliminate potentially valuable tool compounds for underrepresented gene targets.</w:t>
      </w:r>
      <w:r w:rsidR="00F24632">
        <w:rPr>
          <w:rFonts w:ascii="Arial" w:hAnsi="Arial" w:cs="Arial"/>
          <w:sz w:val="20"/>
          <w:szCs w:val="20"/>
        </w:rPr>
        <w:t xml:space="preserve"> </w:t>
      </w:r>
      <w:r w:rsidR="00616441">
        <w:rPr>
          <w:rFonts w:ascii="Arial" w:hAnsi="Arial" w:cs="Arial"/>
          <w:sz w:val="20"/>
          <w:szCs w:val="20"/>
        </w:rPr>
        <w:t>Overall, c</w:t>
      </w:r>
      <w:r w:rsidR="00D258DA">
        <w:rPr>
          <w:rFonts w:ascii="Arial" w:hAnsi="Arial" w:cs="Arial"/>
          <w:sz w:val="20"/>
          <w:szCs w:val="20"/>
        </w:rPr>
        <w:t xml:space="preserve">ommunity engagement </w:t>
      </w:r>
      <w:r w:rsidR="00E51402">
        <w:rPr>
          <w:rFonts w:ascii="Arial" w:hAnsi="Arial" w:cs="Arial"/>
          <w:sz w:val="20"/>
          <w:szCs w:val="20"/>
        </w:rPr>
        <w:t>was</w:t>
      </w:r>
      <w:r w:rsidR="00D258DA">
        <w:rPr>
          <w:rFonts w:ascii="Arial" w:hAnsi="Arial" w:cs="Arial"/>
          <w:sz w:val="20"/>
          <w:szCs w:val="20"/>
        </w:rPr>
        <w:t xml:space="preserve"> vital </w:t>
      </w:r>
      <w:r w:rsidR="00616441">
        <w:rPr>
          <w:rFonts w:ascii="Arial" w:hAnsi="Arial" w:cs="Arial"/>
          <w:sz w:val="20"/>
          <w:szCs w:val="20"/>
        </w:rPr>
        <w:t>with</w:t>
      </w:r>
      <w:r w:rsidR="00D258DA" w:rsidRPr="0039042D">
        <w:rPr>
          <w:rFonts w:ascii="Arial" w:hAnsi="Arial" w:cs="Arial"/>
          <w:sz w:val="20"/>
          <w:szCs w:val="20"/>
        </w:rPr>
        <w:t xml:space="preserve"> 2</w:t>
      </w:r>
      <w:r w:rsidR="005A0D15">
        <w:rPr>
          <w:rFonts w:ascii="Arial" w:hAnsi="Arial" w:cs="Arial"/>
          <w:sz w:val="20"/>
          <w:szCs w:val="20"/>
        </w:rPr>
        <w:t>7</w:t>
      </w:r>
      <w:r w:rsidR="003145C3" w:rsidRPr="0039042D">
        <w:rPr>
          <w:rFonts w:ascii="Arial" w:hAnsi="Arial" w:cs="Arial"/>
          <w:sz w:val="20"/>
          <w:szCs w:val="20"/>
        </w:rPr>
        <w:t>% of th</w:t>
      </w:r>
      <w:r w:rsidR="003145C3">
        <w:rPr>
          <w:rFonts w:ascii="Arial" w:hAnsi="Arial" w:cs="Arial"/>
          <w:sz w:val="20"/>
          <w:szCs w:val="20"/>
        </w:rPr>
        <w:t xml:space="preserve">e </w:t>
      </w:r>
      <w:r w:rsidR="00DF2E8D">
        <w:rPr>
          <w:rFonts w:ascii="Arial" w:hAnsi="Arial" w:cs="Arial"/>
          <w:sz w:val="20"/>
          <w:szCs w:val="20"/>
        </w:rPr>
        <w:t xml:space="preserve">overall </w:t>
      </w:r>
      <w:r w:rsidR="000E186A">
        <w:rPr>
          <w:rFonts w:ascii="Arial" w:hAnsi="Arial" w:cs="Arial"/>
          <w:sz w:val="20"/>
          <w:szCs w:val="20"/>
        </w:rPr>
        <w:t>collection</w:t>
      </w:r>
      <w:r w:rsidR="003145C3">
        <w:rPr>
          <w:rFonts w:ascii="Arial" w:hAnsi="Arial" w:cs="Arial"/>
          <w:sz w:val="20"/>
          <w:szCs w:val="20"/>
        </w:rPr>
        <w:t xml:space="preserve"> </w:t>
      </w:r>
      <w:r w:rsidR="00616441">
        <w:rPr>
          <w:rFonts w:ascii="Arial" w:hAnsi="Arial" w:cs="Arial"/>
          <w:sz w:val="20"/>
          <w:szCs w:val="20"/>
        </w:rPr>
        <w:t>originating</w:t>
      </w:r>
      <w:r w:rsidR="003145C3">
        <w:rPr>
          <w:rFonts w:ascii="Arial" w:hAnsi="Arial" w:cs="Arial"/>
          <w:sz w:val="20"/>
          <w:szCs w:val="20"/>
        </w:rPr>
        <w:t xml:space="preserve"> from </w:t>
      </w:r>
      <w:r w:rsidR="000E186A">
        <w:rPr>
          <w:rFonts w:ascii="Arial" w:hAnsi="Arial" w:cs="Arial"/>
          <w:sz w:val="20"/>
          <w:szCs w:val="20"/>
        </w:rPr>
        <w:t xml:space="preserve">the </w:t>
      </w:r>
      <w:r w:rsidR="00440994">
        <w:rPr>
          <w:rFonts w:ascii="Arial" w:hAnsi="Arial" w:cs="Arial"/>
          <w:sz w:val="20"/>
          <w:szCs w:val="20"/>
        </w:rPr>
        <w:t>crowdsourced</w:t>
      </w:r>
      <w:r w:rsidR="00616441">
        <w:rPr>
          <w:rFonts w:ascii="Arial" w:hAnsi="Arial" w:cs="Arial"/>
          <w:sz w:val="20"/>
          <w:szCs w:val="20"/>
        </w:rPr>
        <w:t>,</w:t>
      </w:r>
      <w:r w:rsidR="00440994">
        <w:rPr>
          <w:rFonts w:ascii="Arial" w:hAnsi="Arial" w:cs="Arial"/>
          <w:sz w:val="20"/>
          <w:szCs w:val="20"/>
        </w:rPr>
        <w:t xml:space="preserve"> </w:t>
      </w:r>
      <w:r w:rsidR="000E186A">
        <w:rPr>
          <w:rFonts w:ascii="Arial" w:hAnsi="Arial" w:cs="Arial"/>
          <w:sz w:val="20"/>
          <w:szCs w:val="20"/>
        </w:rPr>
        <w:lastRenderedPageBreak/>
        <w:t>insight-</w:t>
      </w:r>
      <w:r w:rsidR="003145C3">
        <w:rPr>
          <w:rFonts w:ascii="Arial" w:hAnsi="Arial" w:cs="Arial"/>
          <w:sz w:val="20"/>
          <w:szCs w:val="20"/>
        </w:rPr>
        <w:t>based approach.</w:t>
      </w:r>
      <w:r w:rsidR="000E186A">
        <w:rPr>
          <w:rFonts w:ascii="Arial" w:hAnsi="Arial" w:cs="Arial"/>
          <w:sz w:val="20"/>
          <w:szCs w:val="20"/>
        </w:rPr>
        <w:t xml:space="preserve"> </w:t>
      </w:r>
      <w:r w:rsidR="00C37138">
        <w:rPr>
          <w:rFonts w:ascii="Arial" w:hAnsi="Arial" w:cs="Arial"/>
          <w:sz w:val="20"/>
          <w:szCs w:val="20"/>
        </w:rPr>
        <w:t>A</w:t>
      </w:r>
      <w:r w:rsidR="005D249A">
        <w:rPr>
          <w:rFonts w:ascii="Arial" w:hAnsi="Arial" w:cs="Arial"/>
          <w:sz w:val="20"/>
          <w:szCs w:val="20"/>
        </w:rPr>
        <w:t xml:space="preserve">s we had hypothesized at the outset of the </w:t>
      </w:r>
      <w:r w:rsidR="000E186A">
        <w:rPr>
          <w:rFonts w:ascii="Arial" w:hAnsi="Arial" w:cs="Arial"/>
          <w:sz w:val="20"/>
          <w:szCs w:val="20"/>
        </w:rPr>
        <w:t>construction</w:t>
      </w:r>
      <w:r w:rsidR="005D249A">
        <w:rPr>
          <w:rFonts w:ascii="Arial" w:hAnsi="Arial" w:cs="Arial"/>
          <w:sz w:val="20"/>
          <w:szCs w:val="20"/>
        </w:rPr>
        <w:t>, merging data</w:t>
      </w:r>
      <w:r w:rsidR="000E186A">
        <w:rPr>
          <w:rFonts w:ascii="Arial" w:hAnsi="Arial" w:cs="Arial"/>
          <w:sz w:val="20"/>
          <w:szCs w:val="20"/>
        </w:rPr>
        <w:t xml:space="preserve"> informatics</w:t>
      </w:r>
      <w:r w:rsidR="005D249A">
        <w:rPr>
          <w:rFonts w:ascii="Arial" w:hAnsi="Arial" w:cs="Arial"/>
          <w:sz w:val="20"/>
          <w:szCs w:val="20"/>
        </w:rPr>
        <w:t xml:space="preserve"> with</w:t>
      </w:r>
      <w:r w:rsidR="000E186A">
        <w:rPr>
          <w:rFonts w:ascii="Arial" w:hAnsi="Arial" w:cs="Arial"/>
          <w:sz w:val="20"/>
          <w:szCs w:val="20"/>
        </w:rPr>
        <w:t xml:space="preserve"> human </w:t>
      </w:r>
      <w:r w:rsidR="005D249A">
        <w:rPr>
          <w:rFonts w:ascii="Arial" w:hAnsi="Arial" w:cs="Arial"/>
          <w:sz w:val="20"/>
          <w:szCs w:val="20"/>
        </w:rPr>
        <w:t xml:space="preserve">insights yielded a much more robust set of compounds than could have been obtained using either approach independently. </w:t>
      </w:r>
    </w:p>
    <w:p w14:paraId="36D28C74" w14:textId="77777777" w:rsidR="00D969B3" w:rsidRPr="00806135" w:rsidRDefault="00D969B3" w:rsidP="009E7E3C">
      <w:pPr>
        <w:spacing w:line="360" w:lineRule="auto"/>
        <w:contextualSpacing/>
        <w:jc w:val="both"/>
        <w:rPr>
          <w:rFonts w:ascii="Arial" w:hAnsi="Arial" w:cs="Arial"/>
          <w:b/>
          <w:i/>
          <w:sz w:val="20"/>
          <w:szCs w:val="20"/>
        </w:rPr>
      </w:pPr>
    </w:p>
    <w:p w14:paraId="466321CC" w14:textId="77777777" w:rsidR="00D22C7C" w:rsidRPr="00806135" w:rsidRDefault="00F11A8F" w:rsidP="00806135">
      <w:pPr>
        <w:spacing w:line="360" w:lineRule="auto"/>
        <w:contextualSpacing/>
        <w:jc w:val="both"/>
        <w:rPr>
          <w:rFonts w:ascii="Arial" w:hAnsi="Arial" w:cs="Arial"/>
          <w:b/>
          <w:bCs/>
          <w:i/>
          <w:iCs/>
          <w:sz w:val="20"/>
          <w:szCs w:val="20"/>
        </w:rPr>
      </w:pPr>
      <w:r w:rsidRPr="00806135">
        <w:rPr>
          <w:rFonts w:ascii="Arial" w:hAnsi="Arial" w:cs="Arial"/>
          <w:b/>
          <w:bCs/>
          <w:i/>
          <w:iCs/>
          <w:sz w:val="20"/>
          <w:szCs w:val="20"/>
        </w:rPr>
        <w:t>C</w:t>
      </w:r>
      <w:r w:rsidR="00D22C7C" w:rsidRPr="00806135">
        <w:rPr>
          <w:rFonts w:ascii="Arial" w:hAnsi="Arial" w:cs="Arial"/>
          <w:b/>
          <w:bCs/>
          <w:i/>
          <w:iCs/>
          <w:sz w:val="20"/>
          <w:szCs w:val="20"/>
        </w:rPr>
        <w:t xml:space="preserve">ontinuous </w:t>
      </w:r>
      <w:r w:rsidR="00F24632" w:rsidRPr="00806135">
        <w:rPr>
          <w:rFonts w:ascii="Arial" w:hAnsi="Arial" w:cs="Arial"/>
          <w:b/>
          <w:bCs/>
          <w:i/>
          <w:iCs/>
          <w:sz w:val="20"/>
          <w:szCs w:val="20"/>
        </w:rPr>
        <w:t xml:space="preserve">cycle of nomination, </w:t>
      </w:r>
      <w:r w:rsidR="00D22C7C" w:rsidRPr="00806135">
        <w:rPr>
          <w:rFonts w:ascii="Arial" w:hAnsi="Arial" w:cs="Arial"/>
          <w:b/>
          <w:bCs/>
          <w:i/>
          <w:iCs/>
          <w:sz w:val="20"/>
          <w:szCs w:val="20"/>
        </w:rPr>
        <w:t>curation</w:t>
      </w:r>
      <w:r w:rsidR="00F24632" w:rsidRPr="00806135">
        <w:rPr>
          <w:rFonts w:ascii="Arial" w:hAnsi="Arial" w:cs="Arial"/>
          <w:b/>
          <w:bCs/>
          <w:i/>
          <w:iCs/>
          <w:sz w:val="20"/>
          <w:szCs w:val="20"/>
        </w:rPr>
        <w:t>,</w:t>
      </w:r>
      <w:r w:rsidR="00622279" w:rsidRPr="00806135">
        <w:rPr>
          <w:rFonts w:ascii="Arial" w:hAnsi="Arial" w:cs="Arial"/>
          <w:b/>
          <w:bCs/>
          <w:i/>
          <w:iCs/>
          <w:sz w:val="20"/>
          <w:szCs w:val="20"/>
        </w:rPr>
        <w:t xml:space="preserve"> and acquisition</w:t>
      </w:r>
    </w:p>
    <w:p w14:paraId="641458E9" w14:textId="13983060" w:rsidR="001971FE" w:rsidRPr="003C2306" w:rsidRDefault="00D22C7C" w:rsidP="00806135">
      <w:pPr>
        <w:spacing w:line="360" w:lineRule="auto"/>
        <w:contextualSpacing/>
        <w:jc w:val="both"/>
        <w:rPr>
          <w:rFonts w:ascii="Arial" w:hAnsi="Arial" w:cs="Arial"/>
          <w:b/>
          <w:bCs/>
          <w:sz w:val="20"/>
          <w:szCs w:val="20"/>
        </w:rPr>
      </w:pPr>
      <w:r>
        <w:rPr>
          <w:rFonts w:ascii="Arial" w:hAnsi="Arial" w:cs="Arial"/>
          <w:b/>
          <w:i/>
          <w:sz w:val="20"/>
          <w:szCs w:val="20"/>
        </w:rPr>
        <w:tab/>
      </w:r>
      <w:r w:rsidR="00DD3B5A">
        <w:rPr>
          <w:rFonts w:ascii="Arial" w:hAnsi="Arial" w:cs="Arial"/>
          <w:sz w:val="20"/>
          <w:szCs w:val="20"/>
        </w:rPr>
        <w:t xml:space="preserve">To maintain </w:t>
      </w:r>
      <w:r w:rsidR="00DF2E8D">
        <w:rPr>
          <w:rFonts w:ascii="Arial" w:hAnsi="Arial" w:cs="Arial"/>
          <w:sz w:val="20"/>
          <w:szCs w:val="20"/>
        </w:rPr>
        <w:t>perpetual</w:t>
      </w:r>
      <w:r w:rsidR="00DD3B5A">
        <w:rPr>
          <w:rFonts w:ascii="Arial" w:hAnsi="Arial" w:cs="Arial"/>
          <w:sz w:val="20"/>
          <w:szCs w:val="20"/>
        </w:rPr>
        <w:t xml:space="preserve"> re</w:t>
      </w:r>
      <w:r w:rsidR="0047712C">
        <w:rPr>
          <w:rFonts w:ascii="Arial" w:hAnsi="Arial" w:cs="Arial"/>
          <w:sz w:val="20"/>
          <w:szCs w:val="20"/>
        </w:rPr>
        <w:t>finement and growth we assembled</w:t>
      </w:r>
      <w:r w:rsidR="00DD3B5A">
        <w:rPr>
          <w:rFonts w:ascii="Arial" w:hAnsi="Arial" w:cs="Arial"/>
          <w:sz w:val="20"/>
          <w:szCs w:val="20"/>
        </w:rPr>
        <w:t xml:space="preserve"> several dedicated teams to drive nominations, evaluate</w:t>
      </w:r>
      <w:r w:rsidR="00440994">
        <w:rPr>
          <w:rFonts w:ascii="Arial" w:hAnsi="Arial" w:cs="Arial"/>
          <w:sz w:val="20"/>
          <w:szCs w:val="20"/>
        </w:rPr>
        <w:t>/</w:t>
      </w:r>
      <w:r w:rsidR="00DD3B5A">
        <w:rPr>
          <w:rFonts w:ascii="Arial" w:hAnsi="Arial" w:cs="Arial"/>
          <w:sz w:val="20"/>
          <w:szCs w:val="20"/>
        </w:rPr>
        <w:t xml:space="preserve">prioritize </w:t>
      </w:r>
      <w:r w:rsidR="00DF2E8D">
        <w:rPr>
          <w:rFonts w:ascii="Arial" w:hAnsi="Arial" w:cs="Arial"/>
          <w:sz w:val="20"/>
          <w:szCs w:val="20"/>
        </w:rPr>
        <w:t>submissions</w:t>
      </w:r>
      <w:r w:rsidR="00DD3B5A">
        <w:rPr>
          <w:rFonts w:ascii="Arial" w:hAnsi="Arial" w:cs="Arial"/>
          <w:sz w:val="20"/>
          <w:szCs w:val="20"/>
        </w:rPr>
        <w:t xml:space="preserve">, and </w:t>
      </w:r>
      <w:r w:rsidR="0047712C">
        <w:rPr>
          <w:rFonts w:ascii="Arial" w:hAnsi="Arial" w:cs="Arial"/>
          <w:sz w:val="20"/>
          <w:szCs w:val="20"/>
        </w:rPr>
        <w:t xml:space="preserve">ensure acquisition of </w:t>
      </w:r>
      <w:r w:rsidR="00133A29">
        <w:rPr>
          <w:rFonts w:ascii="Arial" w:hAnsi="Arial" w:cs="Arial"/>
          <w:sz w:val="20"/>
          <w:szCs w:val="20"/>
        </w:rPr>
        <w:t>new chemical</w:t>
      </w:r>
      <w:r w:rsidR="0047712C">
        <w:rPr>
          <w:rFonts w:ascii="Arial" w:hAnsi="Arial" w:cs="Arial"/>
          <w:sz w:val="20"/>
          <w:szCs w:val="20"/>
        </w:rPr>
        <w:t xml:space="preserve"> probes</w:t>
      </w:r>
      <w:r w:rsidR="00DF2E8D">
        <w:rPr>
          <w:rFonts w:ascii="Arial" w:hAnsi="Arial" w:cs="Arial"/>
          <w:sz w:val="20"/>
          <w:szCs w:val="20"/>
        </w:rPr>
        <w:t xml:space="preserve"> members</w:t>
      </w:r>
      <w:r w:rsidR="0047712C">
        <w:rPr>
          <w:rFonts w:ascii="Arial" w:hAnsi="Arial" w:cs="Arial"/>
          <w:sz w:val="20"/>
          <w:szCs w:val="20"/>
        </w:rPr>
        <w:t>.</w:t>
      </w:r>
      <w:r w:rsidR="00DD3B5A">
        <w:rPr>
          <w:rFonts w:ascii="Arial" w:hAnsi="Arial" w:cs="Arial"/>
          <w:sz w:val="20"/>
          <w:szCs w:val="20"/>
        </w:rPr>
        <w:t xml:space="preserve"> </w:t>
      </w:r>
      <w:r w:rsidR="00603421">
        <w:rPr>
          <w:rFonts w:ascii="Arial" w:hAnsi="Arial" w:cs="Arial"/>
          <w:sz w:val="20"/>
          <w:szCs w:val="20"/>
        </w:rPr>
        <w:t>First,</w:t>
      </w:r>
      <w:r w:rsidR="0047712C">
        <w:rPr>
          <w:rFonts w:ascii="Arial" w:hAnsi="Arial" w:cs="Arial"/>
          <w:sz w:val="20"/>
          <w:szCs w:val="20"/>
        </w:rPr>
        <w:t xml:space="preserve"> we generated a team dedicated to mining the current literature of publications, patents, and conference talks to identify interesting new compound</w:t>
      </w:r>
      <w:r w:rsidR="00DF2E8D">
        <w:rPr>
          <w:rFonts w:ascii="Arial" w:hAnsi="Arial" w:cs="Arial"/>
          <w:sz w:val="20"/>
          <w:szCs w:val="20"/>
        </w:rPr>
        <w:sym w:font="Symbol" w:char="F02D"/>
      </w:r>
      <w:r w:rsidR="0047712C">
        <w:rPr>
          <w:rFonts w:ascii="Arial" w:hAnsi="Arial" w:cs="Arial"/>
          <w:sz w:val="20"/>
          <w:szCs w:val="20"/>
        </w:rPr>
        <w:t>gene target pairs to incorporate</w:t>
      </w:r>
      <w:r w:rsidR="00133A29">
        <w:rPr>
          <w:rFonts w:ascii="Arial" w:hAnsi="Arial" w:cs="Arial"/>
          <w:sz w:val="20"/>
          <w:szCs w:val="20"/>
        </w:rPr>
        <w:t xml:space="preserve"> into </w:t>
      </w:r>
      <w:r w:rsidR="00F24632">
        <w:rPr>
          <w:rFonts w:ascii="Arial" w:hAnsi="Arial" w:cs="Arial"/>
          <w:sz w:val="20"/>
          <w:szCs w:val="20"/>
        </w:rPr>
        <w:t xml:space="preserve">the NIBR </w:t>
      </w:r>
      <w:r w:rsidR="00643508">
        <w:rPr>
          <w:rFonts w:ascii="Arial" w:hAnsi="Arial" w:cs="Arial"/>
          <w:sz w:val="20"/>
          <w:szCs w:val="20"/>
        </w:rPr>
        <w:t>MoA Box</w:t>
      </w:r>
      <w:r w:rsidR="0047712C">
        <w:rPr>
          <w:rFonts w:ascii="Arial" w:hAnsi="Arial" w:cs="Arial"/>
          <w:sz w:val="20"/>
          <w:szCs w:val="20"/>
        </w:rPr>
        <w:t xml:space="preserve">. </w:t>
      </w:r>
      <w:r w:rsidR="00133A29">
        <w:rPr>
          <w:rFonts w:ascii="Arial" w:hAnsi="Arial" w:cs="Arial"/>
          <w:sz w:val="20"/>
          <w:szCs w:val="20"/>
        </w:rPr>
        <w:t xml:space="preserve">A second triaging team </w:t>
      </w:r>
      <w:r w:rsidR="00F24632">
        <w:rPr>
          <w:rFonts w:ascii="Arial" w:hAnsi="Arial" w:cs="Arial"/>
          <w:sz w:val="20"/>
          <w:szCs w:val="20"/>
        </w:rPr>
        <w:t>peer-</w:t>
      </w:r>
      <w:r w:rsidR="00440994">
        <w:rPr>
          <w:rFonts w:ascii="Arial" w:hAnsi="Arial" w:cs="Arial"/>
          <w:sz w:val="20"/>
          <w:szCs w:val="20"/>
        </w:rPr>
        <w:t>review</w:t>
      </w:r>
      <w:r w:rsidR="00F24632">
        <w:rPr>
          <w:rFonts w:ascii="Arial" w:hAnsi="Arial" w:cs="Arial"/>
          <w:sz w:val="20"/>
          <w:szCs w:val="20"/>
        </w:rPr>
        <w:t>ed</w:t>
      </w:r>
      <w:r w:rsidR="00440994">
        <w:rPr>
          <w:rFonts w:ascii="Arial" w:hAnsi="Arial" w:cs="Arial"/>
          <w:sz w:val="20"/>
          <w:szCs w:val="20"/>
        </w:rPr>
        <w:t xml:space="preserve"> and </w:t>
      </w:r>
      <w:r w:rsidR="00304356">
        <w:rPr>
          <w:rFonts w:ascii="Arial" w:hAnsi="Arial" w:cs="Arial"/>
          <w:sz w:val="20"/>
          <w:szCs w:val="20"/>
        </w:rPr>
        <w:t>evaluated</w:t>
      </w:r>
      <w:r w:rsidR="00133A29">
        <w:rPr>
          <w:rFonts w:ascii="Arial" w:hAnsi="Arial" w:cs="Arial"/>
          <w:sz w:val="20"/>
          <w:szCs w:val="20"/>
        </w:rPr>
        <w:t xml:space="preserve"> the proposed nominations to help prioritize based on the internal or reported data and gene target(s) coverage in the collection.</w:t>
      </w:r>
      <w:r w:rsidR="001971FE">
        <w:rPr>
          <w:rFonts w:ascii="Arial" w:hAnsi="Arial" w:cs="Arial"/>
          <w:sz w:val="20"/>
          <w:szCs w:val="20"/>
        </w:rPr>
        <w:t xml:space="preserve"> </w:t>
      </w:r>
      <w:r w:rsidR="00440994">
        <w:rPr>
          <w:rFonts w:ascii="Arial" w:hAnsi="Arial" w:cs="Arial"/>
          <w:sz w:val="20"/>
          <w:szCs w:val="20"/>
        </w:rPr>
        <w:t>Probe</w:t>
      </w:r>
      <w:r w:rsidR="008F3221">
        <w:rPr>
          <w:rFonts w:ascii="Arial" w:hAnsi="Arial" w:cs="Arial"/>
          <w:sz w:val="20"/>
          <w:szCs w:val="20"/>
        </w:rPr>
        <w:t xml:space="preserve"> </w:t>
      </w:r>
      <w:r w:rsidR="00133A29">
        <w:rPr>
          <w:rFonts w:ascii="Arial" w:hAnsi="Arial" w:cs="Arial"/>
          <w:sz w:val="20"/>
          <w:szCs w:val="20"/>
        </w:rPr>
        <w:t xml:space="preserve">nominations </w:t>
      </w:r>
      <w:r w:rsidR="00440994">
        <w:rPr>
          <w:rFonts w:ascii="Arial" w:hAnsi="Arial" w:cs="Arial"/>
          <w:sz w:val="20"/>
          <w:szCs w:val="20"/>
        </w:rPr>
        <w:t>were</w:t>
      </w:r>
      <w:r w:rsidR="00133A29">
        <w:rPr>
          <w:rFonts w:ascii="Arial" w:hAnsi="Arial" w:cs="Arial"/>
          <w:sz w:val="20"/>
          <w:szCs w:val="20"/>
        </w:rPr>
        <w:t xml:space="preserve"> </w:t>
      </w:r>
      <w:r w:rsidR="008F3221">
        <w:rPr>
          <w:rFonts w:ascii="Arial" w:hAnsi="Arial" w:cs="Arial"/>
          <w:sz w:val="20"/>
          <w:szCs w:val="20"/>
        </w:rPr>
        <w:t xml:space="preserve">declined </w:t>
      </w:r>
      <w:r w:rsidR="00133A29">
        <w:rPr>
          <w:rFonts w:ascii="Arial" w:hAnsi="Arial" w:cs="Arial"/>
          <w:sz w:val="20"/>
          <w:szCs w:val="20"/>
        </w:rPr>
        <w:t xml:space="preserve">by the team </w:t>
      </w:r>
      <w:r w:rsidR="00440994">
        <w:rPr>
          <w:rFonts w:ascii="Arial" w:hAnsi="Arial" w:cs="Arial"/>
          <w:sz w:val="20"/>
          <w:szCs w:val="20"/>
        </w:rPr>
        <w:t xml:space="preserve">for failing to meet </w:t>
      </w:r>
      <w:r w:rsidR="008F3221">
        <w:rPr>
          <w:rFonts w:ascii="Arial" w:hAnsi="Arial" w:cs="Arial"/>
          <w:sz w:val="20"/>
          <w:szCs w:val="20"/>
        </w:rPr>
        <w:t>criteria for competent probes</w:t>
      </w:r>
      <w:r w:rsidR="00440994">
        <w:rPr>
          <w:rFonts w:ascii="Arial" w:hAnsi="Arial" w:cs="Arial"/>
          <w:sz w:val="20"/>
          <w:szCs w:val="20"/>
        </w:rPr>
        <w:t xml:space="preserve">, </w:t>
      </w:r>
      <w:r w:rsidR="00714009">
        <w:rPr>
          <w:rFonts w:ascii="Arial" w:hAnsi="Arial" w:cs="Arial"/>
          <w:sz w:val="20"/>
          <w:szCs w:val="20"/>
        </w:rPr>
        <w:t>lack of feasibility of acquiring the compound (rare natural product),</w:t>
      </w:r>
      <w:r w:rsidR="00D243FD">
        <w:rPr>
          <w:rFonts w:ascii="Arial" w:hAnsi="Arial" w:cs="Arial"/>
          <w:sz w:val="20"/>
          <w:szCs w:val="20"/>
        </w:rPr>
        <w:t xml:space="preserve"> </w:t>
      </w:r>
      <w:r w:rsidR="00714009">
        <w:rPr>
          <w:rFonts w:ascii="Arial" w:hAnsi="Arial" w:cs="Arial"/>
          <w:sz w:val="20"/>
          <w:szCs w:val="20"/>
        </w:rPr>
        <w:t>or</w:t>
      </w:r>
      <w:r w:rsidR="008F3221">
        <w:rPr>
          <w:rFonts w:ascii="Arial" w:hAnsi="Arial" w:cs="Arial"/>
          <w:sz w:val="20"/>
          <w:szCs w:val="20"/>
        </w:rPr>
        <w:t xml:space="preserve"> because the</w:t>
      </w:r>
      <w:r w:rsidR="00714009">
        <w:rPr>
          <w:rFonts w:ascii="Arial" w:hAnsi="Arial" w:cs="Arial"/>
          <w:sz w:val="20"/>
          <w:szCs w:val="20"/>
        </w:rPr>
        <w:t xml:space="preserve"> </w:t>
      </w:r>
      <w:r w:rsidR="008F3221">
        <w:rPr>
          <w:rFonts w:ascii="Arial" w:hAnsi="Arial" w:cs="Arial"/>
          <w:sz w:val="20"/>
          <w:szCs w:val="20"/>
        </w:rPr>
        <w:t xml:space="preserve">supporting data </w:t>
      </w:r>
      <w:r w:rsidR="00714009">
        <w:rPr>
          <w:rFonts w:ascii="Arial" w:hAnsi="Arial" w:cs="Arial"/>
          <w:sz w:val="20"/>
          <w:szCs w:val="20"/>
        </w:rPr>
        <w:t xml:space="preserve">could not </w:t>
      </w:r>
      <w:r w:rsidR="008F3221">
        <w:rPr>
          <w:rFonts w:ascii="Arial" w:hAnsi="Arial" w:cs="Arial"/>
          <w:sz w:val="20"/>
          <w:szCs w:val="20"/>
        </w:rPr>
        <w:t xml:space="preserve">be reproduced in house. While the overall number of declined compounds is relatively small </w:t>
      </w:r>
      <w:r w:rsidR="00714009">
        <w:rPr>
          <w:rFonts w:ascii="Arial" w:hAnsi="Arial" w:cs="Arial"/>
          <w:sz w:val="20"/>
          <w:szCs w:val="20"/>
        </w:rPr>
        <w:t xml:space="preserve">in comparison </w:t>
      </w:r>
      <w:r w:rsidR="008F3221">
        <w:rPr>
          <w:rFonts w:ascii="Arial" w:hAnsi="Arial" w:cs="Arial"/>
          <w:sz w:val="20"/>
          <w:szCs w:val="20"/>
        </w:rPr>
        <w:t>to the total numb</w:t>
      </w:r>
      <w:r w:rsidR="008F3221" w:rsidRPr="0039042D">
        <w:rPr>
          <w:rFonts w:ascii="Arial" w:hAnsi="Arial" w:cs="Arial"/>
          <w:sz w:val="20"/>
          <w:szCs w:val="20"/>
        </w:rPr>
        <w:t>er of nominations (</w:t>
      </w:r>
      <w:r w:rsidR="00347798" w:rsidRPr="00806135">
        <w:rPr>
          <w:rFonts w:ascii="Arial" w:hAnsi="Arial" w:cs="Arial"/>
          <w:sz w:val="20"/>
          <w:szCs w:val="20"/>
        </w:rPr>
        <w:t>7%</w:t>
      </w:r>
      <w:r w:rsidR="00D243FD" w:rsidRPr="0039042D">
        <w:rPr>
          <w:rFonts w:ascii="Arial" w:hAnsi="Arial" w:cs="Arial"/>
          <w:sz w:val="20"/>
          <w:szCs w:val="20"/>
        </w:rPr>
        <w:t xml:space="preserve">; </w:t>
      </w:r>
      <w:r w:rsidR="00CE42C1" w:rsidRPr="0039042D">
        <w:rPr>
          <w:rFonts w:ascii="Arial" w:hAnsi="Arial" w:cs="Arial"/>
          <w:sz w:val="20"/>
          <w:szCs w:val="20"/>
        </w:rPr>
        <w:t>Figure 1B</w:t>
      </w:r>
      <w:r w:rsidR="008F3221" w:rsidRPr="0039042D">
        <w:rPr>
          <w:rFonts w:ascii="Arial" w:hAnsi="Arial" w:cs="Arial"/>
          <w:sz w:val="20"/>
          <w:szCs w:val="20"/>
        </w:rPr>
        <w:t>) this activity</w:t>
      </w:r>
      <w:r w:rsidR="00D243FD" w:rsidRPr="0039042D">
        <w:rPr>
          <w:rFonts w:ascii="Arial" w:hAnsi="Arial" w:cs="Arial"/>
          <w:sz w:val="20"/>
          <w:szCs w:val="20"/>
        </w:rPr>
        <w:t xml:space="preserve"> through a </w:t>
      </w:r>
      <w:r w:rsidR="00F24632" w:rsidRPr="0039042D">
        <w:rPr>
          <w:rFonts w:ascii="Arial" w:hAnsi="Arial" w:cs="Arial"/>
          <w:sz w:val="20"/>
          <w:szCs w:val="20"/>
        </w:rPr>
        <w:t>peer-</w:t>
      </w:r>
      <w:r w:rsidR="00D243FD" w:rsidRPr="0039042D">
        <w:rPr>
          <w:rFonts w:ascii="Arial" w:hAnsi="Arial" w:cs="Arial"/>
          <w:sz w:val="20"/>
          <w:szCs w:val="20"/>
        </w:rPr>
        <w:t>review</w:t>
      </w:r>
      <w:r w:rsidR="008F3221" w:rsidRPr="0039042D">
        <w:rPr>
          <w:rFonts w:ascii="Arial" w:hAnsi="Arial" w:cs="Arial"/>
          <w:sz w:val="20"/>
          <w:szCs w:val="20"/>
        </w:rPr>
        <w:t xml:space="preserve"> is vital because </w:t>
      </w:r>
      <w:r w:rsidR="00C37138">
        <w:rPr>
          <w:rFonts w:ascii="Arial" w:hAnsi="Arial" w:cs="Arial"/>
          <w:sz w:val="20"/>
          <w:szCs w:val="20"/>
        </w:rPr>
        <w:t>to prevent</w:t>
      </w:r>
      <w:r w:rsidR="008F3221" w:rsidRPr="0039042D">
        <w:rPr>
          <w:rFonts w:ascii="Arial" w:hAnsi="Arial" w:cs="Arial"/>
          <w:sz w:val="20"/>
          <w:szCs w:val="20"/>
        </w:rPr>
        <w:t xml:space="preserve"> bad tool compounds from being used and </w:t>
      </w:r>
      <w:r w:rsidR="00D243FD" w:rsidRPr="0039042D">
        <w:rPr>
          <w:rFonts w:ascii="Arial" w:hAnsi="Arial" w:cs="Arial"/>
          <w:sz w:val="20"/>
          <w:szCs w:val="20"/>
        </w:rPr>
        <w:t>misguiding conclusions downstream</w:t>
      </w:r>
      <w:r w:rsidR="008F3221" w:rsidRPr="0039042D">
        <w:rPr>
          <w:rFonts w:ascii="Arial" w:hAnsi="Arial" w:cs="Arial"/>
          <w:sz w:val="20"/>
          <w:szCs w:val="20"/>
        </w:rPr>
        <w:t>.</w:t>
      </w:r>
      <w:r w:rsidR="00714009" w:rsidRPr="0039042D">
        <w:rPr>
          <w:rStyle w:val="EndnoteReference"/>
          <w:rFonts w:ascii="Arial" w:hAnsi="Arial" w:cs="Arial"/>
          <w:sz w:val="20"/>
          <w:szCs w:val="20"/>
        </w:rPr>
        <w:endnoteReference w:id="16"/>
      </w:r>
      <w:r w:rsidR="008F3221" w:rsidRPr="0039042D">
        <w:rPr>
          <w:rFonts w:ascii="Arial" w:hAnsi="Arial" w:cs="Arial"/>
          <w:sz w:val="20"/>
          <w:szCs w:val="20"/>
        </w:rPr>
        <w:t xml:space="preserve"> </w:t>
      </w:r>
      <w:r w:rsidR="00D243FD" w:rsidRPr="0039042D">
        <w:rPr>
          <w:rFonts w:ascii="Arial" w:hAnsi="Arial" w:cs="Arial"/>
          <w:sz w:val="20"/>
          <w:szCs w:val="20"/>
        </w:rPr>
        <w:t xml:space="preserve">The </w:t>
      </w:r>
      <w:r w:rsidR="00714009" w:rsidRPr="0039042D">
        <w:rPr>
          <w:rFonts w:ascii="Arial" w:hAnsi="Arial" w:cs="Arial"/>
          <w:sz w:val="20"/>
          <w:szCs w:val="20"/>
        </w:rPr>
        <w:t>review</w:t>
      </w:r>
      <w:r w:rsidR="00D243FD" w:rsidRPr="0039042D">
        <w:rPr>
          <w:rFonts w:ascii="Arial" w:hAnsi="Arial" w:cs="Arial"/>
          <w:sz w:val="20"/>
          <w:szCs w:val="20"/>
        </w:rPr>
        <w:t xml:space="preserve"> team also </w:t>
      </w:r>
      <w:r w:rsidR="00714009" w:rsidRPr="0039042D">
        <w:rPr>
          <w:rFonts w:ascii="Arial" w:hAnsi="Arial" w:cs="Arial"/>
          <w:sz w:val="20"/>
          <w:szCs w:val="20"/>
        </w:rPr>
        <w:t>removed</w:t>
      </w:r>
      <w:r w:rsidR="00D243FD" w:rsidRPr="0039042D">
        <w:rPr>
          <w:rFonts w:ascii="Arial" w:hAnsi="Arial" w:cs="Arial"/>
          <w:sz w:val="20"/>
          <w:szCs w:val="20"/>
        </w:rPr>
        <w:t xml:space="preserve"> </w:t>
      </w:r>
      <w:r w:rsidR="002835F7" w:rsidRPr="0039042D">
        <w:rPr>
          <w:rFonts w:ascii="Arial" w:hAnsi="Arial" w:cs="Arial"/>
          <w:sz w:val="20"/>
          <w:szCs w:val="20"/>
        </w:rPr>
        <w:t>redundancy on well</w:t>
      </w:r>
      <w:r w:rsidR="00F24632" w:rsidRPr="0039042D">
        <w:rPr>
          <w:rFonts w:ascii="Arial" w:hAnsi="Arial" w:cs="Arial"/>
          <w:sz w:val="20"/>
          <w:szCs w:val="20"/>
        </w:rPr>
        <w:t>-</w:t>
      </w:r>
      <w:r w:rsidR="002835F7" w:rsidRPr="0039042D">
        <w:rPr>
          <w:rFonts w:ascii="Arial" w:hAnsi="Arial" w:cs="Arial"/>
          <w:sz w:val="20"/>
          <w:szCs w:val="20"/>
        </w:rPr>
        <w:t>represented targets (</w:t>
      </w:r>
      <w:r w:rsidR="002835F7" w:rsidRPr="00806135">
        <w:rPr>
          <w:rFonts w:ascii="Arial" w:hAnsi="Arial" w:cs="Arial"/>
          <w:i/>
          <w:iCs/>
          <w:sz w:val="20"/>
          <w:szCs w:val="20"/>
        </w:rPr>
        <w:t xml:space="preserve">e.g. </w:t>
      </w:r>
      <w:r w:rsidR="002835F7" w:rsidRPr="0039042D">
        <w:rPr>
          <w:rFonts w:ascii="Arial" w:hAnsi="Arial" w:cs="Arial"/>
          <w:sz w:val="20"/>
          <w:szCs w:val="20"/>
        </w:rPr>
        <w:t>PI3K, Bcr-Abl)</w:t>
      </w:r>
      <w:r w:rsidR="00F24632" w:rsidRPr="0039042D">
        <w:rPr>
          <w:rFonts w:ascii="Arial" w:hAnsi="Arial" w:cs="Arial"/>
          <w:sz w:val="20"/>
          <w:szCs w:val="20"/>
        </w:rPr>
        <w:t>,</w:t>
      </w:r>
      <w:r w:rsidR="002835F7" w:rsidRPr="0039042D">
        <w:rPr>
          <w:rFonts w:ascii="Arial" w:hAnsi="Arial" w:cs="Arial"/>
          <w:sz w:val="20"/>
          <w:szCs w:val="20"/>
        </w:rPr>
        <w:t xml:space="preserve"> </w:t>
      </w:r>
      <w:r w:rsidR="00B32EF8" w:rsidRPr="0039042D">
        <w:rPr>
          <w:rFonts w:ascii="Arial" w:hAnsi="Arial" w:cs="Arial"/>
          <w:sz w:val="20"/>
          <w:szCs w:val="20"/>
        </w:rPr>
        <w:t>but enabled the chemotype knowledge to still be captured</w:t>
      </w:r>
      <w:r w:rsidR="002835F7" w:rsidRPr="0039042D">
        <w:rPr>
          <w:rFonts w:ascii="Arial" w:hAnsi="Arial" w:cs="Arial"/>
          <w:sz w:val="20"/>
          <w:szCs w:val="20"/>
        </w:rPr>
        <w:t xml:space="preserve"> by taking advantage of a concept that we created</w:t>
      </w:r>
      <w:r w:rsidR="00AB454B" w:rsidRPr="003C2306">
        <w:rPr>
          <w:rFonts w:ascii="Arial" w:hAnsi="Arial" w:cs="Arial"/>
          <w:sz w:val="20"/>
          <w:szCs w:val="20"/>
        </w:rPr>
        <w:t xml:space="preserve"> </w:t>
      </w:r>
      <w:r w:rsidR="006479BA" w:rsidRPr="003C2306">
        <w:rPr>
          <w:rFonts w:ascii="Arial" w:hAnsi="Arial" w:cs="Arial"/>
          <w:sz w:val="20"/>
          <w:szCs w:val="20"/>
        </w:rPr>
        <w:t>so-</w:t>
      </w:r>
      <w:r w:rsidR="002835F7" w:rsidRPr="003C2306">
        <w:rPr>
          <w:rFonts w:ascii="Arial" w:hAnsi="Arial" w:cs="Arial"/>
          <w:sz w:val="20"/>
          <w:szCs w:val="20"/>
        </w:rPr>
        <w:t xml:space="preserve"> </w:t>
      </w:r>
      <w:r w:rsidR="002835F7" w:rsidRPr="0039042D">
        <w:rPr>
          <w:rFonts w:ascii="Arial" w:hAnsi="Arial" w:cs="Arial"/>
          <w:sz w:val="20"/>
          <w:szCs w:val="20"/>
        </w:rPr>
        <w:t xml:space="preserve">called “virtual” </w:t>
      </w:r>
      <w:r w:rsidR="00B32EF8" w:rsidRPr="0039042D">
        <w:rPr>
          <w:rFonts w:ascii="Arial" w:hAnsi="Arial" w:cs="Arial"/>
          <w:sz w:val="20"/>
          <w:szCs w:val="20"/>
        </w:rPr>
        <w:t>members which compose</w:t>
      </w:r>
      <w:r w:rsidR="00B956A1" w:rsidRPr="0039042D">
        <w:rPr>
          <w:rFonts w:ascii="Arial" w:hAnsi="Arial" w:cs="Arial"/>
          <w:sz w:val="20"/>
          <w:szCs w:val="20"/>
        </w:rPr>
        <w:t>s</w:t>
      </w:r>
      <w:r w:rsidR="00B32EF8" w:rsidRPr="0039042D">
        <w:rPr>
          <w:rFonts w:ascii="Arial" w:hAnsi="Arial" w:cs="Arial"/>
          <w:sz w:val="20"/>
          <w:szCs w:val="20"/>
        </w:rPr>
        <w:t xml:space="preserve"> </w:t>
      </w:r>
      <w:r w:rsidR="00CE42C1" w:rsidRPr="00806135">
        <w:rPr>
          <w:rFonts w:ascii="Arial" w:hAnsi="Arial" w:cs="Arial"/>
          <w:sz w:val="20"/>
          <w:szCs w:val="20"/>
        </w:rPr>
        <w:t>26</w:t>
      </w:r>
      <w:r w:rsidR="00B32EF8" w:rsidRPr="0039042D">
        <w:rPr>
          <w:rFonts w:ascii="Arial" w:hAnsi="Arial" w:cs="Arial"/>
          <w:sz w:val="20"/>
          <w:szCs w:val="20"/>
        </w:rPr>
        <w:t xml:space="preserve">% of the </w:t>
      </w:r>
      <w:r w:rsidR="00F24632" w:rsidRPr="0039042D">
        <w:rPr>
          <w:rFonts w:ascii="Arial" w:hAnsi="Arial" w:cs="Arial"/>
          <w:sz w:val="20"/>
          <w:szCs w:val="20"/>
        </w:rPr>
        <w:t xml:space="preserve">total </w:t>
      </w:r>
      <w:r w:rsidR="00B32EF8" w:rsidRPr="0039042D">
        <w:rPr>
          <w:rFonts w:ascii="Arial" w:hAnsi="Arial" w:cs="Arial"/>
          <w:sz w:val="20"/>
          <w:szCs w:val="20"/>
        </w:rPr>
        <w:t>lib</w:t>
      </w:r>
      <w:r w:rsidR="00B32EF8">
        <w:rPr>
          <w:rFonts w:ascii="Arial" w:hAnsi="Arial" w:cs="Arial"/>
          <w:sz w:val="20"/>
          <w:szCs w:val="20"/>
        </w:rPr>
        <w:t>rary</w:t>
      </w:r>
      <w:r w:rsidR="002835F7">
        <w:rPr>
          <w:rFonts w:ascii="Arial" w:hAnsi="Arial" w:cs="Arial"/>
          <w:sz w:val="20"/>
          <w:szCs w:val="20"/>
        </w:rPr>
        <w:t>. Such compounds fit all the characteristics of quality probes</w:t>
      </w:r>
      <w:r w:rsidR="00B32EF8">
        <w:rPr>
          <w:rFonts w:ascii="Arial" w:hAnsi="Arial" w:cs="Arial"/>
          <w:sz w:val="20"/>
          <w:szCs w:val="20"/>
        </w:rPr>
        <w:t>,</w:t>
      </w:r>
      <w:r w:rsidR="002835F7">
        <w:rPr>
          <w:rFonts w:ascii="Arial" w:hAnsi="Arial" w:cs="Arial"/>
          <w:sz w:val="20"/>
          <w:szCs w:val="20"/>
        </w:rPr>
        <w:t xml:space="preserve"> but do not need to be included in the </w:t>
      </w:r>
      <w:r w:rsidR="00B32EF8">
        <w:rPr>
          <w:rFonts w:ascii="Arial" w:hAnsi="Arial" w:cs="Arial"/>
          <w:sz w:val="20"/>
          <w:szCs w:val="20"/>
        </w:rPr>
        <w:t>library</w:t>
      </w:r>
      <w:r w:rsidR="002835F7">
        <w:rPr>
          <w:rFonts w:ascii="Arial" w:hAnsi="Arial" w:cs="Arial"/>
          <w:sz w:val="20"/>
          <w:szCs w:val="20"/>
        </w:rPr>
        <w:t xml:space="preserve"> screened in phenotypic assays</w:t>
      </w:r>
      <w:r w:rsidR="00F24632">
        <w:rPr>
          <w:rFonts w:ascii="Arial" w:hAnsi="Arial" w:cs="Arial"/>
          <w:sz w:val="20"/>
          <w:szCs w:val="20"/>
        </w:rPr>
        <w:t xml:space="preserve"> due to redundancy</w:t>
      </w:r>
      <w:r w:rsidR="001C3E11">
        <w:rPr>
          <w:rFonts w:ascii="Arial" w:hAnsi="Arial" w:cs="Arial"/>
          <w:sz w:val="20"/>
          <w:szCs w:val="20"/>
        </w:rPr>
        <w:t xml:space="preserve"> </w:t>
      </w:r>
      <w:r w:rsidR="006479BA" w:rsidRPr="003C2306">
        <w:rPr>
          <w:rFonts w:ascii="Arial" w:hAnsi="Arial" w:cs="Arial"/>
          <w:sz w:val="20"/>
          <w:szCs w:val="20"/>
        </w:rPr>
        <w:t>and can be useful when investigating a target hypothesis.</w:t>
      </w:r>
    </w:p>
    <w:p w14:paraId="7BA3DF9F" w14:textId="015F3EF4" w:rsidR="00B53178" w:rsidRPr="00806135" w:rsidRDefault="00F44FAB" w:rsidP="00806135">
      <w:pPr>
        <w:spacing w:line="360" w:lineRule="auto"/>
        <w:ind w:firstLine="720"/>
        <w:contextualSpacing/>
        <w:jc w:val="both"/>
        <w:rPr>
          <w:rFonts w:ascii="Arial" w:hAnsi="Arial" w:cs="Arial"/>
          <w:sz w:val="20"/>
          <w:szCs w:val="20"/>
        </w:rPr>
      </w:pPr>
      <w:r>
        <w:rPr>
          <w:rFonts w:ascii="Arial" w:hAnsi="Arial" w:cs="Arial"/>
          <w:sz w:val="20"/>
          <w:szCs w:val="20"/>
        </w:rPr>
        <w:t xml:space="preserve">Physically </w:t>
      </w:r>
      <w:r w:rsidR="008B2EA3">
        <w:rPr>
          <w:rFonts w:ascii="Arial" w:hAnsi="Arial" w:cs="Arial"/>
          <w:sz w:val="20"/>
          <w:szCs w:val="20"/>
        </w:rPr>
        <w:t>assembling</w:t>
      </w:r>
      <w:r>
        <w:rPr>
          <w:rFonts w:ascii="Arial" w:hAnsi="Arial" w:cs="Arial"/>
          <w:sz w:val="20"/>
          <w:szCs w:val="20"/>
        </w:rPr>
        <w:t xml:space="preserve"> </w:t>
      </w:r>
      <w:r w:rsidR="001A27F9">
        <w:rPr>
          <w:rFonts w:ascii="Arial" w:hAnsi="Arial" w:cs="Arial"/>
          <w:sz w:val="20"/>
          <w:szCs w:val="20"/>
        </w:rPr>
        <w:t>the NIBR</w:t>
      </w:r>
      <w:r>
        <w:rPr>
          <w:rFonts w:ascii="Arial" w:hAnsi="Arial" w:cs="Arial"/>
          <w:sz w:val="20"/>
          <w:szCs w:val="20"/>
        </w:rPr>
        <w:t xml:space="preserve"> chemogenetic library necessitated an </w:t>
      </w:r>
      <w:r w:rsidR="001A27F9">
        <w:rPr>
          <w:rFonts w:ascii="Arial" w:hAnsi="Arial" w:cs="Arial"/>
          <w:sz w:val="20"/>
          <w:szCs w:val="20"/>
        </w:rPr>
        <w:t xml:space="preserve">acquisition </w:t>
      </w:r>
      <w:r>
        <w:rPr>
          <w:rFonts w:ascii="Arial" w:hAnsi="Arial" w:cs="Arial"/>
          <w:sz w:val="20"/>
          <w:szCs w:val="20"/>
        </w:rPr>
        <w:t>team to identify internal supply, commercial vendors</w:t>
      </w:r>
      <w:r w:rsidR="00DA2758">
        <w:rPr>
          <w:rFonts w:ascii="Arial" w:hAnsi="Arial" w:cs="Arial"/>
          <w:sz w:val="20"/>
          <w:szCs w:val="20"/>
        </w:rPr>
        <w:t xml:space="preserve"> (~57% of the set is commercially available)</w:t>
      </w:r>
      <w:r>
        <w:rPr>
          <w:rFonts w:ascii="Arial" w:hAnsi="Arial" w:cs="Arial"/>
          <w:sz w:val="20"/>
          <w:szCs w:val="20"/>
        </w:rPr>
        <w:t>, or chemical</w:t>
      </w:r>
      <w:r w:rsidR="00F24632">
        <w:rPr>
          <w:rFonts w:ascii="Arial" w:hAnsi="Arial" w:cs="Arial"/>
          <w:sz w:val="20"/>
          <w:szCs w:val="20"/>
        </w:rPr>
        <w:t>ly</w:t>
      </w:r>
      <w:r>
        <w:rPr>
          <w:rFonts w:ascii="Arial" w:hAnsi="Arial" w:cs="Arial"/>
          <w:sz w:val="20"/>
          <w:szCs w:val="20"/>
        </w:rPr>
        <w:t xml:space="preserve"> synthesis the </w:t>
      </w:r>
      <w:r w:rsidR="00C37138">
        <w:rPr>
          <w:rFonts w:ascii="Arial" w:hAnsi="Arial" w:cs="Arial"/>
          <w:sz w:val="20"/>
          <w:szCs w:val="20"/>
        </w:rPr>
        <w:t xml:space="preserve">needed </w:t>
      </w:r>
      <w:r>
        <w:rPr>
          <w:rFonts w:ascii="Arial" w:hAnsi="Arial" w:cs="Arial"/>
          <w:sz w:val="20"/>
          <w:szCs w:val="20"/>
        </w:rPr>
        <w:t>chemical probes</w:t>
      </w:r>
      <w:r w:rsidR="00BF35A7">
        <w:rPr>
          <w:rFonts w:ascii="Arial" w:hAnsi="Arial" w:cs="Arial"/>
          <w:sz w:val="20"/>
          <w:szCs w:val="20"/>
        </w:rPr>
        <w:t xml:space="preserve"> </w:t>
      </w:r>
      <w:r w:rsidR="00C37138">
        <w:rPr>
          <w:rFonts w:ascii="Arial" w:hAnsi="Arial" w:cs="Arial"/>
          <w:sz w:val="20"/>
          <w:szCs w:val="20"/>
        </w:rPr>
        <w:t>through partnership with WuXi AppTec</w:t>
      </w:r>
      <w:r w:rsidR="00FC29EE">
        <w:rPr>
          <w:rFonts w:ascii="Arial" w:hAnsi="Arial" w:cs="Arial"/>
          <w:sz w:val="20"/>
          <w:szCs w:val="20"/>
        </w:rPr>
        <w:t>h</w:t>
      </w:r>
      <w:r w:rsidR="00703464">
        <w:rPr>
          <w:rFonts w:ascii="Arial" w:hAnsi="Arial" w:cs="Arial"/>
          <w:sz w:val="20"/>
          <w:szCs w:val="20"/>
        </w:rPr>
        <w:t>,</w:t>
      </w:r>
      <w:r w:rsidR="00C37138">
        <w:rPr>
          <w:rFonts w:ascii="Arial" w:hAnsi="Arial" w:cs="Arial"/>
          <w:sz w:val="20"/>
          <w:szCs w:val="20"/>
        </w:rPr>
        <w:t xml:space="preserve"> Aurigene Discovery Technologies</w:t>
      </w:r>
      <w:r w:rsidR="00703464">
        <w:rPr>
          <w:rFonts w:ascii="Arial" w:hAnsi="Arial" w:cs="Arial"/>
          <w:sz w:val="20"/>
          <w:szCs w:val="20"/>
        </w:rPr>
        <w:t xml:space="preserve"> and Piramal</w:t>
      </w:r>
      <w:r w:rsidR="00C37138">
        <w:rPr>
          <w:rFonts w:ascii="Arial" w:hAnsi="Arial" w:cs="Arial"/>
          <w:sz w:val="20"/>
          <w:szCs w:val="20"/>
        </w:rPr>
        <w:t xml:space="preserve"> </w:t>
      </w:r>
      <w:r w:rsidR="00BF35A7" w:rsidRPr="00806135">
        <w:rPr>
          <w:rFonts w:ascii="Arial" w:hAnsi="Arial" w:cs="Arial"/>
          <w:sz w:val="20"/>
          <w:szCs w:val="20"/>
        </w:rPr>
        <w:t>(Figure 1C</w:t>
      </w:r>
      <w:r w:rsidR="00BF35A7">
        <w:rPr>
          <w:rFonts w:ascii="Arial" w:hAnsi="Arial" w:cs="Arial"/>
          <w:sz w:val="20"/>
          <w:szCs w:val="20"/>
        </w:rPr>
        <w:t>)</w:t>
      </w:r>
      <w:r>
        <w:rPr>
          <w:rFonts w:ascii="Arial" w:hAnsi="Arial" w:cs="Arial"/>
          <w:sz w:val="20"/>
          <w:szCs w:val="20"/>
        </w:rPr>
        <w:t xml:space="preserve">. </w:t>
      </w:r>
      <w:r w:rsidR="001A27F9" w:rsidRPr="0039042D">
        <w:rPr>
          <w:rFonts w:ascii="Arial" w:hAnsi="Arial" w:cs="Arial"/>
          <w:sz w:val="20"/>
          <w:szCs w:val="20"/>
        </w:rPr>
        <w:t>O</w:t>
      </w:r>
      <w:r w:rsidRPr="0039042D">
        <w:rPr>
          <w:rFonts w:ascii="Arial" w:hAnsi="Arial" w:cs="Arial"/>
          <w:sz w:val="20"/>
          <w:szCs w:val="20"/>
        </w:rPr>
        <w:t xml:space="preserve">n </w:t>
      </w:r>
      <w:r w:rsidR="00294CA3" w:rsidRPr="0039042D">
        <w:rPr>
          <w:rFonts w:ascii="Arial" w:hAnsi="Arial" w:cs="Arial"/>
          <w:sz w:val="20"/>
          <w:szCs w:val="20"/>
        </w:rPr>
        <w:t>a regular</w:t>
      </w:r>
      <w:r w:rsidRPr="0039042D">
        <w:rPr>
          <w:rFonts w:ascii="Arial" w:hAnsi="Arial" w:cs="Arial"/>
          <w:sz w:val="20"/>
          <w:szCs w:val="20"/>
        </w:rPr>
        <w:t xml:space="preserve"> basis </w:t>
      </w:r>
      <w:r w:rsidR="001A27F9" w:rsidRPr="0039042D">
        <w:rPr>
          <w:rFonts w:ascii="Arial" w:hAnsi="Arial" w:cs="Arial"/>
          <w:sz w:val="20"/>
          <w:szCs w:val="20"/>
        </w:rPr>
        <w:t>the</w:t>
      </w:r>
      <w:r w:rsidRPr="0039042D">
        <w:rPr>
          <w:rFonts w:ascii="Arial" w:hAnsi="Arial" w:cs="Arial"/>
          <w:sz w:val="20"/>
          <w:szCs w:val="20"/>
        </w:rPr>
        <w:t xml:space="preserve"> </w:t>
      </w:r>
      <w:r w:rsidR="00294CA3" w:rsidRPr="0039042D">
        <w:rPr>
          <w:rFonts w:ascii="Arial" w:hAnsi="Arial" w:cs="Arial"/>
          <w:sz w:val="20"/>
          <w:szCs w:val="20"/>
        </w:rPr>
        <w:t xml:space="preserve">NIBR </w:t>
      </w:r>
      <w:r w:rsidRPr="0039042D">
        <w:rPr>
          <w:rFonts w:ascii="Arial" w:hAnsi="Arial" w:cs="Arial"/>
          <w:sz w:val="20"/>
          <w:szCs w:val="20"/>
        </w:rPr>
        <w:t xml:space="preserve">chemogenetic collection </w:t>
      </w:r>
      <w:r w:rsidR="001A27F9" w:rsidRPr="0039042D">
        <w:rPr>
          <w:rFonts w:ascii="Arial" w:hAnsi="Arial" w:cs="Arial"/>
          <w:sz w:val="20"/>
          <w:szCs w:val="20"/>
        </w:rPr>
        <w:t xml:space="preserve">is plated </w:t>
      </w:r>
      <w:r w:rsidRPr="0039042D">
        <w:rPr>
          <w:rFonts w:ascii="Arial" w:hAnsi="Arial" w:cs="Arial"/>
          <w:sz w:val="20"/>
          <w:szCs w:val="20"/>
        </w:rPr>
        <w:t>into Echo dispens</w:t>
      </w:r>
      <w:r w:rsidR="3392E9D1" w:rsidRPr="0039042D">
        <w:rPr>
          <w:rFonts w:ascii="Arial" w:hAnsi="Arial" w:cs="Arial"/>
          <w:sz w:val="20"/>
          <w:szCs w:val="20"/>
        </w:rPr>
        <w:t>a</w:t>
      </w:r>
      <w:r w:rsidRPr="0039042D">
        <w:rPr>
          <w:rFonts w:ascii="Arial" w:hAnsi="Arial" w:cs="Arial"/>
          <w:sz w:val="20"/>
          <w:szCs w:val="20"/>
        </w:rPr>
        <w:t xml:space="preserve">ble plates and </w:t>
      </w:r>
      <w:r w:rsidR="00FA690D" w:rsidRPr="0039042D">
        <w:rPr>
          <w:rFonts w:ascii="Arial" w:hAnsi="Arial" w:cs="Arial"/>
          <w:sz w:val="20"/>
          <w:szCs w:val="20"/>
        </w:rPr>
        <w:t>use</w:t>
      </w:r>
      <w:r w:rsidR="00B578CA">
        <w:rPr>
          <w:rFonts w:ascii="Arial" w:hAnsi="Arial" w:cs="Arial"/>
          <w:sz w:val="20"/>
          <w:szCs w:val="20"/>
        </w:rPr>
        <w:t>d</w:t>
      </w:r>
      <w:r w:rsidR="00FA690D" w:rsidRPr="0039042D">
        <w:rPr>
          <w:rFonts w:ascii="Arial" w:hAnsi="Arial" w:cs="Arial"/>
          <w:sz w:val="20"/>
          <w:szCs w:val="20"/>
        </w:rPr>
        <w:t xml:space="preserve"> across m</w:t>
      </w:r>
      <w:r w:rsidR="00FA690D">
        <w:rPr>
          <w:rFonts w:ascii="Arial" w:hAnsi="Arial" w:cs="Arial"/>
          <w:sz w:val="20"/>
          <w:szCs w:val="20"/>
        </w:rPr>
        <w:t>any explo</w:t>
      </w:r>
      <w:r w:rsidR="001A27F9">
        <w:rPr>
          <w:rFonts w:ascii="Arial" w:hAnsi="Arial" w:cs="Arial"/>
          <w:sz w:val="20"/>
          <w:szCs w:val="20"/>
        </w:rPr>
        <w:t>ratory and HTS cellular assays.</w:t>
      </w:r>
      <w:r w:rsidR="00FA690D">
        <w:rPr>
          <w:rFonts w:ascii="Arial" w:hAnsi="Arial" w:cs="Arial"/>
          <w:sz w:val="20"/>
          <w:szCs w:val="20"/>
        </w:rPr>
        <w:t xml:space="preserve"> </w:t>
      </w:r>
    </w:p>
    <w:p w14:paraId="58C6D610" w14:textId="77777777" w:rsidR="00FC59EC" w:rsidRDefault="00FC59EC" w:rsidP="00806135">
      <w:pPr>
        <w:spacing w:line="360" w:lineRule="auto"/>
        <w:contextualSpacing/>
        <w:jc w:val="both"/>
        <w:rPr>
          <w:rFonts w:ascii="Arial" w:hAnsi="Arial" w:cs="Arial"/>
          <w:b/>
          <w:sz w:val="20"/>
          <w:szCs w:val="20"/>
        </w:rPr>
      </w:pPr>
    </w:p>
    <w:p w14:paraId="5F0F1507" w14:textId="77777777" w:rsidR="00A149E6" w:rsidRPr="00806135" w:rsidRDefault="00285D3D" w:rsidP="00806135">
      <w:pPr>
        <w:spacing w:line="360" w:lineRule="auto"/>
        <w:contextualSpacing/>
        <w:jc w:val="both"/>
        <w:rPr>
          <w:rFonts w:ascii="Arial" w:hAnsi="Arial" w:cs="Arial"/>
          <w:b/>
          <w:bCs/>
          <w:sz w:val="20"/>
          <w:szCs w:val="20"/>
        </w:rPr>
      </w:pPr>
      <w:r w:rsidRPr="00806135">
        <w:rPr>
          <w:rFonts w:ascii="Arial" w:hAnsi="Arial" w:cs="Arial"/>
          <w:b/>
          <w:bCs/>
          <w:sz w:val="20"/>
          <w:szCs w:val="20"/>
        </w:rPr>
        <w:t>Applica</w:t>
      </w:r>
      <w:r w:rsidR="00F11A8F" w:rsidRPr="00806135">
        <w:rPr>
          <w:rFonts w:ascii="Arial" w:hAnsi="Arial" w:cs="Arial"/>
          <w:b/>
          <w:bCs/>
          <w:sz w:val="20"/>
          <w:szCs w:val="20"/>
        </w:rPr>
        <w:t>t</w:t>
      </w:r>
      <w:r w:rsidRPr="00806135">
        <w:rPr>
          <w:rFonts w:ascii="Arial" w:hAnsi="Arial" w:cs="Arial"/>
          <w:b/>
          <w:bCs/>
          <w:sz w:val="20"/>
          <w:szCs w:val="20"/>
        </w:rPr>
        <w:t>i</w:t>
      </w:r>
      <w:r w:rsidR="00F11A8F" w:rsidRPr="00806135">
        <w:rPr>
          <w:rFonts w:ascii="Arial" w:hAnsi="Arial" w:cs="Arial"/>
          <w:b/>
          <w:bCs/>
          <w:sz w:val="20"/>
          <w:szCs w:val="20"/>
        </w:rPr>
        <w:t>ons and Data Analysis</w:t>
      </w:r>
    </w:p>
    <w:p w14:paraId="60A698FD" w14:textId="03AD5697" w:rsidR="00621650" w:rsidRDefault="00E155F1">
      <w:pPr>
        <w:spacing w:line="360" w:lineRule="auto"/>
        <w:ind w:firstLine="720"/>
        <w:contextualSpacing/>
        <w:jc w:val="both"/>
        <w:rPr>
          <w:rFonts w:ascii="Arial" w:hAnsi="Arial" w:cs="Arial"/>
          <w:sz w:val="20"/>
          <w:szCs w:val="20"/>
        </w:rPr>
      </w:pPr>
      <w:r>
        <w:rPr>
          <w:rFonts w:ascii="Arial" w:hAnsi="Arial" w:cs="Arial"/>
          <w:sz w:val="20"/>
          <w:szCs w:val="20"/>
        </w:rPr>
        <w:t xml:space="preserve">Over the course </w:t>
      </w:r>
      <w:r w:rsidR="00E30F72">
        <w:rPr>
          <w:rFonts w:ascii="Arial" w:hAnsi="Arial" w:cs="Arial"/>
          <w:sz w:val="20"/>
          <w:szCs w:val="20"/>
        </w:rPr>
        <w:t xml:space="preserve">of </w:t>
      </w:r>
      <w:r w:rsidR="00C37138">
        <w:rPr>
          <w:rFonts w:ascii="Arial" w:hAnsi="Arial" w:cs="Arial"/>
          <w:sz w:val="20"/>
          <w:szCs w:val="20"/>
        </w:rPr>
        <w:t>our</w:t>
      </w:r>
      <w:r>
        <w:rPr>
          <w:rFonts w:ascii="Arial" w:hAnsi="Arial" w:cs="Arial"/>
          <w:sz w:val="20"/>
          <w:szCs w:val="20"/>
        </w:rPr>
        <w:t xml:space="preserve"> </w:t>
      </w:r>
      <w:r w:rsidR="000C47E4">
        <w:rPr>
          <w:rFonts w:ascii="Arial" w:hAnsi="Arial" w:cs="Arial"/>
          <w:sz w:val="20"/>
          <w:szCs w:val="20"/>
        </w:rPr>
        <w:t>effort</w:t>
      </w:r>
      <w:r w:rsidR="00C37138">
        <w:rPr>
          <w:rFonts w:ascii="Arial" w:hAnsi="Arial" w:cs="Arial"/>
          <w:sz w:val="20"/>
          <w:szCs w:val="20"/>
        </w:rPr>
        <w:t>s</w:t>
      </w:r>
      <w:r w:rsidR="000C47E4">
        <w:rPr>
          <w:rFonts w:ascii="Arial" w:hAnsi="Arial" w:cs="Arial"/>
          <w:sz w:val="20"/>
          <w:szCs w:val="20"/>
        </w:rPr>
        <w:t>,</w:t>
      </w:r>
      <w:r>
        <w:rPr>
          <w:rFonts w:ascii="Arial" w:hAnsi="Arial" w:cs="Arial"/>
          <w:sz w:val="20"/>
          <w:szCs w:val="20"/>
        </w:rPr>
        <w:t xml:space="preserve"> </w:t>
      </w:r>
      <w:r w:rsidR="00285D3D">
        <w:rPr>
          <w:rFonts w:ascii="Arial" w:hAnsi="Arial" w:cs="Arial"/>
          <w:sz w:val="20"/>
          <w:szCs w:val="20"/>
        </w:rPr>
        <w:t xml:space="preserve">interest in </w:t>
      </w:r>
      <w:r w:rsidR="00C37138">
        <w:rPr>
          <w:rFonts w:ascii="Arial" w:hAnsi="Arial" w:cs="Arial"/>
          <w:sz w:val="20"/>
          <w:szCs w:val="20"/>
        </w:rPr>
        <w:t>using</w:t>
      </w:r>
      <w:r w:rsidR="00285D3D">
        <w:rPr>
          <w:rFonts w:ascii="Arial" w:hAnsi="Arial" w:cs="Arial"/>
          <w:sz w:val="20"/>
          <w:szCs w:val="20"/>
        </w:rPr>
        <w:t xml:space="preserve"> </w:t>
      </w:r>
      <w:r>
        <w:rPr>
          <w:rFonts w:ascii="Arial" w:hAnsi="Arial" w:cs="Arial"/>
          <w:sz w:val="20"/>
          <w:szCs w:val="20"/>
        </w:rPr>
        <w:t>the NIBR chemogenetics library has</w:t>
      </w:r>
      <w:r w:rsidR="00285D3D">
        <w:rPr>
          <w:rFonts w:ascii="Arial" w:hAnsi="Arial" w:cs="Arial"/>
          <w:sz w:val="20"/>
          <w:szCs w:val="20"/>
        </w:rPr>
        <w:t xml:space="preserve"> sharply increas</w:t>
      </w:r>
      <w:r w:rsidR="00285D3D" w:rsidRPr="0039042D">
        <w:rPr>
          <w:rFonts w:ascii="Arial" w:hAnsi="Arial" w:cs="Arial"/>
          <w:sz w:val="20"/>
          <w:szCs w:val="20"/>
        </w:rPr>
        <w:t>ed (Figure</w:t>
      </w:r>
      <w:r w:rsidR="00347798" w:rsidRPr="00806135">
        <w:rPr>
          <w:rFonts w:ascii="Arial" w:hAnsi="Arial" w:cs="Arial"/>
          <w:sz w:val="20"/>
          <w:szCs w:val="20"/>
        </w:rPr>
        <w:t xml:space="preserve"> </w:t>
      </w:r>
      <w:r w:rsidR="005A4A2C" w:rsidRPr="00806135">
        <w:rPr>
          <w:rFonts w:ascii="Arial" w:hAnsi="Arial" w:cs="Arial"/>
          <w:sz w:val="20"/>
          <w:szCs w:val="20"/>
        </w:rPr>
        <w:t>1</w:t>
      </w:r>
      <w:r w:rsidR="00F92E53" w:rsidRPr="0039042D">
        <w:rPr>
          <w:rFonts w:ascii="Arial" w:hAnsi="Arial" w:cs="Arial"/>
          <w:sz w:val="20"/>
          <w:szCs w:val="20"/>
        </w:rPr>
        <w:t>D</w:t>
      </w:r>
      <w:r w:rsidR="00285D3D" w:rsidRPr="0039042D">
        <w:rPr>
          <w:rFonts w:ascii="Arial" w:hAnsi="Arial" w:cs="Arial"/>
          <w:sz w:val="20"/>
          <w:szCs w:val="20"/>
        </w:rPr>
        <w:t xml:space="preserve">). </w:t>
      </w:r>
      <w:r w:rsidR="000C47E4" w:rsidRPr="0039042D">
        <w:rPr>
          <w:rFonts w:ascii="Arial" w:hAnsi="Arial" w:cs="Arial"/>
          <w:sz w:val="20"/>
          <w:szCs w:val="20"/>
        </w:rPr>
        <w:t>To date t</w:t>
      </w:r>
      <w:r w:rsidR="00285D3D" w:rsidRPr="0039042D">
        <w:rPr>
          <w:rFonts w:ascii="Arial" w:hAnsi="Arial" w:cs="Arial"/>
          <w:sz w:val="20"/>
          <w:szCs w:val="20"/>
        </w:rPr>
        <w:t xml:space="preserve">he library has </w:t>
      </w:r>
      <w:r w:rsidRPr="0039042D">
        <w:rPr>
          <w:rFonts w:ascii="Arial" w:hAnsi="Arial" w:cs="Arial"/>
          <w:sz w:val="20"/>
          <w:szCs w:val="20"/>
        </w:rPr>
        <w:t xml:space="preserve">been screened in over 300 </w:t>
      </w:r>
      <w:r w:rsidR="00DA2758">
        <w:rPr>
          <w:rFonts w:ascii="Arial" w:hAnsi="Arial" w:cs="Arial"/>
          <w:sz w:val="20"/>
          <w:szCs w:val="20"/>
        </w:rPr>
        <w:t xml:space="preserve">assays with internal and external academic partners (Box 1) spanning in </w:t>
      </w:r>
      <w:r w:rsidR="00C37138">
        <w:rPr>
          <w:rFonts w:ascii="Arial" w:hAnsi="Arial" w:cs="Arial"/>
          <w:sz w:val="20"/>
          <w:szCs w:val="20"/>
        </w:rPr>
        <w:t xml:space="preserve">biological </w:t>
      </w:r>
      <w:r w:rsidR="00DA2758">
        <w:rPr>
          <w:rFonts w:ascii="Arial" w:hAnsi="Arial" w:cs="Arial"/>
          <w:sz w:val="20"/>
          <w:szCs w:val="20"/>
        </w:rPr>
        <w:t>complexity</w:t>
      </w:r>
      <w:r w:rsidRPr="0039042D">
        <w:rPr>
          <w:rFonts w:ascii="Arial" w:hAnsi="Arial" w:cs="Arial"/>
          <w:sz w:val="20"/>
          <w:szCs w:val="20"/>
        </w:rPr>
        <w:t>.</w:t>
      </w:r>
      <w:r w:rsidR="00285D3D" w:rsidRPr="0039042D">
        <w:rPr>
          <w:rFonts w:ascii="Arial" w:hAnsi="Arial" w:cs="Arial"/>
          <w:sz w:val="20"/>
          <w:szCs w:val="20"/>
        </w:rPr>
        <w:t xml:space="preserve"> </w:t>
      </w:r>
    </w:p>
    <w:p w14:paraId="72480DE1" w14:textId="6C36D375" w:rsidR="00572737" w:rsidRDefault="00C37138">
      <w:pPr>
        <w:spacing w:line="360" w:lineRule="auto"/>
        <w:ind w:firstLine="720"/>
        <w:contextualSpacing/>
        <w:jc w:val="both"/>
        <w:rPr>
          <w:rFonts w:ascii="Arial" w:hAnsi="Arial" w:cs="Arial"/>
          <w:sz w:val="20"/>
          <w:szCs w:val="20"/>
        </w:rPr>
      </w:pPr>
      <w:r>
        <w:rPr>
          <w:rFonts w:ascii="Arial" w:hAnsi="Arial" w:cs="Arial"/>
          <w:sz w:val="20"/>
          <w:szCs w:val="20"/>
        </w:rPr>
        <w:t>Testing the MoA Box</w:t>
      </w:r>
      <w:r w:rsidR="001433FE" w:rsidRPr="0039042D">
        <w:rPr>
          <w:rFonts w:ascii="Arial" w:hAnsi="Arial" w:cs="Arial"/>
          <w:sz w:val="20"/>
          <w:szCs w:val="20"/>
        </w:rPr>
        <w:t xml:space="preserve"> collection in these assays has three main purposes: 1) probing novel biology with known MoAs and identifying potential therapeutic targets, 2) evaluating drug discovery flow-chart and counter</w:t>
      </w:r>
      <w:r w:rsidR="5F1A6584" w:rsidRPr="0039042D">
        <w:rPr>
          <w:rFonts w:ascii="Arial" w:hAnsi="Arial" w:cs="Arial"/>
          <w:sz w:val="20"/>
          <w:szCs w:val="20"/>
        </w:rPr>
        <w:t>-</w:t>
      </w:r>
      <w:r w:rsidR="001433FE" w:rsidRPr="0039042D">
        <w:rPr>
          <w:rFonts w:ascii="Arial" w:hAnsi="Arial" w:cs="Arial"/>
          <w:sz w:val="20"/>
          <w:szCs w:val="20"/>
        </w:rPr>
        <w:t>assay design 3) repurposing compounds and enriching our knowledge of their bioactivity.</w:t>
      </w:r>
      <w:r w:rsidR="00FC59EC" w:rsidRPr="0039042D">
        <w:rPr>
          <w:rFonts w:ascii="Arial" w:hAnsi="Arial" w:cs="Arial"/>
          <w:sz w:val="20"/>
          <w:szCs w:val="20"/>
        </w:rPr>
        <w:t xml:space="preserve"> To serve these purposes we have applied computational methods to help </w:t>
      </w:r>
      <w:r w:rsidR="00B91F8A" w:rsidRPr="0039042D">
        <w:rPr>
          <w:rFonts w:ascii="Arial" w:hAnsi="Arial" w:cs="Arial"/>
          <w:sz w:val="20"/>
          <w:szCs w:val="20"/>
        </w:rPr>
        <w:t>analyze data</w:t>
      </w:r>
      <w:r w:rsidR="00FC59EC" w:rsidRPr="0039042D">
        <w:rPr>
          <w:rFonts w:ascii="Arial" w:hAnsi="Arial" w:cs="Arial"/>
          <w:sz w:val="20"/>
          <w:szCs w:val="20"/>
        </w:rPr>
        <w:t xml:space="preserve"> and </w:t>
      </w:r>
      <w:r w:rsidR="00B91F8A" w:rsidRPr="0039042D">
        <w:rPr>
          <w:rFonts w:ascii="Arial" w:hAnsi="Arial" w:cs="Arial"/>
          <w:sz w:val="20"/>
          <w:szCs w:val="20"/>
        </w:rPr>
        <w:t>design follow-up</w:t>
      </w:r>
      <w:r w:rsidR="00FC59EC" w:rsidRPr="0039042D">
        <w:rPr>
          <w:rFonts w:ascii="Arial" w:hAnsi="Arial" w:cs="Arial"/>
          <w:sz w:val="20"/>
          <w:szCs w:val="20"/>
        </w:rPr>
        <w:t xml:space="preserve"> experiment</w:t>
      </w:r>
      <w:r w:rsidR="00CF36CC">
        <w:rPr>
          <w:rFonts w:ascii="Arial" w:hAnsi="Arial" w:cs="Arial"/>
          <w:sz w:val="20"/>
          <w:szCs w:val="20"/>
        </w:rPr>
        <w:t>s</w:t>
      </w:r>
      <w:r w:rsidR="00FC59EC" w:rsidRPr="0039042D">
        <w:rPr>
          <w:rFonts w:ascii="Arial" w:hAnsi="Arial" w:cs="Arial"/>
          <w:sz w:val="20"/>
          <w:szCs w:val="20"/>
        </w:rPr>
        <w:t>. For example, w</w:t>
      </w:r>
      <w:r w:rsidR="00572737" w:rsidRPr="0039042D">
        <w:rPr>
          <w:rFonts w:ascii="Arial" w:hAnsi="Arial" w:cs="Arial"/>
          <w:sz w:val="20"/>
          <w:szCs w:val="20"/>
        </w:rPr>
        <w:t>hile each chemical probe is included for its primary target annotation</w:t>
      </w:r>
      <w:r w:rsidR="00B91F8A" w:rsidRPr="0039042D">
        <w:rPr>
          <w:rFonts w:ascii="Arial" w:hAnsi="Arial" w:cs="Arial"/>
          <w:sz w:val="20"/>
          <w:szCs w:val="20"/>
        </w:rPr>
        <w:t>,</w:t>
      </w:r>
      <w:r w:rsidR="00572737" w:rsidRPr="0039042D">
        <w:rPr>
          <w:rFonts w:ascii="Arial" w:hAnsi="Arial" w:cs="Arial"/>
          <w:sz w:val="20"/>
          <w:szCs w:val="20"/>
        </w:rPr>
        <w:t xml:space="preserve"> there are often se</w:t>
      </w:r>
      <w:r>
        <w:rPr>
          <w:rFonts w:ascii="Arial" w:hAnsi="Arial" w:cs="Arial"/>
          <w:sz w:val="20"/>
          <w:szCs w:val="20"/>
        </w:rPr>
        <w:t>condary off-targets for</w:t>
      </w:r>
      <w:r w:rsidR="000C47E4" w:rsidRPr="0039042D">
        <w:rPr>
          <w:rFonts w:ascii="Arial" w:hAnsi="Arial" w:cs="Arial"/>
          <w:sz w:val="20"/>
          <w:szCs w:val="20"/>
        </w:rPr>
        <w:t xml:space="preserve"> each probe</w:t>
      </w:r>
      <w:r>
        <w:rPr>
          <w:rFonts w:ascii="Arial" w:hAnsi="Arial" w:cs="Arial"/>
          <w:sz w:val="20"/>
          <w:szCs w:val="20"/>
        </w:rPr>
        <w:t>, with increased propensity at</w:t>
      </w:r>
      <w:r w:rsidR="00FC59EC" w:rsidRPr="0039042D">
        <w:rPr>
          <w:rFonts w:ascii="Arial" w:hAnsi="Arial" w:cs="Arial"/>
          <w:sz w:val="20"/>
          <w:szCs w:val="20"/>
        </w:rPr>
        <w:t xml:space="preserve"> a higher compound </w:t>
      </w:r>
      <w:r w:rsidR="00FC59EC" w:rsidRPr="0039042D">
        <w:rPr>
          <w:rFonts w:ascii="Arial" w:hAnsi="Arial" w:cs="Arial"/>
          <w:sz w:val="20"/>
          <w:szCs w:val="20"/>
        </w:rPr>
        <w:lastRenderedPageBreak/>
        <w:t>concentration</w:t>
      </w:r>
      <w:r>
        <w:rPr>
          <w:rFonts w:ascii="Arial" w:hAnsi="Arial" w:cs="Arial"/>
          <w:sz w:val="20"/>
          <w:szCs w:val="20"/>
        </w:rPr>
        <w:t>s</w:t>
      </w:r>
      <w:r w:rsidR="000C47E4" w:rsidRPr="0039042D">
        <w:rPr>
          <w:rFonts w:ascii="Arial" w:hAnsi="Arial" w:cs="Arial"/>
          <w:sz w:val="20"/>
          <w:szCs w:val="20"/>
        </w:rPr>
        <w:t>.</w:t>
      </w:r>
      <w:r w:rsidR="00572737" w:rsidRPr="0039042D">
        <w:rPr>
          <w:rFonts w:ascii="Arial" w:hAnsi="Arial" w:cs="Arial"/>
          <w:sz w:val="20"/>
          <w:szCs w:val="20"/>
        </w:rPr>
        <w:t xml:space="preserve"> These secondary annotated targets </w:t>
      </w:r>
      <w:r w:rsidR="000C47E4" w:rsidRPr="0039042D">
        <w:rPr>
          <w:rFonts w:ascii="Arial" w:hAnsi="Arial" w:cs="Arial"/>
          <w:sz w:val="20"/>
          <w:szCs w:val="20"/>
        </w:rPr>
        <w:t xml:space="preserve">and target overlap </w:t>
      </w:r>
      <w:r w:rsidR="00D73932" w:rsidRPr="0039042D">
        <w:rPr>
          <w:rFonts w:ascii="Arial" w:hAnsi="Arial" w:cs="Arial"/>
          <w:sz w:val="20"/>
          <w:szCs w:val="20"/>
        </w:rPr>
        <w:t>enable</w:t>
      </w:r>
      <w:r w:rsidR="00572737" w:rsidRPr="0039042D">
        <w:rPr>
          <w:rFonts w:ascii="Arial" w:hAnsi="Arial" w:cs="Arial"/>
          <w:sz w:val="20"/>
          <w:szCs w:val="20"/>
        </w:rPr>
        <w:t xml:space="preserve"> target</w:t>
      </w:r>
      <w:r w:rsidR="005A4A2C" w:rsidRPr="0039042D">
        <w:rPr>
          <w:rFonts w:ascii="Arial" w:hAnsi="Arial" w:cs="Arial"/>
          <w:sz w:val="20"/>
          <w:szCs w:val="20"/>
        </w:rPr>
        <w:t>-phenotype</w:t>
      </w:r>
      <w:r w:rsidR="00572737" w:rsidRPr="0039042D">
        <w:rPr>
          <w:rFonts w:ascii="Arial" w:hAnsi="Arial" w:cs="Arial"/>
          <w:sz w:val="20"/>
          <w:szCs w:val="20"/>
        </w:rPr>
        <w:t xml:space="preserve"> enrichment exercises</w:t>
      </w:r>
      <w:r w:rsidR="000C47E4" w:rsidRPr="0039042D">
        <w:rPr>
          <w:rFonts w:ascii="Arial" w:hAnsi="Arial" w:cs="Arial"/>
          <w:sz w:val="20"/>
          <w:szCs w:val="20"/>
        </w:rPr>
        <w:t xml:space="preserve"> (</w:t>
      </w:r>
      <w:r w:rsidR="00496A8B" w:rsidRPr="0039042D">
        <w:rPr>
          <w:rFonts w:ascii="Arial" w:hAnsi="Arial" w:cs="Arial"/>
          <w:sz w:val="20"/>
          <w:szCs w:val="20"/>
        </w:rPr>
        <w:t xml:space="preserve">e.g. </w:t>
      </w:r>
      <w:r w:rsidR="00572737" w:rsidRPr="0039042D">
        <w:rPr>
          <w:rFonts w:ascii="Arial" w:hAnsi="Arial" w:cs="Arial"/>
          <w:sz w:val="20"/>
          <w:szCs w:val="20"/>
        </w:rPr>
        <w:t>Fisher’s exact test</w:t>
      </w:r>
      <w:r w:rsidR="007A70C8">
        <w:rPr>
          <w:rStyle w:val="EndnoteReference"/>
          <w:rFonts w:ascii="Arial" w:hAnsi="Arial" w:cs="Arial"/>
          <w:sz w:val="20"/>
          <w:szCs w:val="20"/>
        </w:rPr>
        <w:endnoteReference w:id="17"/>
      </w:r>
      <w:r w:rsidR="000C47E4" w:rsidRPr="0039042D">
        <w:rPr>
          <w:rFonts w:ascii="Arial" w:hAnsi="Arial" w:cs="Arial"/>
          <w:sz w:val="20"/>
          <w:szCs w:val="20"/>
        </w:rPr>
        <w:t>)</w:t>
      </w:r>
      <w:r w:rsidR="00294CA3" w:rsidRPr="0039042D">
        <w:rPr>
          <w:rFonts w:ascii="Arial" w:hAnsi="Arial" w:cs="Arial"/>
          <w:sz w:val="20"/>
          <w:szCs w:val="20"/>
        </w:rPr>
        <w:t xml:space="preserve"> to help draw out emerging biological trends</w:t>
      </w:r>
      <w:r w:rsidR="00572737" w:rsidRPr="0039042D">
        <w:rPr>
          <w:rFonts w:ascii="Arial" w:hAnsi="Arial" w:cs="Arial"/>
          <w:sz w:val="20"/>
          <w:szCs w:val="20"/>
        </w:rPr>
        <w:t xml:space="preserve">. </w:t>
      </w:r>
      <w:r w:rsidR="00643508">
        <w:rPr>
          <w:rFonts w:ascii="Arial" w:hAnsi="Arial" w:cs="Arial"/>
          <w:sz w:val="20"/>
          <w:szCs w:val="20"/>
        </w:rPr>
        <w:t>C</w:t>
      </w:r>
      <w:r w:rsidR="002215C9" w:rsidRPr="0039042D">
        <w:rPr>
          <w:rFonts w:ascii="Arial" w:hAnsi="Arial" w:cs="Arial"/>
          <w:sz w:val="20"/>
          <w:szCs w:val="20"/>
        </w:rPr>
        <w:t>omparing the coupling of biochemical and cellular potency, target-phenotype connection can be further examined (</w:t>
      </w:r>
      <w:r w:rsidR="002215C9" w:rsidRPr="00806135">
        <w:rPr>
          <w:rFonts w:ascii="Arial" w:hAnsi="Arial" w:cs="Arial"/>
          <w:sz w:val="20"/>
          <w:szCs w:val="20"/>
        </w:rPr>
        <w:t>Figure 3</w:t>
      </w:r>
      <w:r w:rsidR="002215C9" w:rsidRPr="0039042D">
        <w:rPr>
          <w:rFonts w:ascii="Arial" w:hAnsi="Arial" w:cs="Arial"/>
          <w:sz w:val="20"/>
          <w:szCs w:val="20"/>
        </w:rPr>
        <w:t>). T</w:t>
      </w:r>
      <w:r w:rsidR="00F54E12">
        <w:rPr>
          <w:rFonts w:ascii="Arial" w:hAnsi="Arial" w:cs="Arial"/>
          <w:sz w:val="20"/>
          <w:szCs w:val="20"/>
        </w:rPr>
        <w:t>h</w:t>
      </w:r>
      <w:r w:rsidR="00294CA3">
        <w:rPr>
          <w:rFonts w:ascii="Arial" w:hAnsi="Arial" w:cs="Arial"/>
          <w:sz w:val="20"/>
          <w:szCs w:val="20"/>
        </w:rPr>
        <w:t xml:space="preserve">e </w:t>
      </w:r>
      <w:r w:rsidR="00FC59EC">
        <w:rPr>
          <w:rFonts w:ascii="Arial" w:hAnsi="Arial" w:cs="Arial"/>
          <w:sz w:val="20"/>
          <w:szCs w:val="20"/>
        </w:rPr>
        <w:t>need for</w:t>
      </w:r>
      <w:r w:rsidR="00294CA3">
        <w:rPr>
          <w:rFonts w:ascii="Arial" w:hAnsi="Arial" w:cs="Arial"/>
          <w:sz w:val="20"/>
          <w:szCs w:val="20"/>
        </w:rPr>
        <w:t xml:space="preserve"> deeper</w:t>
      </w:r>
      <w:r w:rsidR="00F54E12">
        <w:rPr>
          <w:rFonts w:ascii="Arial" w:hAnsi="Arial" w:cs="Arial"/>
          <w:sz w:val="20"/>
          <w:szCs w:val="20"/>
        </w:rPr>
        <w:t xml:space="preserve"> data analysis and the broad use in screening ha</w:t>
      </w:r>
      <w:r w:rsidR="00551704">
        <w:rPr>
          <w:rFonts w:ascii="Arial" w:hAnsi="Arial" w:cs="Arial"/>
          <w:sz w:val="20"/>
          <w:szCs w:val="20"/>
        </w:rPr>
        <w:t>ve</w:t>
      </w:r>
      <w:r w:rsidR="00F54E12">
        <w:rPr>
          <w:rFonts w:ascii="Arial" w:hAnsi="Arial" w:cs="Arial"/>
          <w:sz w:val="20"/>
          <w:szCs w:val="20"/>
        </w:rPr>
        <w:t xml:space="preserve"> spurred the internal development of </w:t>
      </w:r>
      <w:r w:rsidR="00551704">
        <w:rPr>
          <w:rFonts w:ascii="Arial" w:hAnsi="Arial" w:cs="Arial"/>
          <w:sz w:val="20"/>
          <w:szCs w:val="20"/>
        </w:rPr>
        <w:t>an automated web-based workflow</w:t>
      </w:r>
      <w:r w:rsidR="00F54E12">
        <w:rPr>
          <w:rFonts w:ascii="Arial" w:hAnsi="Arial" w:cs="Arial"/>
          <w:sz w:val="20"/>
          <w:szCs w:val="20"/>
        </w:rPr>
        <w:t xml:space="preserve"> to enable hitlist evaluations and suggest follow up compounds for testing. </w:t>
      </w:r>
    </w:p>
    <w:p w14:paraId="51496720" w14:textId="77777777" w:rsidR="00572737" w:rsidRDefault="0046191F">
      <w:pPr>
        <w:spacing w:line="360" w:lineRule="auto"/>
        <w:ind w:firstLine="720"/>
        <w:contextualSpacing/>
        <w:jc w:val="both"/>
        <w:rPr>
          <w:rFonts w:ascii="Arial" w:hAnsi="Arial" w:cs="Arial"/>
          <w:sz w:val="20"/>
          <w:szCs w:val="20"/>
        </w:rPr>
      </w:pPr>
      <w:r>
        <w:rPr>
          <w:rFonts w:ascii="Arial" w:hAnsi="Arial" w:cs="Arial"/>
          <w:sz w:val="20"/>
          <w:szCs w:val="20"/>
        </w:rPr>
        <w:t>Cross comparison of the</w:t>
      </w:r>
      <w:r w:rsidR="009214D1">
        <w:rPr>
          <w:rFonts w:ascii="Arial" w:hAnsi="Arial" w:cs="Arial"/>
          <w:sz w:val="20"/>
          <w:szCs w:val="20"/>
        </w:rPr>
        <w:t xml:space="preserve"> MoA box</w:t>
      </w:r>
      <w:r>
        <w:rPr>
          <w:rFonts w:ascii="Arial" w:hAnsi="Arial" w:cs="Arial"/>
          <w:sz w:val="20"/>
          <w:szCs w:val="20"/>
        </w:rPr>
        <w:t xml:space="preserve"> library a</w:t>
      </w:r>
      <w:r w:rsidR="00F54E12">
        <w:rPr>
          <w:rFonts w:ascii="Arial" w:hAnsi="Arial" w:cs="Arial"/>
          <w:sz w:val="20"/>
          <w:szCs w:val="20"/>
        </w:rPr>
        <w:t xml:space="preserve">cross </w:t>
      </w:r>
      <w:r w:rsidR="009214D1">
        <w:rPr>
          <w:rFonts w:ascii="Arial" w:hAnsi="Arial" w:cs="Arial"/>
          <w:sz w:val="20"/>
          <w:szCs w:val="20"/>
        </w:rPr>
        <w:t>a</w:t>
      </w:r>
      <w:r w:rsidR="00F54E12">
        <w:rPr>
          <w:rFonts w:ascii="Arial" w:hAnsi="Arial" w:cs="Arial"/>
          <w:sz w:val="20"/>
          <w:szCs w:val="20"/>
        </w:rPr>
        <w:t xml:space="preserve"> wide range of </w:t>
      </w:r>
      <w:r w:rsidR="000C47E4">
        <w:rPr>
          <w:rFonts w:ascii="Arial" w:hAnsi="Arial" w:cs="Arial"/>
          <w:sz w:val="20"/>
          <w:szCs w:val="20"/>
        </w:rPr>
        <w:t>screens,</w:t>
      </w:r>
      <w:r>
        <w:rPr>
          <w:rFonts w:ascii="Arial" w:hAnsi="Arial" w:cs="Arial"/>
          <w:sz w:val="20"/>
          <w:szCs w:val="20"/>
        </w:rPr>
        <w:t xml:space="preserve"> </w:t>
      </w:r>
      <w:r w:rsidR="00F54E12">
        <w:rPr>
          <w:rFonts w:ascii="Arial" w:hAnsi="Arial" w:cs="Arial"/>
          <w:sz w:val="20"/>
          <w:szCs w:val="20"/>
        </w:rPr>
        <w:t xml:space="preserve">despite being </w:t>
      </w:r>
      <w:r w:rsidR="000C47E4">
        <w:rPr>
          <w:rFonts w:ascii="Arial" w:hAnsi="Arial" w:cs="Arial"/>
          <w:sz w:val="20"/>
          <w:szCs w:val="20"/>
        </w:rPr>
        <w:t xml:space="preserve">exclusively comprised of potent cellularly active compounds, </w:t>
      </w:r>
      <w:r w:rsidR="00294CA3">
        <w:rPr>
          <w:rFonts w:ascii="Arial" w:hAnsi="Arial" w:cs="Arial"/>
          <w:sz w:val="20"/>
          <w:szCs w:val="20"/>
        </w:rPr>
        <w:t>has su</w:t>
      </w:r>
      <w:r w:rsidR="224A5961">
        <w:rPr>
          <w:rFonts w:ascii="Arial" w:hAnsi="Arial" w:cs="Arial"/>
          <w:sz w:val="20"/>
          <w:szCs w:val="20"/>
        </w:rPr>
        <w:t>r</w:t>
      </w:r>
      <w:r w:rsidR="00294CA3">
        <w:rPr>
          <w:rFonts w:ascii="Arial" w:hAnsi="Arial" w:cs="Arial"/>
          <w:sz w:val="20"/>
          <w:szCs w:val="20"/>
        </w:rPr>
        <w:t>prisingly</w:t>
      </w:r>
      <w:r w:rsidR="00F54E12">
        <w:rPr>
          <w:rFonts w:ascii="Arial" w:hAnsi="Arial" w:cs="Arial"/>
          <w:sz w:val="20"/>
          <w:szCs w:val="20"/>
        </w:rPr>
        <w:t xml:space="preserve"> not </w:t>
      </w:r>
      <w:r w:rsidR="003169B0">
        <w:rPr>
          <w:rFonts w:ascii="Arial" w:hAnsi="Arial" w:cs="Arial"/>
          <w:sz w:val="20"/>
          <w:szCs w:val="20"/>
        </w:rPr>
        <w:t xml:space="preserve">yielded </w:t>
      </w:r>
      <w:r w:rsidR="00F54E12">
        <w:rPr>
          <w:rFonts w:ascii="Arial" w:hAnsi="Arial" w:cs="Arial"/>
          <w:sz w:val="20"/>
          <w:szCs w:val="20"/>
        </w:rPr>
        <w:t>many frequent hitters outside of pan-kinase</w:t>
      </w:r>
      <w:r w:rsidR="009214D1">
        <w:rPr>
          <w:rFonts w:ascii="Arial" w:hAnsi="Arial" w:cs="Arial"/>
          <w:sz w:val="20"/>
          <w:szCs w:val="20"/>
        </w:rPr>
        <w:t>s</w:t>
      </w:r>
      <w:r w:rsidR="00B956A1">
        <w:rPr>
          <w:rFonts w:ascii="Arial" w:hAnsi="Arial" w:cs="Arial"/>
          <w:sz w:val="20"/>
          <w:szCs w:val="20"/>
        </w:rPr>
        <w:t xml:space="preserve"> (</w:t>
      </w:r>
      <w:r w:rsidR="003169B0">
        <w:rPr>
          <w:rFonts w:ascii="Arial" w:hAnsi="Arial" w:cs="Arial"/>
          <w:sz w:val="20"/>
          <w:szCs w:val="20"/>
        </w:rPr>
        <w:t xml:space="preserve">e.g. </w:t>
      </w:r>
      <w:r w:rsidR="00691B91">
        <w:rPr>
          <w:rFonts w:ascii="Arial" w:hAnsi="Arial" w:cs="Arial"/>
          <w:sz w:val="20"/>
          <w:szCs w:val="20"/>
        </w:rPr>
        <w:t>sta</w:t>
      </w:r>
      <w:r w:rsidR="003169B0">
        <w:rPr>
          <w:rFonts w:ascii="Arial" w:hAnsi="Arial" w:cs="Arial"/>
          <w:sz w:val="20"/>
          <w:szCs w:val="20"/>
        </w:rPr>
        <w:t>u</w:t>
      </w:r>
      <w:r w:rsidR="00691B91">
        <w:rPr>
          <w:rFonts w:ascii="Arial" w:hAnsi="Arial" w:cs="Arial"/>
          <w:sz w:val="20"/>
          <w:szCs w:val="20"/>
        </w:rPr>
        <w:t>rosporine</w:t>
      </w:r>
      <w:r w:rsidR="00B956A1">
        <w:rPr>
          <w:rFonts w:ascii="Arial" w:hAnsi="Arial" w:cs="Arial"/>
          <w:sz w:val="20"/>
          <w:szCs w:val="20"/>
        </w:rPr>
        <w:t>)</w:t>
      </w:r>
      <w:r w:rsidR="00F54E12">
        <w:rPr>
          <w:rFonts w:ascii="Arial" w:hAnsi="Arial" w:cs="Arial"/>
          <w:sz w:val="20"/>
          <w:szCs w:val="20"/>
        </w:rPr>
        <w:t xml:space="preserve"> and HDAC inhibitors. </w:t>
      </w:r>
      <w:r w:rsidR="000C47E4">
        <w:rPr>
          <w:rFonts w:ascii="Arial" w:hAnsi="Arial" w:cs="Arial"/>
          <w:sz w:val="20"/>
          <w:szCs w:val="20"/>
        </w:rPr>
        <w:t>On the other end of the spectrum some compounds such as b</w:t>
      </w:r>
      <w:r w:rsidR="00572737">
        <w:rPr>
          <w:rFonts w:ascii="Arial" w:hAnsi="Arial" w:cs="Arial"/>
          <w:sz w:val="20"/>
          <w:szCs w:val="20"/>
        </w:rPr>
        <w:t>elnacasan, a caspase 1 inhibitor, are hits in very few of the screens conducted to date.</w:t>
      </w:r>
      <w:r w:rsidR="00DA2758">
        <w:rPr>
          <w:rFonts w:ascii="Arial" w:hAnsi="Arial" w:cs="Arial"/>
          <w:sz w:val="20"/>
          <w:szCs w:val="20"/>
        </w:rPr>
        <w:t xml:space="preserve"> This </w:t>
      </w:r>
      <w:r w:rsidR="009214D1">
        <w:rPr>
          <w:rFonts w:ascii="Arial" w:hAnsi="Arial" w:cs="Arial"/>
          <w:sz w:val="20"/>
          <w:szCs w:val="20"/>
        </w:rPr>
        <w:t xml:space="preserve">observed screening </w:t>
      </w:r>
      <w:r w:rsidR="00DA2758">
        <w:rPr>
          <w:rFonts w:ascii="Arial" w:hAnsi="Arial" w:cs="Arial"/>
          <w:sz w:val="20"/>
          <w:szCs w:val="20"/>
        </w:rPr>
        <w:t xml:space="preserve">selectivity </w:t>
      </w:r>
      <w:r w:rsidR="00176954">
        <w:rPr>
          <w:rFonts w:ascii="Arial" w:hAnsi="Arial" w:cs="Arial"/>
          <w:sz w:val="20"/>
          <w:szCs w:val="20"/>
        </w:rPr>
        <w:t xml:space="preserve">highlights the effort to </w:t>
      </w:r>
      <w:r w:rsidR="009214D1">
        <w:rPr>
          <w:rFonts w:ascii="Arial" w:hAnsi="Arial" w:cs="Arial"/>
          <w:sz w:val="20"/>
          <w:szCs w:val="20"/>
        </w:rPr>
        <w:t>incorporate only</w:t>
      </w:r>
      <w:r w:rsidR="00176954">
        <w:rPr>
          <w:rFonts w:ascii="Arial" w:hAnsi="Arial" w:cs="Arial"/>
          <w:sz w:val="20"/>
          <w:szCs w:val="20"/>
        </w:rPr>
        <w:t xml:space="preserve"> </w:t>
      </w:r>
      <w:r w:rsidR="009214D1">
        <w:rPr>
          <w:rFonts w:ascii="Arial" w:hAnsi="Arial" w:cs="Arial"/>
          <w:sz w:val="20"/>
          <w:szCs w:val="20"/>
        </w:rPr>
        <w:t xml:space="preserve">high quality </w:t>
      </w:r>
      <w:r w:rsidR="00176954">
        <w:rPr>
          <w:rFonts w:ascii="Arial" w:hAnsi="Arial" w:cs="Arial"/>
          <w:sz w:val="20"/>
          <w:szCs w:val="20"/>
        </w:rPr>
        <w:t xml:space="preserve">chemical probes into the </w:t>
      </w:r>
      <w:r w:rsidR="00A12DDF">
        <w:rPr>
          <w:rFonts w:ascii="Arial" w:hAnsi="Arial" w:cs="Arial"/>
          <w:sz w:val="20"/>
          <w:szCs w:val="20"/>
        </w:rPr>
        <w:t xml:space="preserve">NIBR </w:t>
      </w:r>
      <w:r w:rsidR="009214D1">
        <w:rPr>
          <w:rFonts w:ascii="Arial" w:hAnsi="Arial" w:cs="Arial"/>
          <w:sz w:val="20"/>
          <w:szCs w:val="20"/>
        </w:rPr>
        <w:t>MoA Box</w:t>
      </w:r>
      <w:r w:rsidR="00176954">
        <w:rPr>
          <w:rFonts w:ascii="Arial" w:hAnsi="Arial" w:cs="Arial"/>
          <w:sz w:val="20"/>
          <w:szCs w:val="20"/>
        </w:rPr>
        <w:t>.</w:t>
      </w:r>
    </w:p>
    <w:p w14:paraId="0806102B" w14:textId="73492ACF" w:rsidR="007C7AA1" w:rsidRDefault="003569A9" w:rsidP="00084216">
      <w:pPr>
        <w:spacing w:line="360" w:lineRule="auto"/>
        <w:ind w:firstLine="720"/>
        <w:contextualSpacing/>
        <w:jc w:val="both"/>
        <w:rPr>
          <w:rFonts w:ascii="Arial" w:hAnsi="Arial" w:cs="Arial"/>
          <w:sz w:val="20"/>
          <w:szCs w:val="20"/>
        </w:rPr>
      </w:pPr>
      <w:r>
        <w:rPr>
          <w:rFonts w:ascii="Arial" w:hAnsi="Arial" w:cs="Arial"/>
          <w:sz w:val="20"/>
          <w:szCs w:val="20"/>
        </w:rPr>
        <w:t xml:space="preserve">To </w:t>
      </w:r>
      <w:r w:rsidR="00984955">
        <w:rPr>
          <w:rFonts w:ascii="Arial" w:hAnsi="Arial" w:cs="Arial"/>
          <w:sz w:val="20"/>
          <w:szCs w:val="20"/>
        </w:rPr>
        <w:t>enhance</w:t>
      </w:r>
      <w:r>
        <w:rPr>
          <w:rFonts w:ascii="Arial" w:hAnsi="Arial" w:cs="Arial"/>
          <w:sz w:val="20"/>
          <w:szCs w:val="20"/>
        </w:rPr>
        <w:t xml:space="preserve"> the characterization of the probes and better understand how controlled perturbation of gene targets with small molecules plays out across a diversity o</w:t>
      </w:r>
      <w:r w:rsidR="00BF520D">
        <w:rPr>
          <w:rFonts w:ascii="Arial" w:hAnsi="Arial" w:cs="Arial"/>
          <w:sz w:val="20"/>
          <w:szCs w:val="20"/>
        </w:rPr>
        <w:t xml:space="preserve">f biology the chemogenetics collection is opportunistically profiled with new technologies. For example the library collection has been </w:t>
      </w:r>
      <w:r w:rsidR="00EF0124">
        <w:rPr>
          <w:rFonts w:ascii="Arial" w:hAnsi="Arial" w:cs="Arial"/>
          <w:sz w:val="20"/>
          <w:szCs w:val="20"/>
        </w:rPr>
        <w:t>implemented in a)</w:t>
      </w:r>
      <w:r w:rsidR="00BF520D">
        <w:rPr>
          <w:rFonts w:ascii="Arial" w:hAnsi="Arial" w:cs="Arial"/>
          <w:sz w:val="20"/>
          <w:szCs w:val="20"/>
        </w:rPr>
        <w:t xml:space="preserve"> cell painting assay</w:t>
      </w:r>
      <w:r w:rsidR="00EF0124">
        <w:rPr>
          <w:rFonts w:ascii="Arial" w:hAnsi="Arial" w:cs="Arial"/>
          <w:sz w:val="20"/>
          <w:szCs w:val="20"/>
        </w:rPr>
        <w:t>s</w:t>
      </w:r>
      <w:r w:rsidR="00BF520D">
        <w:rPr>
          <w:rStyle w:val="EndnoteReference"/>
          <w:rFonts w:ascii="Arial" w:hAnsi="Arial" w:cs="Arial"/>
          <w:sz w:val="20"/>
          <w:szCs w:val="20"/>
        </w:rPr>
        <w:endnoteReference w:id="18"/>
      </w:r>
      <w:r w:rsidR="00BF520D">
        <w:rPr>
          <w:rFonts w:ascii="Arial" w:hAnsi="Arial" w:cs="Arial"/>
          <w:sz w:val="20"/>
          <w:szCs w:val="20"/>
        </w:rPr>
        <w:t xml:space="preserve"> to evaluate phenotypic diversity and clustering o</w:t>
      </w:r>
      <w:r w:rsidR="009214D1">
        <w:rPr>
          <w:rFonts w:ascii="Arial" w:hAnsi="Arial" w:cs="Arial"/>
          <w:sz w:val="20"/>
          <w:szCs w:val="20"/>
        </w:rPr>
        <w:t>f phenotypic and target classes</w:t>
      </w:r>
      <w:r w:rsidR="00BF520D">
        <w:rPr>
          <w:rFonts w:ascii="Arial" w:hAnsi="Arial" w:cs="Arial"/>
          <w:sz w:val="20"/>
          <w:szCs w:val="20"/>
        </w:rPr>
        <w:t xml:space="preserve"> </w:t>
      </w:r>
      <w:r w:rsidR="00761575">
        <w:rPr>
          <w:rFonts w:ascii="Arial" w:hAnsi="Arial" w:cs="Arial"/>
          <w:sz w:val="20"/>
          <w:szCs w:val="20"/>
        </w:rPr>
        <w:t xml:space="preserve">b) </w:t>
      </w:r>
      <w:r w:rsidR="00BF520D">
        <w:rPr>
          <w:rFonts w:ascii="Arial" w:hAnsi="Arial" w:cs="Arial"/>
          <w:sz w:val="20"/>
          <w:szCs w:val="20"/>
        </w:rPr>
        <w:t xml:space="preserve"> DRUG-seq, a miniaturization of high-throughput transcriptomic profiling</w:t>
      </w:r>
      <w:r w:rsidR="00BF0224">
        <w:rPr>
          <w:rStyle w:val="EndnoteReference"/>
          <w:rFonts w:ascii="Arial" w:hAnsi="Arial" w:cs="Arial"/>
          <w:sz w:val="20"/>
          <w:szCs w:val="20"/>
        </w:rPr>
        <w:endnoteReference w:id="19"/>
      </w:r>
      <w:r w:rsidR="008B5BE6">
        <w:rPr>
          <w:rFonts w:ascii="Arial" w:hAnsi="Arial" w:cs="Arial"/>
          <w:sz w:val="20"/>
          <w:szCs w:val="20"/>
        </w:rPr>
        <w:t xml:space="preserve"> </w:t>
      </w:r>
      <w:r w:rsidR="00761575">
        <w:rPr>
          <w:rFonts w:ascii="Arial" w:hAnsi="Arial" w:cs="Arial"/>
          <w:sz w:val="20"/>
          <w:szCs w:val="20"/>
        </w:rPr>
        <w:t xml:space="preserve"> c)</w:t>
      </w:r>
      <w:r w:rsidR="00BF520D">
        <w:rPr>
          <w:rFonts w:ascii="Arial" w:hAnsi="Arial" w:cs="Arial"/>
          <w:sz w:val="20"/>
          <w:szCs w:val="20"/>
        </w:rPr>
        <w:t xml:space="preserve"> selective cytotoxicity against panels of cancer cell lines to understand </w:t>
      </w:r>
      <w:r w:rsidR="00691B91">
        <w:rPr>
          <w:rFonts w:ascii="Arial" w:hAnsi="Arial" w:cs="Arial"/>
          <w:sz w:val="20"/>
          <w:szCs w:val="20"/>
        </w:rPr>
        <w:t>predictive</w:t>
      </w:r>
      <w:r w:rsidR="00BF520D">
        <w:rPr>
          <w:rFonts w:ascii="Arial" w:hAnsi="Arial" w:cs="Arial"/>
          <w:sz w:val="20"/>
          <w:szCs w:val="20"/>
        </w:rPr>
        <w:t xml:space="preserve"> drug sensitivity</w:t>
      </w:r>
      <w:r w:rsidR="008B5BE6" w:rsidRPr="00B22B13">
        <w:rPr>
          <w:rStyle w:val="EndnoteReference"/>
          <w:rFonts w:ascii="Arial" w:hAnsi="Arial" w:cs="Arial"/>
          <w:sz w:val="20"/>
          <w:szCs w:val="20"/>
        </w:rPr>
        <w:endnoteReference w:id="20"/>
      </w:r>
      <w:r w:rsidR="00E3629A" w:rsidRPr="00F05983">
        <w:rPr>
          <w:rFonts w:ascii="Arial" w:hAnsi="Arial" w:cs="Arial"/>
          <w:sz w:val="20"/>
          <w:szCs w:val="20"/>
        </w:rPr>
        <w:t xml:space="preserve"> </w:t>
      </w:r>
      <w:r w:rsidR="00B42524" w:rsidRPr="00F05983">
        <w:rPr>
          <w:rFonts w:ascii="Arial" w:hAnsi="Arial" w:cs="Arial"/>
          <w:sz w:val="20"/>
          <w:szCs w:val="20"/>
        </w:rPr>
        <w:t xml:space="preserve">and </w:t>
      </w:r>
      <w:r w:rsidR="00F0331F" w:rsidRPr="00F05983">
        <w:rPr>
          <w:rFonts w:ascii="Arial" w:hAnsi="Arial" w:cs="Arial"/>
          <w:sz w:val="20"/>
          <w:szCs w:val="20"/>
        </w:rPr>
        <w:t xml:space="preserve">d) </w:t>
      </w:r>
      <w:r w:rsidR="00B42524" w:rsidRPr="00F05983">
        <w:rPr>
          <w:rFonts w:ascii="Arial" w:hAnsi="Arial" w:cs="Arial"/>
          <w:sz w:val="20"/>
          <w:szCs w:val="20"/>
        </w:rPr>
        <w:t>understanding the mechanisms underlying an assay readout</w:t>
      </w:r>
      <w:r w:rsidR="00125A8D">
        <w:rPr>
          <w:rFonts w:ascii="Arial" w:hAnsi="Arial" w:cs="Arial"/>
          <w:sz w:val="20"/>
          <w:szCs w:val="20"/>
        </w:rPr>
        <w:t>.</w:t>
      </w:r>
      <w:bookmarkStart w:id="0" w:name="_Ref7272974"/>
      <w:r w:rsidR="00125A8D">
        <w:rPr>
          <w:rStyle w:val="EndnoteReference"/>
          <w:rFonts w:ascii="Arial" w:hAnsi="Arial" w:cs="Arial"/>
          <w:sz w:val="20"/>
          <w:szCs w:val="20"/>
        </w:rPr>
        <w:endnoteReference w:id="21"/>
      </w:r>
      <w:bookmarkEnd w:id="0"/>
      <w:r w:rsidR="00E3629A">
        <w:rPr>
          <w:rFonts w:ascii="Arial" w:hAnsi="Arial" w:cs="Arial"/>
          <w:sz w:val="20"/>
          <w:szCs w:val="20"/>
        </w:rPr>
        <w:t xml:space="preserve"> </w:t>
      </w:r>
      <w:r w:rsidR="0097512B" w:rsidRPr="00950B06">
        <w:rPr>
          <w:rFonts w:ascii="Arial" w:hAnsi="Arial" w:cs="Arial"/>
          <w:sz w:val="20"/>
          <w:szCs w:val="20"/>
        </w:rPr>
        <w:t xml:space="preserve">Across </w:t>
      </w:r>
      <w:r w:rsidR="00B36B91" w:rsidRPr="00950B06">
        <w:rPr>
          <w:rFonts w:ascii="Arial" w:hAnsi="Arial" w:cs="Arial"/>
          <w:sz w:val="20"/>
          <w:szCs w:val="20"/>
        </w:rPr>
        <w:t>the many</w:t>
      </w:r>
      <w:r w:rsidR="0097512B" w:rsidRPr="00950B06">
        <w:rPr>
          <w:rFonts w:ascii="Arial" w:hAnsi="Arial" w:cs="Arial"/>
          <w:sz w:val="20"/>
          <w:szCs w:val="20"/>
        </w:rPr>
        <w:t xml:space="preserve"> </w:t>
      </w:r>
      <w:r w:rsidR="00B36B91" w:rsidRPr="00950B06">
        <w:rPr>
          <w:rFonts w:ascii="Arial" w:hAnsi="Arial" w:cs="Arial"/>
          <w:sz w:val="20"/>
          <w:szCs w:val="20"/>
        </w:rPr>
        <w:t xml:space="preserve">internal </w:t>
      </w:r>
      <w:r w:rsidR="0097512B" w:rsidRPr="00950B06">
        <w:rPr>
          <w:rFonts w:ascii="Arial" w:hAnsi="Arial" w:cs="Arial"/>
          <w:sz w:val="20"/>
          <w:szCs w:val="20"/>
        </w:rPr>
        <w:t>pathway screens a few sele</w:t>
      </w:r>
      <w:r w:rsidR="00FC08B5" w:rsidRPr="00950B06">
        <w:rPr>
          <w:rFonts w:ascii="Arial" w:hAnsi="Arial" w:cs="Arial"/>
          <w:sz w:val="20"/>
          <w:szCs w:val="20"/>
        </w:rPr>
        <w:t>cted</w:t>
      </w:r>
      <w:r w:rsidR="00B36B91" w:rsidRPr="00950B06">
        <w:rPr>
          <w:rFonts w:ascii="Arial" w:hAnsi="Arial" w:cs="Arial"/>
          <w:sz w:val="20"/>
          <w:szCs w:val="20"/>
        </w:rPr>
        <w:t xml:space="preserve"> </w:t>
      </w:r>
      <w:r w:rsidR="00FC08B5" w:rsidRPr="00950B06">
        <w:rPr>
          <w:rFonts w:ascii="Arial" w:hAnsi="Arial" w:cs="Arial"/>
          <w:sz w:val="20"/>
          <w:szCs w:val="20"/>
        </w:rPr>
        <w:t>examples are highlighted: a</w:t>
      </w:r>
      <w:r w:rsidR="0097512B" w:rsidRPr="00950B06">
        <w:rPr>
          <w:rFonts w:ascii="Arial" w:hAnsi="Arial" w:cs="Arial"/>
          <w:sz w:val="20"/>
          <w:szCs w:val="20"/>
        </w:rPr>
        <w:t>) In a Yap-Hippo pathway screen</w:t>
      </w:r>
      <w:r w:rsidR="00E63416" w:rsidRPr="00950B06">
        <w:rPr>
          <w:rFonts w:ascii="Arial" w:hAnsi="Arial" w:cs="Arial"/>
          <w:sz w:val="20"/>
          <w:szCs w:val="20"/>
        </w:rPr>
        <w:t>,</w:t>
      </w:r>
      <w:r w:rsidR="0097512B" w:rsidRPr="00950B06">
        <w:rPr>
          <w:rFonts w:ascii="Arial" w:hAnsi="Arial" w:cs="Arial"/>
          <w:sz w:val="20"/>
          <w:szCs w:val="20"/>
        </w:rPr>
        <w:t xml:space="preserve"> known targets i.e. ITGAV</w:t>
      </w:r>
      <w:r w:rsidR="0097512B" w:rsidRPr="00950B06">
        <w:rPr>
          <w:rStyle w:val="EndnoteReference"/>
          <w:rFonts w:ascii="Arial" w:hAnsi="Arial" w:cs="Arial"/>
          <w:sz w:val="20"/>
          <w:szCs w:val="20"/>
        </w:rPr>
        <w:endnoteReference w:id="22"/>
      </w:r>
      <w:r w:rsidR="0097512B" w:rsidRPr="00950B06">
        <w:rPr>
          <w:rFonts w:ascii="Arial" w:hAnsi="Arial" w:cs="Arial"/>
          <w:sz w:val="20"/>
          <w:szCs w:val="20"/>
        </w:rPr>
        <w:t xml:space="preserve"> were validated and redundant targets</w:t>
      </w:r>
      <w:r w:rsidR="00FC08B5" w:rsidRPr="00950B06">
        <w:rPr>
          <w:rFonts w:ascii="Arial" w:hAnsi="Arial" w:cs="Arial"/>
          <w:sz w:val="20"/>
          <w:szCs w:val="20"/>
        </w:rPr>
        <w:t xml:space="preserve">, </w:t>
      </w:r>
      <w:r w:rsidR="0097512B" w:rsidRPr="00950B06">
        <w:rPr>
          <w:rFonts w:ascii="Arial" w:hAnsi="Arial" w:cs="Arial"/>
          <w:sz w:val="20"/>
          <w:szCs w:val="20"/>
        </w:rPr>
        <w:t>missed by genetic</w:t>
      </w:r>
      <w:r w:rsidR="00B36B91" w:rsidRPr="00950B06">
        <w:rPr>
          <w:rFonts w:ascii="Arial" w:hAnsi="Arial" w:cs="Arial"/>
          <w:sz w:val="20"/>
          <w:szCs w:val="20"/>
        </w:rPr>
        <w:t xml:space="preserve"> </w:t>
      </w:r>
      <w:r w:rsidR="0097512B" w:rsidRPr="00950B06">
        <w:rPr>
          <w:rFonts w:ascii="Arial" w:hAnsi="Arial" w:cs="Arial"/>
          <w:sz w:val="20"/>
          <w:szCs w:val="20"/>
        </w:rPr>
        <w:t xml:space="preserve">(CRISPR) screening, </w:t>
      </w:r>
      <w:r w:rsidR="00FC08B5" w:rsidRPr="00950B06">
        <w:rPr>
          <w:rFonts w:ascii="Arial" w:hAnsi="Arial" w:cs="Arial"/>
          <w:sz w:val="20"/>
          <w:szCs w:val="20"/>
        </w:rPr>
        <w:t xml:space="preserve">were identified </w:t>
      </w:r>
      <w:r w:rsidR="0097512B" w:rsidRPr="00950B06">
        <w:rPr>
          <w:rFonts w:ascii="Arial" w:hAnsi="Arial" w:cs="Arial"/>
          <w:sz w:val="20"/>
          <w:szCs w:val="20"/>
        </w:rPr>
        <w:t>i.e. TNKS1/2</w:t>
      </w:r>
      <w:r w:rsidR="0097512B" w:rsidRPr="00950B06">
        <w:rPr>
          <w:rStyle w:val="EndnoteReference"/>
          <w:rFonts w:ascii="Arial" w:hAnsi="Arial" w:cs="Arial"/>
          <w:sz w:val="20"/>
          <w:szCs w:val="20"/>
        </w:rPr>
        <w:endnoteReference w:id="23"/>
      </w:r>
      <w:r w:rsidR="00FC08B5" w:rsidRPr="00950B06">
        <w:rPr>
          <w:rFonts w:ascii="Arial" w:hAnsi="Arial" w:cs="Arial"/>
          <w:sz w:val="20"/>
          <w:szCs w:val="20"/>
        </w:rPr>
        <w:t xml:space="preserve"> b</w:t>
      </w:r>
      <w:r w:rsidR="0097512B" w:rsidRPr="00950B06">
        <w:rPr>
          <w:rFonts w:ascii="Arial" w:hAnsi="Arial" w:cs="Arial"/>
          <w:sz w:val="20"/>
          <w:szCs w:val="20"/>
        </w:rPr>
        <w:t xml:space="preserve">) </w:t>
      </w:r>
      <w:r w:rsidR="00FC08B5" w:rsidRPr="00950B06">
        <w:rPr>
          <w:rFonts w:ascii="Arial" w:hAnsi="Arial" w:cs="Arial"/>
          <w:sz w:val="20"/>
          <w:szCs w:val="20"/>
        </w:rPr>
        <w:t>In a Wnt pathway screen</w:t>
      </w:r>
      <w:r w:rsidR="00E63416" w:rsidRPr="00950B06">
        <w:rPr>
          <w:rFonts w:ascii="Arial" w:hAnsi="Arial" w:cs="Arial"/>
          <w:sz w:val="20"/>
          <w:szCs w:val="20"/>
        </w:rPr>
        <w:t>,</w:t>
      </w:r>
      <w:r w:rsidR="00FC08B5" w:rsidRPr="00950B06">
        <w:rPr>
          <w:rFonts w:ascii="Arial" w:hAnsi="Arial" w:cs="Arial"/>
          <w:sz w:val="20"/>
          <w:szCs w:val="20"/>
        </w:rPr>
        <w:t xml:space="preserve"> HDAC </w:t>
      </w:r>
      <w:r w:rsidR="00E63416" w:rsidRPr="00950B06">
        <w:rPr>
          <w:rFonts w:ascii="Arial" w:hAnsi="Arial" w:cs="Arial"/>
          <w:sz w:val="20"/>
          <w:szCs w:val="20"/>
        </w:rPr>
        <w:t xml:space="preserve">inhibitors </w:t>
      </w:r>
      <w:r w:rsidR="00FC08B5" w:rsidRPr="00950B06">
        <w:rPr>
          <w:rFonts w:ascii="Arial" w:hAnsi="Arial" w:cs="Arial"/>
          <w:sz w:val="20"/>
          <w:szCs w:val="20"/>
        </w:rPr>
        <w:t>were shown to upregulate the Wnt pathway.</w:t>
      </w:r>
      <w:r w:rsidR="00FC08B5" w:rsidRPr="00950B06">
        <w:rPr>
          <w:rStyle w:val="EndnoteReference"/>
          <w:rFonts w:ascii="Arial" w:hAnsi="Arial" w:cs="Arial"/>
          <w:sz w:val="20"/>
          <w:szCs w:val="20"/>
        </w:rPr>
        <w:endnoteReference w:id="24"/>
      </w:r>
      <w:r w:rsidR="00FC08B5" w:rsidRPr="00950B06">
        <w:rPr>
          <w:rFonts w:ascii="Arial" w:hAnsi="Arial" w:cs="Arial"/>
          <w:sz w:val="20"/>
          <w:szCs w:val="20"/>
          <w:vertAlign w:val="superscript"/>
        </w:rPr>
        <w:t>,</w:t>
      </w:r>
      <w:r w:rsidR="00FC08B5" w:rsidRPr="00950B06">
        <w:rPr>
          <w:rStyle w:val="EndnoteReference"/>
          <w:rFonts w:ascii="Arial" w:hAnsi="Arial" w:cs="Arial"/>
          <w:sz w:val="20"/>
          <w:szCs w:val="20"/>
        </w:rPr>
        <w:endnoteReference w:id="25"/>
      </w:r>
      <w:r w:rsidR="00FC08B5" w:rsidRPr="00950B06">
        <w:rPr>
          <w:rFonts w:ascii="Arial" w:hAnsi="Arial" w:cs="Arial"/>
          <w:sz w:val="20"/>
          <w:szCs w:val="20"/>
        </w:rPr>
        <w:t xml:space="preserve"> </w:t>
      </w:r>
      <w:r w:rsidR="00B36B91" w:rsidRPr="00950B06">
        <w:rPr>
          <w:rFonts w:ascii="Arial" w:hAnsi="Arial" w:cs="Arial"/>
          <w:sz w:val="20"/>
          <w:szCs w:val="20"/>
        </w:rPr>
        <w:t>c) ALK5 inhibitors were identified as protective of radiation therapy</w:t>
      </w:r>
      <w:r w:rsidR="00E63416" w:rsidRPr="00950B06">
        <w:rPr>
          <w:rFonts w:ascii="Arial" w:hAnsi="Arial" w:cs="Arial"/>
          <w:sz w:val="20"/>
          <w:szCs w:val="20"/>
        </w:rPr>
        <w:t>-</w:t>
      </w:r>
      <w:r w:rsidR="00B36B91" w:rsidRPr="00950B06">
        <w:rPr>
          <w:rFonts w:ascii="Arial" w:hAnsi="Arial" w:cs="Arial"/>
          <w:sz w:val="20"/>
          <w:szCs w:val="20"/>
        </w:rPr>
        <w:t>induced oral mucositis</w:t>
      </w:r>
      <w:r w:rsidR="00E63416" w:rsidRPr="00950B06">
        <w:rPr>
          <w:rFonts w:ascii="Arial" w:hAnsi="Arial" w:cs="Arial"/>
          <w:sz w:val="20"/>
          <w:szCs w:val="20"/>
        </w:rPr>
        <w:t xml:space="preserve"> in epithelial spheres.</w:t>
      </w:r>
      <w:r w:rsidR="00B23B3A" w:rsidRPr="00950B06">
        <w:rPr>
          <w:rStyle w:val="EndnoteReference"/>
          <w:rFonts w:ascii="Arial" w:hAnsi="Arial" w:cs="Arial"/>
          <w:sz w:val="20"/>
          <w:szCs w:val="20"/>
        </w:rPr>
        <w:endnoteReference w:id="26"/>
      </w:r>
      <w:r w:rsidR="00B36B91" w:rsidRPr="00950B06">
        <w:rPr>
          <w:rFonts w:ascii="Arial" w:hAnsi="Arial" w:cs="Arial"/>
          <w:sz w:val="20"/>
          <w:szCs w:val="20"/>
        </w:rPr>
        <w:t xml:space="preserve"> d</w:t>
      </w:r>
      <w:r w:rsidR="00FC08B5" w:rsidRPr="00950B06">
        <w:rPr>
          <w:rFonts w:ascii="Arial" w:hAnsi="Arial" w:cs="Arial"/>
          <w:sz w:val="20"/>
          <w:szCs w:val="20"/>
        </w:rPr>
        <w:t>) A screen of lung bronchospheres enabled an internal repurposing program to direct basal c</w:t>
      </w:r>
      <w:r w:rsidR="00B36B91" w:rsidRPr="00950B06">
        <w:rPr>
          <w:rFonts w:ascii="Arial" w:hAnsi="Arial" w:cs="Arial"/>
          <w:sz w:val="20"/>
          <w:szCs w:val="20"/>
        </w:rPr>
        <w:t>ell differentiation towards cili</w:t>
      </w:r>
      <w:r w:rsidR="00FC08B5" w:rsidRPr="00950B06">
        <w:rPr>
          <w:rFonts w:ascii="Arial" w:hAnsi="Arial" w:cs="Arial"/>
          <w:sz w:val="20"/>
          <w:szCs w:val="20"/>
        </w:rPr>
        <w:t>ated cells and away from goblet cells.</w:t>
      </w:r>
      <w:r w:rsidR="00FC08B5" w:rsidRPr="00950B06">
        <w:rPr>
          <w:rStyle w:val="EndnoteReference"/>
          <w:rFonts w:ascii="Arial" w:hAnsi="Arial" w:cs="Arial"/>
          <w:sz w:val="20"/>
          <w:szCs w:val="20"/>
        </w:rPr>
        <w:endnoteReference w:id="27"/>
      </w:r>
      <w:r w:rsidR="00FC08B5">
        <w:rPr>
          <w:rFonts w:ascii="Arial" w:hAnsi="Arial" w:cs="Arial"/>
          <w:sz w:val="20"/>
          <w:szCs w:val="20"/>
        </w:rPr>
        <w:t xml:space="preserve"> Overall, w</w:t>
      </w:r>
      <w:r w:rsidR="00E3629A">
        <w:rPr>
          <w:rFonts w:ascii="Arial" w:hAnsi="Arial" w:cs="Arial"/>
          <w:sz w:val="20"/>
          <w:szCs w:val="20"/>
        </w:rPr>
        <w:t xml:space="preserve">e </w:t>
      </w:r>
      <w:r w:rsidR="00084216">
        <w:rPr>
          <w:rFonts w:ascii="Arial" w:hAnsi="Arial" w:cs="Arial"/>
          <w:sz w:val="20"/>
          <w:szCs w:val="20"/>
        </w:rPr>
        <w:t>have found the NIBR MoA box collection to be a valuable tool for the typical benefits touted such as uncovering novel biology, focused screening, drug repurposing, etc., but also from a pragmatic aspect of prototyping assays and checking for assay robustness.</w:t>
      </w:r>
    </w:p>
    <w:p w14:paraId="6BA6F76B" w14:textId="77777777" w:rsidR="00084216" w:rsidRPr="00084216" w:rsidRDefault="00084216" w:rsidP="00084216">
      <w:pPr>
        <w:spacing w:line="360" w:lineRule="auto"/>
        <w:ind w:firstLine="720"/>
        <w:contextualSpacing/>
        <w:jc w:val="both"/>
        <w:rPr>
          <w:rFonts w:ascii="Arial" w:hAnsi="Arial" w:cs="Arial"/>
          <w:sz w:val="20"/>
          <w:szCs w:val="20"/>
        </w:rPr>
      </w:pPr>
    </w:p>
    <w:p w14:paraId="7F6EADBE" w14:textId="77777777" w:rsidR="00604CD3" w:rsidRDefault="00604CD3" w:rsidP="009E7E3C">
      <w:pPr>
        <w:spacing w:line="360" w:lineRule="auto"/>
        <w:contextualSpacing/>
        <w:jc w:val="both"/>
        <w:rPr>
          <w:rFonts w:ascii="Arial" w:hAnsi="Arial" w:cs="Arial"/>
          <w:i/>
          <w:sz w:val="20"/>
          <w:szCs w:val="20"/>
        </w:rPr>
      </w:pPr>
      <w:r>
        <w:rPr>
          <w:rFonts w:ascii="Arial" w:hAnsi="Arial" w:cs="Arial"/>
          <w:b/>
          <w:i/>
          <w:sz w:val="20"/>
          <w:szCs w:val="20"/>
        </w:rPr>
        <w:t>Outlook</w:t>
      </w:r>
    </w:p>
    <w:p w14:paraId="540C4530" w14:textId="606336B7" w:rsidR="00EF0124" w:rsidRDefault="00D4736F" w:rsidP="00EF0124">
      <w:pPr>
        <w:spacing w:line="360" w:lineRule="auto"/>
        <w:ind w:firstLine="720"/>
        <w:contextualSpacing/>
        <w:jc w:val="both"/>
        <w:rPr>
          <w:rFonts w:ascii="Arial" w:hAnsi="Arial" w:cs="Arial"/>
          <w:sz w:val="20"/>
          <w:szCs w:val="20"/>
        </w:rPr>
      </w:pPr>
      <w:r>
        <w:rPr>
          <w:rFonts w:ascii="Arial" w:hAnsi="Arial" w:cs="Arial"/>
          <w:sz w:val="20"/>
          <w:szCs w:val="20"/>
        </w:rPr>
        <w:t>Our experience suggests that efforts to expand existing chemoge</w:t>
      </w:r>
      <w:r w:rsidR="000C47E4">
        <w:rPr>
          <w:rFonts w:ascii="Arial" w:hAnsi="Arial" w:cs="Arial"/>
          <w:sz w:val="20"/>
          <w:szCs w:val="20"/>
        </w:rPr>
        <w:t>netic</w:t>
      </w:r>
      <w:r>
        <w:rPr>
          <w:rFonts w:ascii="Arial" w:hAnsi="Arial" w:cs="Arial"/>
          <w:sz w:val="20"/>
          <w:szCs w:val="20"/>
        </w:rPr>
        <w:t xml:space="preserve"> libraries or build new themed collection of small molecules </w:t>
      </w:r>
      <w:r w:rsidR="00084216">
        <w:rPr>
          <w:rFonts w:ascii="Arial" w:hAnsi="Arial" w:cs="Arial"/>
          <w:sz w:val="20"/>
          <w:szCs w:val="20"/>
        </w:rPr>
        <w:t>are time and resource intensive commitments</w:t>
      </w:r>
      <w:r w:rsidR="00EF0124">
        <w:rPr>
          <w:rFonts w:ascii="Arial" w:hAnsi="Arial" w:cs="Arial"/>
          <w:sz w:val="20"/>
          <w:szCs w:val="20"/>
        </w:rPr>
        <w:t xml:space="preserve">. Such efforts </w:t>
      </w:r>
      <w:r>
        <w:rPr>
          <w:rFonts w:ascii="Arial" w:hAnsi="Arial" w:cs="Arial"/>
          <w:sz w:val="20"/>
          <w:szCs w:val="20"/>
        </w:rPr>
        <w:t xml:space="preserve">need </w:t>
      </w:r>
      <w:r w:rsidR="00DC5615">
        <w:rPr>
          <w:rFonts w:ascii="Arial" w:hAnsi="Arial" w:cs="Arial"/>
          <w:sz w:val="20"/>
          <w:szCs w:val="20"/>
        </w:rPr>
        <w:t>a diverse and</w:t>
      </w:r>
      <w:r>
        <w:rPr>
          <w:rFonts w:ascii="Arial" w:hAnsi="Arial" w:cs="Arial"/>
          <w:sz w:val="20"/>
          <w:szCs w:val="20"/>
        </w:rPr>
        <w:t xml:space="preserve"> commi</w:t>
      </w:r>
      <w:r w:rsidR="00E67FB7">
        <w:rPr>
          <w:rFonts w:ascii="Arial" w:hAnsi="Arial" w:cs="Arial"/>
          <w:sz w:val="20"/>
          <w:szCs w:val="20"/>
        </w:rPr>
        <w:t>t</w:t>
      </w:r>
      <w:r>
        <w:rPr>
          <w:rFonts w:ascii="Arial" w:hAnsi="Arial" w:cs="Arial"/>
          <w:sz w:val="20"/>
          <w:szCs w:val="20"/>
        </w:rPr>
        <w:t xml:space="preserve">ted team </w:t>
      </w:r>
      <w:r w:rsidR="00EF0124">
        <w:rPr>
          <w:rFonts w:ascii="Arial" w:hAnsi="Arial" w:cs="Arial"/>
          <w:sz w:val="20"/>
          <w:szCs w:val="20"/>
        </w:rPr>
        <w:t>to</w:t>
      </w:r>
      <w:r>
        <w:rPr>
          <w:rFonts w:ascii="Arial" w:hAnsi="Arial" w:cs="Arial"/>
          <w:sz w:val="20"/>
          <w:szCs w:val="20"/>
        </w:rPr>
        <w:t xml:space="preserve"> combin</w:t>
      </w:r>
      <w:r w:rsidR="00EF0124">
        <w:rPr>
          <w:rFonts w:ascii="Arial" w:hAnsi="Arial" w:cs="Arial"/>
          <w:sz w:val="20"/>
          <w:szCs w:val="20"/>
        </w:rPr>
        <w:t>e</w:t>
      </w:r>
      <w:r>
        <w:rPr>
          <w:rFonts w:ascii="Arial" w:hAnsi="Arial" w:cs="Arial"/>
          <w:sz w:val="20"/>
          <w:szCs w:val="20"/>
        </w:rPr>
        <w:t xml:space="preserve"> informatic data mining and insight driven knowledge. </w:t>
      </w:r>
    </w:p>
    <w:p w14:paraId="75C72351" w14:textId="5936E657" w:rsidR="0061600C" w:rsidRDefault="0061600C" w:rsidP="00EF0124">
      <w:pPr>
        <w:spacing w:line="360" w:lineRule="auto"/>
        <w:ind w:firstLine="720"/>
        <w:contextualSpacing/>
        <w:jc w:val="both"/>
        <w:rPr>
          <w:rFonts w:ascii="Arial" w:hAnsi="Arial" w:cs="Arial"/>
          <w:sz w:val="20"/>
          <w:szCs w:val="20"/>
        </w:rPr>
      </w:pPr>
      <w:r>
        <w:rPr>
          <w:rFonts w:ascii="Arial" w:hAnsi="Arial" w:cs="Arial"/>
          <w:sz w:val="20"/>
          <w:szCs w:val="20"/>
        </w:rPr>
        <w:t>While we continue to update and improve the NIBR chemogen</w:t>
      </w:r>
      <w:r w:rsidR="000C47E4">
        <w:rPr>
          <w:rFonts w:ascii="Arial" w:hAnsi="Arial" w:cs="Arial"/>
          <w:sz w:val="20"/>
          <w:szCs w:val="20"/>
        </w:rPr>
        <w:t>etics</w:t>
      </w:r>
      <w:r>
        <w:rPr>
          <w:rFonts w:ascii="Arial" w:hAnsi="Arial" w:cs="Arial"/>
          <w:sz w:val="20"/>
          <w:szCs w:val="20"/>
        </w:rPr>
        <w:t xml:space="preserve"> library</w:t>
      </w:r>
      <w:r w:rsidR="000C47E4">
        <w:rPr>
          <w:rFonts w:ascii="Arial" w:hAnsi="Arial" w:cs="Arial"/>
          <w:sz w:val="20"/>
          <w:szCs w:val="20"/>
        </w:rPr>
        <w:t>,</w:t>
      </w:r>
      <w:r>
        <w:rPr>
          <w:rFonts w:ascii="Arial" w:hAnsi="Arial" w:cs="Arial"/>
          <w:sz w:val="20"/>
          <w:szCs w:val="20"/>
        </w:rPr>
        <w:t xml:space="preserve"> </w:t>
      </w:r>
      <w:r w:rsidR="000C47E4">
        <w:rPr>
          <w:rFonts w:ascii="Arial" w:hAnsi="Arial" w:cs="Arial"/>
          <w:sz w:val="20"/>
          <w:szCs w:val="20"/>
        </w:rPr>
        <w:t>we hope</w:t>
      </w:r>
      <w:r>
        <w:rPr>
          <w:rFonts w:ascii="Arial" w:hAnsi="Arial" w:cs="Arial"/>
          <w:sz w:val="20"/>
          <w:szCs w:val="20"/>
        </w:rPr>
        <w:t xml:space="preserve"> that </w:t>
      </w:r>
      <w:r w:rsidR="000C47E4">
        <w:rPr>
          <w:rFonts w:ascii="Arial" w:hAnsi="Arial" w:cs="Arial"/>
          <w:sz w:val="20"/>
          <w:szCs w:val="20"/>
        </w:rPr>
        <w:t>by</w:t>
      </w:r>
      <w:r>
        <w:rPr>
          <w:rFonts w:ascii="Arial" w:hAnsi="Arial" w:cs="Arial"/>
          <w:sz w:val="20"/>
          <w:szCs w:val="20"/>
        </w:rPr>
        <w:t xml:space="preserve"> disclosing the </w:t>
      </w:r>
      <w:r w:rsidR="00176954">
        <w:rPr>
          <w:rFonts w:ascii="Arial" w:hAnsi="Arial" w:cs="Arial"/>
          <w:sz w:val="20"/>
          <w:szCs w:val="20"/>
        </w:rPr>
        <w:t xml:space="preserve">current </w:t>
      </w:r>
      <w:r>
        <w:rPr>
          <w:rFonts w:ascii="Arial" w:hAnsi="Arial" w:cs="Arial"/>
          <w:sz w:val="20"/>
          <w:szCs w:val="20"/>
        </w:rPr>
        <w:t xml:space="preserve">publicly </w:t>
      </w:r>
      <w:r w:rsidR="00D4736F">
        <w:rPr>
          <w:rFonts w:ascii="Arial" w:hAnsi="Arial" w:cs="Arial"/>
          <w:sz w:val="20"/>
          <w:szCs w:val="20"/>
        </w:rPr>
        <w:t>available</w:t>
      </w:r>
      <w:r>
        <w:rPr>
          <w:rFonts w:ascii="Arial" w:hAnsi="Arial" w:cs="Arial"/>
          <w:sz w:val="20"/>
          <w:szCs w:val="20"/>
        </w:rPr>
        <w:t xml:space="preserve"> portion of our collection</w:t>
      </w:r>
      <w:r w:rsidR="003953DA">
        <w:rPr>
          <w:rFonts w:ascii="Arial" w:hAnsi="Arial" w:cs="Arial"/>
          <w:color w:val="C0504D" w:themeColor="accent2"/>
          <w:sz w:val="20"/>
          <w:szCs w:val="20"/>
        </w:rPr>
        <w:t xml:space="preserve"> </w:t>
      </w:r>
      <w:r w:rsidR="00F05983">
        <w:rPr>
          <w:rFonts w:ascii="Arial" w:hAnsi="Arial" w:cs="Arial"/>
          <w:sz w:val="20"/>
          <w:szCs w:val="20"/>
        </w:rPr>
        <w:t>(see SI and</w:t>
      </w:r>
      <w:r w:rsidR="00597853">
        <w:rPr>
          <w:rFonts w:ascii="Arial" w:hAnsi="Arial" w:cs="Arial"/>
          <w:color w:val="C0504D" w:themeColor="accent2"/>
          <w:sz w:val="20"/>
          <w:szCs w:val="20"/>
        </w:rPr>
        <w:t xml:space="preserve"> </w:t>
      </w:r>
      <w:hyperlink r:id="rId11" w:history="1">
        <w:r w:rsidR="00597853">
          <w:rPr>
            <w:rStyle w:val="Hyperlink"/>
          </w:rPr>
          <w:t>https://github.com/Novartis/MoaBox</w:t>
        </w:r>
      </w:hyperlink>
      <w:r w:rsidR="00597853">
        <w:t>)</w:t>
      </w:r>
      <w:r w:rsidR="003953DA">
        <w:rPr>
          <w:rFonts w:ascii="Arial" w:hAnsi="Arial" w:cs="Arial"/>
          <w:sz w:val="20"/>
          <w:szCs w:val="20"/>
        </w:rPr>
        <w:t xml:space="preserve"> </w:t>
      </w:r>
      <w:r>
        <w:rPr>
          <w:rFonts w:ascii="Arial" w:hAnsi="Arial" w:cs="Arial"/>
          <w:sz w:val="20"/>
          <w:szCs w:val="20"/>
        </w:rPr>
        <w:t>will spur pre-competitive collaboration across academia</w:t>
      </w:r>
      <w:r w:rsidR="00B956A1">
        <w:rPr>
          <w:rFonts w:ascii="Arial" w:hAnsi="Arial" w:cs="Arial"/>
          <w:sz w:val="20"/>
          <w:szCs w:val="20"/>
        </w:rPr>
        <w:sym w:font="Symbol" w:char="F02D"/>
      </w:r>
      <w:r w:rsidR="000C47E4">
        <w:rPr>
          <w:rFonts w:ascii="Arial" w:hAnsi="Arial" w:cs="Arial"/>
          <w:sz w:val="20"/>
          <w:szCs w:val="20"/>
        </w:rPr>
        <w:t>Pharma/b</w:t>
      </w:r>
      <w:r w:rsidR="00B956A1">
        <w:rPr>
          <w:rFonts w:ascii="Arial" w:hAnsi="Arial" w:cs="Arial"/>
          <w:sz w:val="20"/>
          <w:szCs w:val="20"/>
        </w:rPr>
        <w:t>iotech</w:t>
      </w:r>
      <w:r w:rsidR="00DF2E8D">
        <w:rPr>
          <w:rFonts w:ascii="Arial" w:hAnsi="Arial" w:cs="Arial"/>
          <w:sz w:val="20"/>
          <w:szCs w:val="20"/>
        </w:rPr>
        <w:sym w:font="Symbol" w:char="F02D"/>
      </w:r>
      <w:r>
        <w:rPr>
          <w:rFonts w:ascii="Arial" w:hAnsi="Arial" w:cs="Arial"/>
          <w:sz w:val="20"/>
          <w:szCs w:val="20"/>
        </w:rPr>
        <w:t>commercial su</w:t>
      </w:r>
      <w:r w:rsidR="00D4736F">
        <w:rPr>
          <w:rFonts w:ascii="Arial" w:hAnsi="Arial" w:cs="Arial"/>
          <w:sz w:val="20"/>
          <w:szCs w:val="20"/>
        </w:rPr>
        <w:t xml:space="preserve">ppliers </w:t>
      </w:r>
      <w:r w:rsidR="000C47E4">
        <w:rPr>
          <w:rFonts w:ascii="Arial" w:hAnsi="Arial" w:cs="Arial"/>
          <w:sz w:val="20"/>
          <w:szCs w:val="20"/>
        </w:rPr>
        <w:t>to advance</w:t>
      </w:r>
      <w:r w:rsidR="00D4736F">
        <w:rPr>
          <w:rFonts w:ascii="Arial" w:hAnsi="Arial" w:cs="Arial"/>
          <w:sz w:val="20"/>
          <w:szCs w:val="20"/>
        </w:rPr>
        <w:t xml:space="preserve"> </w:t>
      </w:r>
      <w:r w:rsidR="00176954">
        <w:rPr>
          <w:rFonts w:ascii="Arial" w:hAnsi="Arial" w:cs="Arial"/>
          <w:sz w:val="20"/>
          <w:szCs w:val="20"/>
        </w:rPr>
        <w:t xml:space="preserve">the field of </w:t>
      </w:r>
      <w:r w:rsidR="00EF0124">
        <w:rPr>
          <w:rFonts w:ascii="Arial" w:hAnsi="Arial" w:cs="Arial"/>
          <w:sz w:val="20"/>
          <w:szCs w:val="20"/>
        </w:rPr>
        <w:t>chemogenetic libraries</w:t>
      </w:r>
      <w:r w:rsidR="00176954">
        <w:rPr>
          <w:rFonts w:ascii="Arial" w:hAnsi="Arial" w:cs="Arial"/>
          <w:sz w:val="20"/>
          <w:szCs w:val="20"/>
        </w:rPr>
        <w:t xml:space="preserve"> and chemical probes</w:t>
      </w:r>
      <w:r w:rsidR="00D4736F">
        <w:rPr>
          <w:rFonts w:ascii="Arial" w:hAnsi="Arial" w:cs="Arial"/>
          <w:sz w:val="20"/>
          <w:szCs w:val="20"/>
        </w:rPr>
        <w:t>.</w:t>
      </w:r>
      <w:r>
        <w:rPr>
          <w:rFonts w:ascii="Arial" w:hAnsi="Arial" w:cs="Arial"/>
          <w:sz w:val="20"/>
          <w:szCs w:val="20"/>
        </w:rPr>
        <w:t xml:space="preserve"> We </w:t>
      </w:r>
      <w:r w:rsidR="00285D3D">
        <w:rPr>
          <w:rFonts w:ascii="Arial" w:hAnsi="Arial" w:cs="Arial"/>
          <w:sz w:val="20"/>
          <w:szCs w:val="20"/>
        </w:rPr>
        <w:t>have confidenc</w:t>
      </w:r>
      <w:r w:rsidR="00D4736F">
        <w:rPr>
          <w:rFonts w:ascii="Arial" w:hAnsi="Arial" w:cs="Arial"/>
          <w:sz w:val="20"/>
          <w:szCs w:val="20"/>
        </w:rPr>
        <w:t>e</w:t>
      </w:r>
      <w:r w:rsidR="00285D3D">
        <w:rPr>
          <w:rFonts w:ascii="Arial" w:hAnsi="Arial" w:cs="Arial"/>
          <w:sz w:val="20"/>
          <w:szCs w:val="20"/>
        </w:rPr>
        <w:t xml:space="preserve"> </w:t>
      </w:r>
      <w:r>
        <w:rPr>
          <w:rFonts w:ascii="Arial" w:hAnsi="Arial" w:cs="Arial"/>
          <w:sz w:val="20"/>
          <w:szCs w:val="20"/>
        </w:rPr>
        <w:t>th</w:t>
      </w:r>
      <w:r w:rsidR="00285D3D">
        <w:rPr>
          <w:rFonts w:ascii="Arial" w:hAnsi="Arial" w:cs="Arial"/>
          <w:sz w:val="20"/>
          <w:szCs w:val="20"/>
        </w:rPr>
        <w:t>e</w:t>
      </w:r>
      <w:r>
        <w:rPr>
          <w:rFonts w:ascii="Arial" w:hAnsi="Arial" w:cs="Arial"/>
          <w:sz w:val="20"/>
          <w:szCs w:val="20"/>
        </w:rPr>
        <w:t xml:space="preserve"> current </w:t>
      </w:r>
      <w:r w:rsidR="004C6A02">
        <w:rPr>
          <w:rFonts w:ascii="Arial" w:hAnsi="Arial" w:cs="Arial"/>
          <w:sz w:val="20"/>
          <w:szCs w:val="20"/>
        </w:rPr>
        <w:t>disclosed</w:t>
      </w:r>
      <w:r w:rsidR="00EF0124">
        <w:rPr>
          <w:rFonts w:ascii="Arial" w:hAnsi="Arial" w:cs="Arial"/>
          <w:sz w:val="20"/>
          <w:szCs w:val="20"/>
        </w:rPr>
        <w:t xml:space="preserve"> NIBR MoA Box</w:t>
      </w:r>
      <w:r>
        <w:rPr>
          <w:rFonts w:ascii="Arial" w:hAnsi="Arial" w:cs="Arial"/>
          <w:sz w:val="20"/>
          <w:szCs w:val="20"/>
        </w:rPr>
        <w:t xml:space="preserve"> is a solid foundation</w:t>
      </w:r>
      <w:r w:rsidR="000C47E4">
        <w:rPr>
          <w:rFonts w:ascii="Arial" w:hAnsi="Arial" w:cs="Arial"/>
          <w:sz w:val="20"/>
          <w:szCs w:val="20"/>
        </w:rPr>
        <w:t xml:space="preserve"> for </w:t>
      </w:r>
      <w:r w:rsidR="000C47E4">
        <w:rPr>
          <w:rFonts w:ascii="Arial" w:hAnsi="Arial" w:cs="Arial"/>
          <w:sz w:val="20"/>
          <w:szCs w:val="20"/>
        </w:rPr>
        <w:lastRenderedPageBreak/>
        <w:t>interrogating phenotypic screens</w:t>
      </w:r>
      <w:r>
        <w:rPr>
          <w:rFonts w:ascii="Arial" w:hAnsi="Arial" w:cs="Arial"/>
          <w:sz w:val="20"/>
          <w:szCs w:val="20"/>
        </w:rPr>
        <w:t xml:space="preserve"> </w:t>
      </w:r>
      <w:r w:rsidR="00D4736F">
        <w:rPr>
          <w:rFonts w:ascii="Arial" w:hAnsi="Arial" w:cs="Arial"/>
          <w:sz w:val="20"/>
          <w:szCs w:val="20"/>
        </w:rPr>
        <w:t>and</w:t>
      </w:r>
      <w:r>
        <w:rPr>
          <w:rFonts w:ascii="Arial" w:hAnsi="Arial" w:cs="Arial"/>
          <w:sz w:val="20"/>
          <w:szCs w:val="20"/>
        </w:rPr>
        <w:t xml:space="preserve"> </w:t>
      </w:r>
      <w:r w:rsidR="000C47E4">
        <w:rPr>
          <w:rFonts w:ascii="Arial" w:hAnsi="Arial" w:cs="Arial"/>
          <w:sz w:val="20"/>
          <w:szCs w:val="20"/>
        </w:rPr>
        <w:t xml:space="preserve">is </w:t>
      </w:r>
      <w:r>
        <w:rPr>
          <w:rFonts w:ascii="Arial" w:hAnsi="Arial" w:cs="Arial"/>
          <w:sz w:val="20"/>
          <w:szCs w:val="20"/>
        </w:rPr>
        <w:t>expand</w:t>
      </w:r>
      <w:r w:rsidR="00D4736F">
        <w:rPr>
          <w:rFonts w:ascii="Arial" w:hAnsi="Arial" w:cs="Arial"/>
          <w:sz w:val="20"/>
          <w:szCs w:val="20"/>
        </w:rPr>
        <w:t>able</w:t>
      </w:r>
      <w:r>
        <w:rPr>
          <w:rFonts w:ascii="Arial" w:hAnsi="Arial" w:cs="Arial"/>
          <w:sz w:val="20"/>
          <w:szCs w:val="20"/>
        </w:rPr>
        <w:t xml:space="preserve"> </w:t>
      </w:r>
      <w:r w:rsidR="00D4736F">
        <w:rPr>
          <w:rFonts w:ascii="Arial" w:hAnsi="Arial" w:cs="Arial"/>
          <w:sz w:val="20"/>
          <w:szCs w:val="20"/>
        </w:rPr>
        <w:t>to enable target coverage</w:t>
      </w:r>
      <w:r w:rsidR="00285D3D">
        <w:rPr>
          <w:rFonts w:ascii="Arial" w:hAnsi="Arial" w:cs="Arial"/>
          <w:sz w:val="20"/>
          <w:szCs w:val="20"/>
        </w:rPr>
        <w:t xml:space="preserve"> across the druggable human genome.</w:t>
      </w:r>
      <w:r w:rsidR="00E63416">
        <w:rPr>
          <w:rFonts w:ascii="Arial" w:hAnsi="Arial" w:cs="Arial"/>
          <w:sz w:val="20"/>
          <w:szCs w:val="20"/>
        </w:rPr>
        <w:t xml:space="preserve"> </w:t>
      </w:r>
      <w:r w:rsidR="00285D3D">
        <w:rPr>
          <w:rFonts w:ascii="Arial" w:hAnsi="Arial" w:cs="Arial"/>
          <w:sz w:val="20"/>
          <w:szCs w:val="20"/>
        </w:rPr>
        <w:t xml:space="preserve"> </w:t>
      </w:r>
    </w:p>
    <w:p w14:paraId="73A2D54E" w14:textId="77777777" w:rsidR="00806135" w:rsidRPr="00806135" w:rsidRDefault="00806135" w:rsidP="00806135">
      <w:pPr>
        <w:pStyle w:val="EndnoteText"/>
        <w:jc w:val="both"/>
        <w:rPr>
          <w:rFonts w:ascii="Arial" w:hAnsi="Arial" w:cs="Arial"/>
          <w:b/>
        </w:rPr>
      </w:pPr>
      <w:r w:rsidRPr="00806135">
        <w:rPr>
          <w:rFonts w:ascii="Arial" w:hAnsi="Arial" w:cs="Arial"/>
          <w:b/>
        </w:rPr>
        <w:t>Figure Legend</w:t>
      </w:r>
    </w:p>
    <w:p w14:paraId="48DE0D58" w14:textId="77777777" w:rsidR="00511D5C" w:rsidRDefault="00511D5C" w:rsidP="00806135">
      <w:pPr>
        <w:pStyle w:val="EndnoteText"/>
        <w:jc w:val="both"/>
        <w:rPr>
          <w:rFonts w:ascii="Arial" w:hAnsi="Arial" w:cs="Arial"/>
          <w:i/>
          <w:iCs/>
          <w:color w:val="1F487C"/>
        </w:rPr>
      </w:pPr>
    </w:p>
    <w:p w14:paraId="09B2B420" w14:textId="77777777" w:rsidR="00806135" w:rsidRPr="00806135" w:rsidRDefault="00806135" w:rsidP="00806135">
      <w:pPr>
        <w:pStyle w:val="EndnoteText"/>
        <w:jc w:val="both"/>
        <w:rPr>
          <w:rFonts w:ascii="Arial" w:hAnsi="Arial" w:cs="Arial"/>
          <w:iCs/>
        </w:rPr>
      </w:pPr>
      <w:r w:rsidRPr="00806135">
        <w:rPr>
          <w:rFonts w:ascii="Arial" w:hAnsi="Arial" w:cs="Arial"/>
          <w:b/>
          <w:iCs/>
        </w:rPr>
        <w:t>Figure 1.</w:t>
      </w:r>
      <w:r w:rsidR="00EF0124">
        <w:rPr>
          <w:rFonts w:ascii="Arial" w:hAnsi="Arial" w:cs="Arial"/>
          <w:iCs/>
        </w:rPr>
        <w:t xml:space="preserve"> Members in NIBR MOA Box</w:t>
      </w:r>
      <w:r w:rsidRPr="00806135">
        <w:rPr>
          <w:rFonts w:ascii="Arial" w:hAnsi="Arial" w:cs="Arial"/>
          <w:iCs/>
        </w:rPr>
        <w:t xml:space="preserve"> A) Summary of target classes covered as percentage of targets and percentage of compounds. B) Source of compound assembly. C) Growth of members over the past 5 years. </w:t>
      </w:r>
    </w:p>
    <w:p w14:paraId="27B4EA39" w14:textId="77777777" w:rsidR="00806135" w:rsidRPr="00806135" w:rsidRDefault="00806135" w:rsidP="00806135">
      <w:pPr>
        <w:pStyle w:val="EndnoteText"/>
        <w:jc w:val="both"/>
        <w:rPr>
          <w:rFonts w:ascii="Arial" w:hAnsi="Arial" w:cs="Arial"/>
          <w:iCs/>
        </w:rPr>
      </w:pPr>
    </w:p>
    <w:p w14:paraId="628A41D4" w14:textId="2A2F8BF9" w:rsidR="00806135" w:rsidRPr="00806135" w:rsidRDefault="00806135" w:rsidP="00806135">
      <w:pPr>
        <w:pStyle w:val="EndnoteText"/>
        <w:jc w:val="both"/>
        <w:rPr>
          <w:rFonts w:ascii="Arial" w:hAnsi="Arial" w:cs="Arial"/>
          <w:iCs/>
        </w:rPr>
      </w:pPr>
      <w:r w:rsidRPr="00806135">
        <w:rPr>
          <w:rFonts w:ascii="Arial" w:hAnsi="Arial" w:cs="Arial"/>
          <w:b/>
          <w:iCs/>
        </w:rPr>
        <w:t>Figure 2.</w:t>
      </w:r>
      <w:r w:rsidRPr="00806135">
        <w:rPr>
          <w:rFonts w:ascii="Arial" w:hAnsi="Arial" w:cs="Arial"/>
          <w:iCs/>
        </w:rPr>
        <w:t xml:space="preserve"> The Novartis HitHub database integra</w:t>
      </w:r>
      <w:r w:rsidR="00CB6281">
        <w:rPr>
          <w:rFonts w:ascii="Arial" w:hAnsi="Arial" w:cs="Arial"/>
          <w:iCs/>
        </w:rPr>
        <w:t>tes</w:t>
      </w:r>
      <w:r w:rsidRPr="00806135">
        <w:rPr>
          <w:rFonts w:ascii="Arial" w:hAnsi="Arial" w:cs="Arial"/>
          <w:iCs/>
        </w:rPr>
        <w:t xml:space="preserve"> large-scale compound dose response data in a machine learnable structure. </w:t>
      </w:r>
      <w:r w:rsidR="00E82C68">
        <w:rPr>
          <w:rFonts w:ascii="Arial" w:hAnsi="Arial" w:cs="Arial"/>
          <w:iCs/>
        </w:rPr>
        <w:t>Data sources include public and commercial databases and N</w:t>
      </w:r>
      <w:r w:rsidR="00484CED">
        <w:rPr>
          <w:rFonts w:ascii="Arial" w:hAnsi="Arial" w:cs="Arial"/>
          <w:iCs/>
        </w:rPr>
        <w:t>IBR</w:t>
      </w:r>
      <w:r w:rsidR="00E82C68">
        <w:rPr>
          <w:rFonts w:ascii="Arial" w:hAnsi="Arial" w:cs="Arial"/>
          <w:iCs/>
        </w:rPr>
        <w:t xml:space="preserve"> data (Magma). </w:t>
      </w:r>
      <w:r w:rsidRPr="00806135">
        <w:rPr>
          <w:rFonts w:ascii="Arial" w:hAnsi="Arial" w:cs="Arial"/>
          <w:iCs/>
        </w:rPr>
        <w:t>Compounds and targets from upstream data sources are normalized to IUPAC InChiKey and NCBI gene IDs and dose response activity values are normalized</w:t>
      </w:r>
      <w:r w:rsidR="0029773B">
        <w:rPr>
          <w:rFonts w:ascii="Arial" w:hAnsi="Arial" w:cs="Arial"/>
          <w:iCs/>
        </w:rPr>
        <w:t>.</w:t>
      </w:r>
      <w:r w:rsidRPr="00806135">
        <w:rPr>
          <w:rFonts w:ascii="Arial" w:hAnsi="Arial" w:cs="Arial"/>
          <w:iCs/>
        </w:rPr>
        <w:t xml:space="preserve"> In the artificial intelligence workflow</w:t>
      </w:r>
      <w:r w:rsidR="00CB6281">
        <w:rPr>
          <w:rFonts w:ascii="Arial" w:hAnsi="Arial" w:cs="Arial"/>
          <w:iCs/>
        </w:rPr>
        <w:t xml:space="preserve"> (blue)</w:t>
      </w:r>
      <w:r w:rsidRPr="00806135">
        <w:rPr>
          <w:rFonts w:ascii="Arial" w:hAnsi="Arial" w:cs="Arial"/>
          <w:iCs/>
        </w:rPr>
        <w:t>, Hithub is queried for a limited number of tool compounds per target with the highest tool scores, with additional rules for chemical properties and availability. In the augmented intelligence workflow</w:t>
      </w:r>
      <w:r w:rsidR="00CB6281">
        <w:rPr>
          <w:rFonts w:ascii="Arial" w:hAnsi="Arial" w:cs="Arial"/>
          <w:iCs/>
        </w:rPr>
        <w:t xml:space="preserve"> (green)</w:t>
      </w:r>
      <w:r w:rsidRPr="00806135">
        <w:rPr>
          <w:rFonts w:ascii="Arial" w:hAnsi="Arial" w:cs="Arial"/>
          <w:iCs/>
        </w:rPr>
        <w:t xml:space="preserve">, scientists make </w:t>
      </w:r>
      <w:r w:rsidR="00A12DDF">
        <w:rPr>
          <w:rFonts w:ascii="Arial" w:hAnsi="Arial" w:cs="Arial"/>
          <w:iCs/>
        </w:rPr>
        <w:t xml:space="preserve">nominations based on experience which are peer-reviewed to </w:t>
      </w:r>
      <w:r w:rsidRPr="00806135">
        <w:rPr>
          <w:rFonts w:ascii="Arial" w:hAnsi="Arial" w:cs="Arial"/>
          <w:iCs/>
        </w:rPr>
        <w:t xml:space="preserve">determine MOA Box membership. </w:t>
      </w:r>
    </w:p>
    <w:p w14:paraId="6D0C59E6" w14:textId="77777777" w:rsidR="00806135" w:rsidRPr="00806135" w:rsidRDefault="00806135" w:rsidP="00806135">
      <w:pPr>
        <w:pStyle w:val="EndnoteText"/>
        <w:jc w:val="both"/>
        <w:rPr>
          <w:rFonts w:ascii="Arial" w:hAnsi="Arial" w:cs="Arial"/>
          <w:iCs/>
        </w:rPr>
      </w:pPr>
    </w:p>
    <w:p w14:paraId="0DE1BE60" w14:textId="77777777" w:rsidR="00806135" w:rsidRPr="00806135" w:rsidRDefault="00806135" w:rsidP="00806135">
      <w:pPr>
        <w:pStyle w:val="EndnoteText"/>
        <w:jc w:val="both"/>
        <w:rPr>
          <w:rFonts w:ascii="Arial" w:hAnsi="Arial" w:cs="Arial"/>
          <w:iCs/>
        </w:rPr>
      </w:pPr>
      <w:r w:rsidRPr="00806135">
        <w:rPr>
          <w:rFonts w:ascii="Arial" w:hAnsi="Arial" w:cs="Arial"/>
          <w:b/>
          <w:iCs/>
        </w:rPr>
        <w:t>Figure 3.</w:t>
      </w:r>
      <w:r w:rsidRPr="00806135">
        <w:rPr>
          <w:rFonts w:ascii="Arial" w:hAnsi="Arial" w:cs="Arial"/>
          <w:iCs/>
        </w:rPr>
        <w:t xml:space="preserve"> </w:t>
      </w:r>
      <w:r w:rsidR="00EF0124">
        <w:rPr>
          <w:rFonts w:ascii="Arial" w:hAnsi="Arial" w:cs="Arial"/>
          <w:iCs/>
        </w:rPr>
        <w:t>MoA Box screening hits across multiple p</w:t>
      </w:r>
      <w:r w:rsidRPr="00806135">
        <w:rPr>
          <w:rFonts w:ascii="Arial" w:hAnsi="Arial" w:cs="Arial"/>
          <w:iCs/>
        </w:rPr>
        <w:t xml:space="preserve">henotypic </w:t>
      </w:r>
      <w:r w:rsidR="00EF0124">
        <w:rPr>
          <w:rFonts w:ascii="Arial" w:hAnsi="Arial" w:cs="Arial"/>
          <w:iCs/>
        </w:rPr>
        <w:t>assays</w:t>
      </w:r>
      <w:r w:rsidRPr="00806135">
        <w:rPr>
          <w:rFonts w:ascii="Arial" w:hAnsi="Arial" w:cs="Arial"/>
          <w:iCs/>
        </w:rPr>
        <w:t xml:space="preserve"> A) Number of compounds hitting 1, 5, 10, 50 or more assays. Out of the 8 compounds which hit more than 50 assays, 3 examples are shown. B) Target enrichment analysis. Compound hits in a phenotypic assay are collected and computationally analyzed to identify targets that </w:t>
      </w:r>
      <w:r w:rsidR="00EF0124">
        <w:rPr>
          <w:rFonts w:ascii="Arial" w:hAnsi="Arial" w:cs="Arial"/>
          <w:iCs/>
        </w:rPr>
        <w:t>are enriched among these hits. i</w:t>
      </w:r>
      <w:r w:rsidRPr="00806135">
        <w:rPr>
          <w:rFonts w:ascii="Arial" w:hAnsi="Arial" w:cs="Arial"/>
          <w:iCs/>
        </w:rPr>
        <w:t xml:space="preserve">.e., if many compounds that are known to biochemically modulate a target are also phenotypically modulating the assay, this target is more likely to be related </w:t>
      </w:r>
      <w:r w:rsidR="00DC5615">
        <w:rPr>
          <w:rFonts w:ascii="Arial" w:hAnsi="Arial" w:cs="Arial"/>
          <w:iCs/>
        </w:rPr>
        <w:t xml:space="preserve">to the phenotype. </w:t>
      </w:r>
    </w:p>
    <w:p w14:paraId="336265AC" w14:textId="32B2C1D6" w:rsidR="00F02392" w:rsidRDefault="00F02392" w:rsidP="00806135">
      <w:pPr>
        <w:pStyle w:val="EndnoteText"/>
        <w:jc w:val="both"/>
        <w:rPr>
          <w:rFonts w:ascii="Arial" w:hAnsi="Arial" w:cs="Arial"/>
          <w:i/>
          <w:iCs/>
          <w:color w:val="1F487C"/>
        </w:rPr>
      </w:pPr>
    </w:p>
    <w:p w14:paraId="3CECA13E" w14:textId="08C2E871" w:rsidR="00F02392" w:rsidRDefault="00F02392" w:rsidP="00806135">
      <w:pPr>
        <w:pStyle w:val="EndnoteText"/>
        <w:jc w:val="both"/>
        <w:rPr>
          <w:rFonts w:ascii="Arial" w:hAnsi="Arial" w:cs="Arial"/>
          <w:b/>
          <w:iCs/>
        </w:rPr>
      </w:pPr>
      <w:r>
        <w:rPr>
          <w:rFonts w:ascii="Arial" w:hAnsi="Arial" w:cs="Arial"/>
          <w:b/>
          <w:iCs/>
        </w:rPr>
        <w:t>Figure 1</w:t>
      </w:r>
      <w:r w:rsidRPr="00806135">
        <w:rPr>
          <w:rFonts w:ascii="Arial" w:hAnsi="Arial" w:cs="Arial"/>
          <w:b/>
          <w:iCs/>
        </w:rPr>
        <w:t>.</w:t>
      </w:r>
    </w:p>
    <w:p w14:paraId="385BEEE0" w14:textId="54B63B9A" w:rsidR="00F02392" w:rsidRPr="00F02392" w:rsidRDefault="00F02392" w:rsidP="00806135">
      <w:pPr>
        <w:pStyle w:val="EndnoteText"/>
        <w:jc w:val="both"/>
        <w:rPr>
          <w:rFonts w:ascii="Arial" w:hAnsi="Arial" w:cs="Arial"/>
          <w:b/>
          <w:iCs/>
        </w:rPr>
      </w:pPr>
      <w:r>
        <w:rPr>
          <w:noProof/>
        </w:rPr>
        <w:drawing>
          <wp:inline distT="0" distB="0" distL="0" distR="0" wp14:anchorId="6E19542A" wp14:editId="01039841">
            <wp:extent cx="594360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8755"/>
                    </a:xfrm>
                    <a:prstGeom prst="rect">
                      <a:avLst/>
                    </a:prstGeom>
                  </pic:spPr>
                </pic:pic>
              </a:graphicData>
            </a:graphic>
          </wp:inline>
        </w:drawing>
      </w:r>
    </w:p>
    <w:p w14:paraId="5B827124" w14:textId="65DD4692" w:rsidR="00F02392" w:rsidRDefault="00F02392" w:rsidP="00806135">
      <w:pPr>
        <w:pStyle w:val="EndnoteText"/>
        <w:jc w:val="both"/>
        <w:rPr>
          <w:noProof/>
        </w:rPr>
      </w:pPr>
    </w:p>
    <w:p w14:paraId="57BD5D9D" w14:textId="77777777" w:rsidR="00E20F4B" w:rsidRDefault="00E20F4B" w:rsidP="00F02392">
      <w:pPr>
        <w:pStyle w:val="EndnoteText"/>
        <w:jc w:val="both"/>
        <w:rPr>
          <w:rFonts w:ascii="Arial" w:hAnsi="Arial" w:cs="Arial"/>
          <w:b/>
          <w:iCs/>
        </w:rPr>
      </w:pPr>
    </w:p>
    <w:p w14:paraId="740490A3" w14:textId="77777777" w:rsidR="00E20F4B" w:rsidRDefault="00E20F4B" w:rsidP="00F02392">
      <w:pPr>
        <w:pStyle w:val="EndnoteText"/>
        <w:jc w:val="both"/>
        <w:rPr>
          <w:rFonts w:ascii="Arial" w:hAnsi="Arial" w:cs="Arial"/>
          <w:b/>
          <w:iCs/>
        </w:rPr>
      </w:pPr>
    </w:p>
    <w:p w14:paraId="353B9313" w14:textId="16BD3770" w:rsidR="00F02392" w:rsidRDefault="00F02392" w:rsidP="00F02392">
      <w:pPr>
        <w:pStyle w:val="EndnoteText"/>
        <w:jc w:val="both"/>
        <w:rPr>
          <w:rFonts w:ascii="Arial" w:hAnsi="Arial" w:cs="Arial"/>
          <w:b/>
          <w:iCs/>
        </w:rPr>
      </w:pPr>
      <w:r>
        <w:rPr>
          <w:rFonts w:ascii="Arial" w:hAnsi="Arial" w:cs="Arial"/>
          <w:b/>
          <w:iCs/>
        </w:rPr>
        <w:t>Figure 2</w:t>
      </w:r>
      <w:r w:rsidRPr="00806135">
        <w:rPr>
          <w:rFonts w:ascii="Arial" w:hAnsi="Arial" w:cs="Arial"/>
          <w:b/>
          <w:iCs/>
        </w:rPr>
        <w:t>.</w:t>
      </w:r>
    </w:p>
    <w:p w14:paraId="02F95071" w14:textId="12C073DB" w:rsidR="00806135" w:rsidRDefault="00806135" w:rsidP="00806135">
      <w:pPr>
        <w:pStyle w:val="EndnoteText"/>
        <w:jc w:val="both"/>
        <w:rPr>
          <w:rFonts w:ascii="Arial" w:hAnsi="Arial" w:cs="Arial"/>
          <w:i/>
          <w:iCs/>
          <w:color w:val="1F487C"/>
        </w:rPr>
      </w:pPr>
    </w:p>
    <w:p w14:paraId="318FA5F1" w14:textId="598D72E2" w:rsidR="00806135" w:rsidRDefault="00F02392" w:rsidP="00806135">
      <w:pPr>
        <w:pStyle w:val="EndnoteText"/>
        <w:jc w:val="both"/>
        <w:rPr>
          <w:rFonts w:ascii="Arial" w:hAnsi="Arial" w:cs="Arial"/>
          <w:i/>
          <w:iCs/>
          <w:color w:val="1F487C"/>
        </w:rPr>
      </w:pPr>
      <w:r>
        <w:rPr>
          <w:noProof/>
        </w:rPr>
        <w:lastRenderedPageBreak/>
        <w:drawing>
          <wp:inline distT="0" distB="0" distL="0" distR="0" wp14:anchorId="227D2A56" wp14:editId="36CDDDBD">
            <wp:extent cx="4985006" cy="279414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5006" cy="2794144"/>
                    </a:xfrm>
                    <a:prstGeom prst="rect">
                      <a:avLst/>
                    </a:prstGeom>
                  </pic:spPr>
                </pic:pic>
              </a:graphicData>
            </a:graphic>
          </wp:inline>
        </w:drawing>
      </w:r>
    </w:p>
    <w:p w14:paraId="6EDDCC71" w14:textId="77777777" w:rsidR="00806135" w:rsidRDefault="00806135" w:rsidP="00806135">
      <w:pPr>
        <w:pStyle w:val="EndnoteText"/>
        <w:jc w:val="both"/>
        <w:rPr>
          <w:rFonts w:ascii="Arial" w:hAnsi="Arial" w:cs="Arial"/>
          <w:i/>
          <w:iCs/>
          <w:color w:val="1F487C"/>
        </w:rPr>
      </w:pPr>
    </w:p>
    <w:p w14:paraId="4DF8FD3E" w14:textId="77777777" w:rsidR="00806135" w:rsidRDefault="00806135" w:rsidP="00806135">
      <w:pPr>
        <w:pStyle w:val="EndnoteText"/>
        <w:jc w:val="both"/>
        <w:rPr>
          <w:rFonts w:ascii="Arial" w:hAnsi="Arial" w:cs="Arial"/>
          <w:i/>
          <w:iCs/>
          <w:color w:val="1F487C"/>
        </w:rPr>
      </w:pPr>
    </w:p>
    <w:p w14:paraId="64180678" w14:textId="5575EEBC" w:rsidR="00806135" w:rsidRDefault="00806135" w:rsidP="00806135">
      <w:pPr>
        <w:pStyle w:val="EndnoteText"/>
        <w:jc w:val="both"/>
        <w:rPr>
          <w:rFonts w:ascii="Arial" w:hAnsi="Arial" w:cs="Arial"/>
          <w:i/>
          <w:iCs/>
          <w:color w:val="1F487C"/>
        </w:rPr>
      </w:pPr>
    </w:p>
    <w:p w14:paraId="28549085" w14:textId="77777777" w:rsidR="00E20F4B" w:rsidRDefault="00E20F4B" w:rsidP="00806135">
      <w:pPr>
        <w:pStyle w:val="EndnoteText"/>
        <w:jc w:val="both"/>
        <w:rPr>
          <w:rFonts w:ascii="Arial" w:hAnsi="Arial" w:cs="Arial"/>
          <w:i/>
          <w:iCs/>
          <w:color w:val="1F487C"/>
        </w:rPr>
      </w:pPr>
    </w:p>
    <w:p w14:paraId="1E101070" w14:textId="3C198059" w:rsidR="00F02392" w:rsidRDefault="00F02392" w:rsidP="00F02392">
      <w:pPr>
        <w:pStyle w:val="EndnoteText"/>
        <w:jc w:val="both"/>
        <w:rPr>
          <w:rFonts w:ascii="Arial" w:hAnsi="Arial" w:cs="Arial"/>
          <w:b/>
          <w:iCs/>
        </w:rPr>
      </w:pPr>
      <w:r>
        <w:rPr>
          <w:rFonts w:ascii="Arial" w:hAnsi="Arial" w:cs="Arial"/>
          <w:b/>
          <w:iCs/>
        </w:rPr>
        <w:t>Figure 3</w:t>
      </w:r>
      <w:r w:rsidRPr="00806135">
        <w:rPr>
          <w:rFonts w:ascii="Arial" w:hAnsi="Arial" w:cs="Arial"/>
          <w:b/>
          <w:iCs/>
        </w:rPr>
        <w:t>.</w:t>
      </w:r>
    </w:p>
    <w:p w14:paraId="395DA888" w14:textId="6C459099" w:rsidR="00F02392" w:rsidRDefault="00F02392" w:rsidP="00F02392">
      <w:pPr>
        <w:pStyle w:val="EndnoteText"/>
        <w:jc w:val="both"/>
        <w:rPr>
          <w:rFonts w:ascii="Arial" w:hAnsi="Arial" w:cs="Arial"/>
          <w:b/>
          <w:iCs/>
        </w:rPr>
      </w:pPr>
      <w:r>
        <w:rPr>
          <w:noProof/>
        </w:rPr>
        <w:drawing>
          <wp:inline distT="0" distB="0" distL="0" distR="0" wp14:anchorId="07B37664" wp14:editId="7ACED81B">
            <wp:extent cx="4762500" cy="3148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6695" cy="3151315"/>
                    </a:xfrm>
                    <a:prstGeom prst="rect">
                      <a:avLst/>
                    </a:prstGeom>
                  </pic:spPr>
                </pic:pic>
              </a:graphicData>
            </a:graphic>
          </wp:inline>
        </w:drawing>
      </w:r>
    </w:p>
    <w:p w14:paraId="43C93A0A" w14:textId="77777777" w:rsidR="00F02392" w:rsidRDefault="00F02392" w:rsidP="00F02392">
      <w:pPr>
        <w:pStyle w:val="EndnoteText"/>
        <w:jc w:val="both"/>
        <w:rPr>
          <w:rFonts w:ascii="Arial" w:hAnsi="Arial" w:cs="Arial"/>
          <w:b/>
          <w:iCs/>
        </w:rPr>
      </w:pPr>
    </w:p>
    <w:p w14:paraId="08BD065C" w14:textId="77777777" w:rsidR="006963A7" w:rsidRDefault="006963A7" w:rsidP="00806135">
      <w:pPr>
        <w:pStyle w:val="EndnoteText"/>
        <w:jc w:val="both"/>
        <w:rPr>
          <w:rFonts w:ascii="Arial" w:hAnsi="Arial" w:cs="Arial"/>
          <w:i/>
          <w:iCs/>
          <w:color w:val="1F487C"/>
        </w:rPr>
      </w:pPr>
    </w:p>
    <w:p w14:paraId="56A9A5F4" w14:textId="77777777" w:rsidR="006963A7" w:rsidRPr="00806135" w:rsidRDefault="006963A7" w:rsidP="006963A7">
      <w:pPr>
        <w:spacing w:line="360" w:lineRule="auto"/>
        <w:contextualSpacing/>
        <w:jc w:val="both"/>
        <w:rPr>
          <w:rFonts w:ascii="Arial" w:hAnsi="Arial" w:cs="Arial"/>
          <w:b/>
          <w:bCs/>
          <w:sz w:val="20"/>
          <w:szCs w:val="20"/>
        </w:rPr>
      </w:pPr>
      <w:r>
        <w:rPr>
          <w:rFonts w:ascii="Arial" w:hAnsi="Arial" w:cs="Arial"/>
          <w:b/>
          <w:sz w:val="20"/>
          <w:szCs w:val="20"/>
        </w:rPr>
        <w:t xml:space="preserve">Box 1. </w:t>
      </w:r>
      <w:r w:rsidR="00621650">
        <w:rPr>
          <w:rFonts w:ascii="Arial" w:hAnsi="Arial" w:cs="Arial"/>
          <w:b/>
          <w:bCs/>
          <w:sz w:val="20"/>
          <w:szCs w:val="20"/>
        </w:rPr>
        <w:t>Open C</w:t>
      </w:r>
      <w:r w:rsidRPr="00806135">
        <w:rPr>
          <w:rFonts w:ascii="Arial" w:hAnsi="Arial" w:cs="Arial"/>
          <w:b/>
          <w:bCs/>
          <w:sz w:val="20"/>
          <w:szCs w:val="20"/>
        </w:rPr>
        <w:t>ollaboration</w:t>
      </w:r>
      <w:r>
        <w:rPr>
          <w:rFonts w:ascii="Arial" w:hAnsi="Arial" w:cs="Arial"/>
          <w:b/>
          <w:bCs/>
          <w:sz w:val="20"/>
          <w:szCs w:val="20"/>
        </w:rPr>
        <w:t xml:space="preserve"> Screening</w:t>
      </w:r>
    </w:p>
    <w:p w14:paraId="455053C3" w14:textId="22386AAF" w:rsidR="00761575" w:rsidRDefault="00621650" w:rsidP="006963A7">
      <w:pPr>
        <w:spacing w:line="360" w:lineRule="auto"/>
        <w:jc w:val="both"/>
        <w:rPr>
          <w:rFonts w:ascii="Arial" w:eastAsia="Arial" w:hAnsi="Arial" w:cs="Arial"/>
          <w:sz w:val="20"/>
          <w:szCs w:val="20"/>
        </w:rPr>
      </w:pPr>
      <w:r>
        <w:rPr>
          <w:rFonts w:ascii="Arial" w:eastAsia="Arial" w:hAnsi="Arial" w:cs="Arial"/>
          <w:sz w:val="20"/>
          <w:szCs w:val="20"/>
        </w:rPr>
        <w:t>O</w:t>
      </w:r>
      <w:r w:rsidR="00DC5615">
        <w:rPr>
          <w:rFonts w:ascii="Arial" w:eastAsia="Arial" w:hAnsi="Arial" w:cs="Arial"/>
          <w:sz w:val="20"/>
          <w:szCs w:val="20"/>
        </w:rPr>
        <w:t xml:space="preserve">pen collaborations at NIBR </w:t>
      </w:r>
      <w:r w:rsidR="006963A7" w:rsidRPr="00806135">
        <w:rPr>
          <w:rFonts w:ascii="Arial" w:eastAsia="Arial" w:hAnsi="Arial" w:cs="Arial"/>
          <w:sz w:val="20"/>
          <w:szCs w:val="20"/>
        </w:rPr>
        <w:t>often involve our facilitated access to screening technologies (FAST) group. External collaborations with the FAST lab scientists is enabled using and in-kind research agreement which provides access to our high-throughput biology instrumentation</w:t>
      </w:r>
      <w:r w:rsidR="00761575">
        <w:rPr>
          <w:rFonts w:ascii="Arial" w:eastAsia="Arial" w:hAnsi="Arial" w:cs="Arial"/>
          <w:sz w:val="20"/>
          <w:szCs w:val="20"/>
        </w:rPr>
        <w:t>, informatics</w:t>
      </w:r>
      <w:r w:rsidR="006963A7" w:rsidRPr="00806135">
        <w:rPr>
          <w:rFonts w:ascii="Arial" w:eastAsia="Arial" w:hAnsi="Arial" w:cs="Arial"/>
          <w:sz w:val="20"/>
          <w:szCs w:val="20"/>
        </w:rPr>
        <w:t xml:space="preserve"> expertise as well as a public compound set</w:t>
      </w:r>
      <w:r w:rsidR="00761575">
        <w:rPr>
          <w:rFonts w:ascii="Arial" w:eastAsia="Arial" w:hAnsi="Arial" w:cs="Arial"/>
          <w:sz w:val="20"/>
          <w:szCs w:val="20"/>
        </w:rPr>
        <w:t>s</w:t>
      </w:r>
      <w:r w:rsidR="006963A7" w:rsidRPr="00806135">
        <w:rPr>
          <w:rFonts w:ascii="Arial" w:eastAsia="Arial" w:hAnsi="Arial" w:cs="Arial"/>
          <w:sz w:val="20"/>
          <w:szCs w:val="20"/>
        </w:rPr>
        <w:t xml:space="preserve"> that includes the MoA library. This collaboration model implemented in 2016</w:t>
      </w:r>
      <w:r w:rsidR="00761575">
        <w:rPr>
          <w:rFonts w:ascii="Arial" w:eastAsia="Arial" w:hAnsi="Arial" w:cs="Arial"/>
          <w:sz w:val="20"/>
          <w:szCs w:val="20"/>
        </w:rPr>
        <w:t xml:space="preserve">, </w:t>
      </w:r>
      <w:r w:rsidR="006963A7" w:rsidRPr="00806135">
        <w:rPr>
          <w:rFonts w:ascii="Arial" w:eastAsia="Arial" w:hAnsi="Arial" w:cs="Arial"/>
          <w:sz w:val="20"/>
          <w:szCs w:val="20"/>
        </w:rPr>
        <w:t xml:space="preserve">has since undertaken </w:t>
      </w:r>
      <w:r w:rsidR="00720E21">
        <w:rPr>
          <w:rFonts w:ascii="Arial" w:eastAsia="Arial" w:hAnsi="Arial" w:cs="Arial"/>
          <w:sz w:val="20"/>
          <w:szCs w:val="20"/>
        </w:rPr>
        <w:t>nearly 50</w:t>
      </w:r>
      <w:r w:rsidR="006963A7" w:rsidRPr="00806135">
        <w:rPr>
          <w:rFonts w:ascii="Arial" w:eastAsia="Arial" w:hAnsi="Arial" w:cs="Arial"/>
          <w:sz w:val="20"/>
          <w:szCs w:val="20"/>
        </w:rPr>
        <w:t xml:space="preserve"> academic collaborations covering </w:t>
      </w:r>
      <w:r w:rsidR="00720E21">
        <w:rPr>
          <w:rFonts w:ascii="Arial" w:eastAsia="Arial" w:hAnsi="Arial" w:cs="Arial"/>
          <w:sz w:val="20"/>
          <w:szCs w:val="20"/>
        </w:rPr>
        <w:t>30</w:t>
      </w:r>
      <w:r w:rsidR="00720E21" w:rsidRPr="00806135">
        <w:rPr>
          <w:rFonts w:ascii="Arial" w:eastAsia="Arial" w:hAnsi="Arial" w:cs="Arial"/>
          <w:sz w:val="20"/>
          <w:szCs w:val="20"/>
        </w:rPr>
        <w:t xml:space="preserve"> </w:t>
      </w:r>
      <w:r w:rsidR="006963A7" w:rsidRPr="00806135">
        <w:rPr>
          <w:rFonts w:ascii="Arial" w:eastAsia="Arial" w:hAnsi="Arial" w:cs="Arial"/>
          <w:sz w:val="20"/>
          <w:szCs w:val="20"/>
        </w:rPr>
        <w:t xml:space="preserve">different academic institutes. </w:t>
      </w:r>
      <w:r>
        <w:rPr>
          <w:rFonts w:ascii="Arial" w:eastAsia="Arial" w:hAnsi="Arial" w:cs="Arial"/>
          <w:sz w:val="20"/>
          <w:szCs w:val="20"/>
        </w:rPr>
        <w:t>M</w:t>
      </w:r>
      <w:r w:rsidR="006963A7" w:rsidRPr="00806135">
        <w:rPr>
          <w:rFonts w:ascii="Arial" w:eastAsia="Arial" w:hAnsi="Arial" w:cs="Arial"/>
          <w:sz w:val="20"/>
          <w:szCs w:val="20"/>
        </w:rPr>
        <w:t xml:space="preserve">any of these </w:t>
      </w:r>
      <w:r w:rsidR="006963A7" w:rsidRPr="00806135">
        <w:rPr>
          <w:rFonts w:ascii="Arial" w:eastAsia="Arial" w:hAnsi="Arial" w:cs="Arial"/>
          <w:sz w:val="20"/>
          <w:szCs w:val="20"/>
        </w:rPr>
        <w:lastRenderedPageBreak/>
        <w:t>collaborations have employed phenotypic assays including the use primary cells or iPS cell types</w:t>
      </w:r>
      <w:r w:rsidR="00761575">
        <w:rPr>
          <w:rFonts w:ascii="Arial" w:eastAsia="Arial" w:hAnsi="Arial" w:cs="Arial"/>
          <w:sz w:val="20"/>
          <w:szCs w:val="20"/>
        </w:rPr>
        <w:t>.</w:t>
      </w:r>
      <w:r w:rsidR="006963A7" w:rsidRPr="00806135">
        <w:rPr>
          <w:rFonts w:ascii="Arial" w:eastAsia="Arial" w:hAnsi="Arial" w:cs="Arial"/>
          <w:sz w:val="20"/>
          <w:szCs w:val="20"/>
        </w:rPr>
        <w:t xml:space="preserve"> Highlighted examples of recent collaborations include</w:t>
      </w:r>
      <w:r w:rsidR="00761575">
        <w:rPr>
          <w:rFonts w:ascii="Arial" w:eastAsia="Arial" w:hAnsi="Arial" w:cs="Arial"/>
          <w:sz w:val="20"/>
          <w:szCs w:val="20"/>
        </w:rPr>
        <w:t>:</w:t>
      </w:r>
    </w:p>
    <w:p w14:paraId="35AA3CAD" w14:textId="60B3FE77" w:rsidR="00761575" w:rsidRDefault="00761575" w:rsidP="00761575">
      <w:pPr>
        <w:pStyle w:val="ListParagraph"/>
        <w:numPr>
          <w:ilvl w:val="0"/>
          <w:numId w:val="5"/>
        </w:numPr>
        <w:spacing w:line="360" w:lineRule="auto"/>
        <w:jc w:val="both"/>
        <w:rPr>
          <w:rFonts w:ascii="Arial" w:eastAsia="Arial" w:hAnsi="Arial" w:cs="Arial"/>
          <w:sz w:val="20"/>
          <w:szCs w:val="20"/>
        </w:rPr>
      </w:pPr>
      <w:r w:rsidRPr="00761575">
        <w:rPr>
          <w:rFonts w:ascii="Arial" w:eastAsia="Arial" w:hAnsi="Arial" w:cs="Arial"/>
          <w:sz w:val="20"/>
          <w:szCs w:val="20"/>
        </w:rPr>
        <w:t>D</w:t>
      </w:r>
      <w:r w:rsidR="006963A7" w:rsidRPr="00761575">
        <w:rPr>
          <w:rFonts w:ascii="Arial" w:eastAsia="Arial" w:hAnsi="Arial" w:cs="Arial"/>
          <w:sz w:val="20"/>
          <w:szCs w:val="20"/>
        </w:rPr>
        <w:t>iscovery that inhibition of p38-MAPK leads to the loss of G1 length and the size uniformity of animal cells.</w:t>
      </w:r>
      <w:r w:rsidR="008B5BE6">
        <w:rPr>
          <w:rStyle w:val="EndnoteReference"/>
          <w:rFonts w:ascii="Arial" w:eastAsia="Arial" w:hAnsi="Arial" w:cs="Arial"/>
          <w:sz w:val="20"/>
          <w:szCs w:val="20"/>
        </w:rPr>
        <w:endnoteReference w:id="28"/>
      </w:r>
      <w:r w:rsidR="006963A7" w:rsidRPr="00761575">
        <w:rPr>
          <w:rFonts w:ascii="Arial" w:eastAsia="Arial" w:hAnsi="Arial" w:cs="Arial"/>
          <w:sz w:val="20"/>
          <w:szCs w:val="20"/>
        </w:rPr>
        <w:t xml:space="preserve"> </w:t>
      </w:r>
    </w:p>
    <w:p w14:paraId="743609D2" w14:textId="53E2519E" w:rsidR="008E7FB1" w:rsidRDefault="0069224B" w:rsidP="00761575">
      <w:pPr>
        <w:pStyle w:val="ListParagraph"/>
        <w:numPr>
          <w:ilvl w:val="0"/>
          <w:numId w:val="5"/>
        </w:numPr>
        <w:spacing w:line="360" w:lineRule="auto"/>
        <w:jc w:val="both"/>
        <w:rPr>
          <w:rFonts w:ascii="Arial" w:eastAsia="Arial" w:hAnsi="Arial" w:cs="Arial"/>
          <w:sz w:val="20"/>
          <w:szCs w:val="20"/>
        </w:rPr>
      </w:pPr>
      <w:r>
        <w:rPr>
          <w:rFonts w:ascii="Arial" w:eastAsia="Arial" w:hAnsi="Arial" w:cs="Arial"/>
          <w:sz w:val="20"/>
          <w:szCs w:val="20"/>
        </w:rPr>
        <w:t>Elucidated the role of retinoic nuclear receptor signaling in intestinal organoid morphogenesis.</w:t>
      </w:r>
      <w:r>
        <w:rPr>
          <w:rStyle w:val="EndnoteReference"/>
          <w:rFonts w:ascii="Arial" w:eastAsia="Arial" w:hAnsi="Arial" w:cs="Arial"/>
          <w:sz w:val="20"/>
          <w:szCs w:val="20"/>
        </w:rPr>
        <w:endnoteReference w:id="29"/>
      </w:r>
    </w:p>
    <w:p w14:paraId="5EE694B5" w14:textId="77777777" w:rsidR="00761575" w:rsidRDefault="00761575" w:rsidP="00761575">
      <w:pPr>
        <w:pStyle w:val="ListParagraph"/>
        <w:numPr>
          <w:ilvl w:val="0"/>
          <w:numId w:val="5"/>
        </w:numPr>
        <w:spacing w:line="360" w:lineRule="auto"/>
        <w:jc w:val="both"/>
        <w:rPr>
          <w:rFonts w:ascii="Arial" w:eastAsia="Arial" w:hAnsi="Arial" w:cs="Arial"/>
          <w:sz w:val="20"/>
          <w:szCs w:val="20"/>
        </w:rPr>
      </w:pPr>
      <w:r w:rsidRPr="00761575">
        <w:rPr>
          <w:rFonts w:ascii="Arial" w:eastAsia="Arial" w:hAnsi="Arial" w:cs="Arial"/>
          <w:sz w:val="20"/>
          <w:szCs w:val="20"/>
        </w:rPr>
        <w:t>Identifed</w:t>
      </w:r>
      <w:r w:rsidR="006963A7" w:rsidRPr="00761575">
        <w:rPr>
          <w:rFonts w:ascii="Arial" w:eastAsia="Arial" w:hAnsi="Arial" w:cs="Arial"/>
          <w:sz w:val="20"/>
          <w:szCs w:val="20"/>
        </w:rPr>
        <w:t xml:space="preserve"> a MAPKAPK5 inhibitor as an antagonist of the STING pathway.</w:t>
      </w:r>
      <w:r w:rsidR="008B5BE6">
        <w:rPr>
          <w:rStyle w:val="EndnoteReference"/>
          <w:rFonts w:ascii="Arial" w:eastAsia="Arial" w:hAnsi="Arial" w:cs="Arial"/>
          <w:sz w:val="20"/>
          <w:szCs w:val="20"/>
        </w:rPr>
        <w:endnoteReference w:id="30"/>
      </w:r>
    </w:p>
    <w:p w14:paraId="4EE3D81E" w14:textId="77777777" w:rsidR="005B2BB0" w:rsidRPr="005B2BB0" w:rsidRDefault="00761575" w:rsidP="00761575">
      <w:pPr>
        <w:pStyle w:val="ListParagraph"/>
        <w:numPr>
          <w:ilvl w:val="0"/>
          <w:numId w:val="5"/>
        </w:numPr>
        <w:spacing w:line="360" w:lineRule="auto"/>
        <w:jc w:val="both"/>
        <w:rPr>
          <w:rFonts w:ascii="Arial" w:eastAsia="Arial" w:hAnsi="Arial" w:cs="Arial"/>
          <w:sz w:val="20"/>
          <w:szCs w:val="20"/>
        </w:rPr>
      </w:pPr>
      <w:r w:rsidRPr="00761575">
        <w:rPr>
          <w:rFonts w:ascii="Arial" w:eastAsia="Arial" w:hAnsi="Arial" w:cs="Arial"/>
          <w:sz w:val="20"/>
          <w:szCs w:val="20"/>
        </w:rPr>
        <w:t xml:space="preserve"> </w:t>
      </w:r>
      <w:r w:rsidR="0093410D">
        <w:rPr>
          <w:rFonts w:ascii="Arial" w:eastAsia="Arial" w:hAnsi="Arial" w:cs="Arial"/>
          <w:sz w:val="20"/>
          <w:szCs w:val="20"/>
        </w:rPr>
        <w:t>U</w:t>
      </w:r>
      <w:r w:rsidRPr="00761575">
        <w:rPr>
          <w:rFonts w:ascii="Arial" w:eastAsia="Arial" w:hAnsi="Arial" w:cs="Arial"/>
          <w:sz w:val="20"/>
          <w:szCs w:val="20"/>
        </w:rPr>
        <w:t>npredictable hit overlaps across</w:t>
      </w:r>
      <w:r w:rsidR="006963A7" w:rsidRPr="00761575">
        <w:rPr>
          <w:rFonts w:ascii="Arial" w:eastAsia="Arial" w:hAnsi="Arial" w:cs="Arial"/>
          <w:sz w:val="20"/>
          <w:szCs w:val="20"/>
        </w:rPr>
        <w:t xml:space="preserve"> human fibroblasts</w:t>
      </w:r>
      <w:r w:rsidRPr="00761575">
        <w:rPr>
          <w:rFonts w:ascii="Arial" w:eastAsia="Arial" w:hAnsi="Arial" w:cs="Arial"/>
          <w:sz w:val="20"/>
          <w:szCs w:val="20"/>
        </w:rPr>
        <w:t>,</w:t>
      </w:r>
      <w:r w:rsidR="006963A7" w:rsidRPr="00761575">
        <w:rPr>
          <w:rFonts w:ascii="Arial" w:eastAsia="Arial" w:hAnsi="Arial" w:cs="Arial"/>
          <w:sz w:val="20"/>
          <w:szCs w:val="20"/>
        </w:rPr>
        <w:t xml:space="preserve"> </w:t>
      </w:r>
      <w:r w:rsidR="006963A7" w:rsidRPr="00761575">
        <w:rPr>
          <w:rFonts w:ascii="Arial" w:eastAsia="Arial" w:hAnsi="Arial" w:cs="Arial"/>
          <w:i/>
          <w:iCs/>
          <w:sz w:val="20"/>
          <w:szCs w:val="20"/>
        </w:rPr>
        <w:t>Caenorabditis elegans</w:t>
      </w:r>
      <w:r w:rsidRPr="00761575">
        <w:rPr>
          <w:rFonts w:ascii="Arial" w:eastAsia="Arial" w:hAnsi="Arial" w:cs="Arial"/>
          <w:i/>
          <w:iCs/>
          <w:sz w:val="20"/>
          <w:szCs w:val="20"/>
        </w:rPr>
        <w:t>,</w:t>
      </w:r>
      <w:r w:rsidR="006963A7" w:rsidRPr="00761575">
        <w:rPr>
          <w:rFonts w:ascii="Arial" w:eastAsia="Arial" w:hAnsi="Arial" w:cs="Arial"/>
          <w:sz w:val="20"/>
          <w:szCs w:val="20"/>
        </w:rPr>
        <w:t xml:space="preserve"> and </w:t>
      </w:r>
      <w:r w:rsidR="006963A7" w:rsidRPr="00761575">
        <w:rPr>
          <w:rFonts w:ascii="Arial" w:eastAsia="Arial" w:hAnsi="Arial" w:cs="Arial"/>
          <w:i/>
          <w:iCs/>
          <w:sz w:val="20"/>
          <w:szCs w:val="20"/>
        </w:rPr>
        <w:t>Drosophila melanogaster</w:t>
      </w:r>
      <w:r w:rsidR="006963A7" w:rsidRPr="00761575">
        <w:rPr>
          <w:rFonts w:ascii="Arial" w:eastAsia="Arial" w:hAnsi="Arial" w:cs="Arial"/>
          <w:sz w:val="20"/>
          <w:szCs w:val="20"/>
        </w:rPr>
        <w:t xml:space="preserve"> models of the lysosomal storage disorder mucolipidosis type IV (MLIV).</w:t>
      </w:r>
      <w:r>
        <w:rPr>
          <w:rStyle w:val="EndnoteReference"/>
          <w:rFonts w:ascii="Arial" w:eastAsia="Arial" w:hAnsi="Arial" w:cs="Arial"/>
          <w:sz w:val="20"/>
          <w:szCs w:val="20"/>
        </w:rPr>
        <w:endnoteReference w:id="31"/>
      </w:r>
      <w:r w:rsidR="006963A7" w:rsidRPr="00761575" w:rsidDel="004C6A02">
        <w:rPr>
          <w:rFonts w:ascii="Arial" w:eastAsia="Arial" w:hAnsi="Arial" w:cs="Arial"/>
          <w:sz w:val="20"/>
          <w:szCs w:val="20"/>
          <w:vertAlign w:val="superscript"/>
        </w:rPr>
        <w:t xml:space="preserve"> </w:t>
      </w:r>
    </w:p>
    <w:p w14:paraId="15E6D41D" w14:textId="4C0E9C60" w:rsidR="005B2BB0" w:rsidRDefault="005B2BB0" w:rsidP="008B5BE6">
      <w:pPr>
        <w:pStyle w:val="ListParagraph"/>
        <w:numPr>
          <w:ilvl w:val="0"/>
          <w:numId w:val="5"/>
        </w:numPr>
        <w:spacing w:line="360" w:lineRule="auto"/>
        <w:jc w:val="both"/>
        <w:rPr>
          <w:rFonts w:ascii="Arial" w:eastAsia="Arial" w:hAnsi="Arial" w:cs="Arial"/>
          <w:sz w:val="20"/>
          <w:szCs w:val="20"/>
        </w:rPr>
      </w:pPr>
      <w:r w:rsidRPr="005B2BB0">
        <w:rPr>
          <w:rFonts w:ascii="Arial" w:eastAsia="Arial" w:hAnsi="Arial" w:cs="Arial"/>
          <w:sz w:val="20"/>
          <w:szCs w:val="20"/>
        </w:rPr>
        <w:t>Demonstrated the development of a highly specific</w:t>
      </w:r>
      <w:r w:rsidR="006963A7" w:rsidRPr="005B2BB0">
        <w:rPr>
          <w:rFonts w:ascii="Arial" w:eastAsia="Arial" w:hAnsi="Arial" w:cs="Arial"/>
          <w:sz w:val="20"/>
          <w:szCs w:val="20"/>
        </w:rPr>
        <w:t xml:space="preserve"> MEK1 stabilization </w:t>
      </w:r>
      <w:r w:rsidRPr="005B2BB0">
        <w:rPr>
          <w:rFonts w:ascii="Arial" w:eastAsia="Arial" w:hAnsi="Arial" w:cs="Arial"/>
          <w:sz w:val="20"/>
          <w:szCs w:val="20"/>
        </w:rPr>
        <w:t>cellular assay.</w:t>
      </w:r>
      <w:r w:rsidR="00125A8D" w:rsidRPr="00125A8D">
        <w:rPr>
          <w:rFonts w:ascii="Arial" w:hAnsi="Arial" w:cs="Arial"/>
          <w:sz w:val="20"/>
          <w:szCs w:val="20"/>
          <w:vertAlign w:val="superscript"/>
        </w:rPr>
        <w:fldChar w:fldCharType="begin"/>
      </w:r>
      <w:r w:rsidR="00125A8D" w:rsidRPr="00125A8D">
        <w:rPr>
          <w:rFonts w:ascii="Arial" w:eastAsia="Arial" w:hAnsi="Arial" w:cs="Arial"/>
          <w:sz w:val="20"/>
          <w:szCs w:val="20"/>
          <w:vertAlign w:val="superscript"/>
        </w:rPr>
        <w:instrText xml:space="preserve"> NOTEREF _Ref7272974 \h </w:instrText>
      </w:r>
      <w:r w:rsidR="00125A8D">
        <w:rPr>
          <w:rFonts w:ascii="Arial" w:hAnsi="Arial" w:cs="Arial"/>
          <w:sz w:val="20"/>
          <w:szCs w:val="20"/>
          <w:vertAlign w:val="superscript"/>
        </w:rPr>
        <w:instrText xml:space="preserve"> \* MERGEFORMAT </w:instrText>
      </w:r>
      <w:r w:rsidR="00125A8D" w:rsidRPr="00125A8D">
        <w:rPr>
          <w:rFonts w:ascii="Arial" w:hAnsi="Arial" w:cs="Arial"/>
          <w:sz w:val="20"/>
          <w:szCs w:val="20"/>
          <w:vertAlign w:val="superscript"/>
        </w:rPr>
      </w:r>
      <w:r w:rsidR="00125A8D" w:rsidRPr="00125A8D">
        <w:rPr>
          <w:rFonts w:ascii="Arial" w:hAnsi="Arial" w:cs="Arial"/>
          <w:sz w:val="20"/>
          <w:szCs w:val="20"/>
          <w:vertAlign w:val="superscript"/>
        </w:rPr>
        <w:fldChar w:fldCharType="separate"/>
      </w:r>
      <w:r w:rsidR="00125A8D" w:rsidRPr="00125A8D">
        <w:rPr>
          <w:rFonts w:ascii="Arial" w:eastAsia="Arial" w:hAnsi="Arial" w:cs="Arial"/>
          <w:sz w:val="20"/>
          <w:szCs w:val="20"/>
          <w:vertAlign w:val="superscript"/>
        </w:rPr>
        <w:t>21</w:t>
      </w:r>
      <w:r w:rsidR="00125A8D" w:rsidRPr="00125A8D">
        <w:rPr>
          <w:rFonts w:ascii="Arial" w:hAnsi="Arial" w:cs="Arial"/>
          <w:sz w:val="20"/>
          <w:szCs w:val="20"/>
          <w:vertAlign w:val="superscript"/>
        </w:rPr>
        <w:fldChar w:fldCharType="end"/>
      </w:r>
    </w:p>
    <w:p w14:paraId="53640E83" w14:textId="77777777" w:rsidR="008B5BE6" w:rsidRDefault="00761575" w:rsidP="00F0331F">
      <w:pPr>
        <w:pStyle w:val="ListParagraph"/>
        <w:numPr>
          <w:ilvl w:val="0"/>
          <w:numId w:val="5"/>
        </w:numPr>
        <w:spacing w:line="360" w:lineRule="auto"/>
        <w:jc w:val="both"/>
        <w:rPr>
          <w:rFonts w:ascii="Arial" w:hAnsi="Arial" w:cs="Arial"/>
          <w:sz w:val="20"/>
          <w:szCs w:val="20"/>
        </w:rPr>
      </w:pPr>
      <w:r w:rsidRPr="008B5BE6">
        <w:rPr>
          <w:rFonts w:ascii="Arial" w:eastAsia="Arial" w:hAnsi="Arial" w:cs="Arial"/>
          <w:sz w:val="20"/>
          <w:szCs w:val="20"/>
        </w:rPr>
        <w:t>Identified</w:t>
      </w:r>
      <w:r w:rsidR="006963A7" w:rsidRPr="008B5BE6">
        <w:rPr>
          <w:rFonts w:ascii="Arial" w:eastAsia="Arial" w:hAnsi="Arial" w:cs="Arial"/>
          <w:sz w:val="20"/>
          <w:szCs w:val="20"/>
        </w:rPr>
        <w:t xml:space="preserve"> </w:t>
      </w:r>
      <w:r w:rsidR="005B2BB0" w:rsidRPr="008B5BE6">
        <w:rPr>
          <w:rFonts w:ascii="Arial" w:eastAsia="Arial" w:hAnsi="Arial" w:cs="Arial"/>
          <w:sz w:val="20"/>
          <w:szCs w:val="20"/>
        </w:rPr>
        <w:t>agonists of the transcription factor, POU4F3, which induce</w:t>
      </w:r>
      <w:r w:rsidR="006963A7" w:rsidRPr="008B5BE6">
        <w:rPr>
          <w:rFonts w:ascii="Arial" w:eastAsia="Arial" w:hAnsi="Arial" w:cs="Arial"/>
          <w:sz w:val="20"/>
          <w:szCs w:val="20"/>
        </w:rPr>
        <w:t xml:space="preserve"> hair cell generation within the mammalian cochleae</w:t>
      </w:r>
      <w:r w:rsidR="008B5BE6">
        <w:rPr>
          <w:rFonts w:ascii="Arial" w:eastAsia="Arial" w:hAnsi="Arial" w:cs="Arial"/>
          <w:sz w:val="20"/>
          <w:szCs w:val="20"/>
        </w:rPr>
        <w:t>.</w:t>
      </w:r>
      <w:r w:rsidR="008B5BE6">
        <w:rPr>
          <w:rStyle w:val="EndnoteReference"/>
          <w:rFonts w:ascii="Arial" w:hAnsi="Arial" w:cs="Arial"/>
          <w:sz w:val="20"/>
          <w:szCs w:val="20"/>
        </w:rPr>
        <w:endnoteReference w:id="32"/>
      </w:r>
    </w:p>
    <w:p w14:paraId="408D9759" w14:textId="77777777" w:rsidR="006963A7" w:rsidRPr="008B5BE6" w:rsidRDefault="006963A7" w:rsidP="008B5BE6">
      <w:pPr>
        <w:spacing w:line="360" w:lineRule="auto"/>
        <w:ind w:left="60" w:firstLine="360"/>
        <w:jc w:val="both"/>
        <w:rPr>
          <w:rFonts w:ascii="Arial" w:hAnsi="Arial" w:cs="Arial"/>
          <w:sz w:val="20"/>
          <w:szCs w:val="20"/>
        </w:rPr>
      </w:pPr>
      <w:r w:rsidRPr="008B5BE6">
        <w:rPr>
          <w:rFonts w:ascii="Arial" w:eastAsia="Arial" w:hAnsi="Arial" w:cs="Arial"/>
          <w:sz w:val="20"/>
          <w:szCs w:val="20"/>
        </w:rPr>
        <w:t xml:space="preserve">Through these collaborative partnerships the ability to systematically interrogate complex biological systems has reveal many new biological insights that might be financially or technically limited otherwise. More ready access to such </w:t>
      </w:r>
      <w:r w:rsidR="00CB6281">
        <w:rPr>
          <w:rFonts w:ascii="Arial" w:eastAsia="Arial" w:hAnsi="Arial" w:cs="Arial"/>
          <w:sz w:val="20"/>
          <w:szCs w:val="20"/>
        </w:rPr>
        <w:t>chemogenetic libraries</w:t>
      </w:r>
      <w:r w:rsidRPr="008B5BE6">
        <w:rPr>
          <w:rFonts w:ascii="Arial" w:eastAsia="Arial" w:hAnsi="Arial" w:cs="Arial"/>
          <w:sz w:val="20"/>
          <w:szCs w:val="20"/>
        </w:rPr>
        <w:t xml:space="preserve"> would greatly benefit biomedical research.  </w:t>
      </w:r>
    </w:p>
    <w:p w14:paraId="12F4106B" w14:textId="77777777" w:rsidR="006963A7" w:rsidRDefault="006963A7" w:rsidP="00125A8D">
      <w:pPr>
        <w:keepNext/>
        <w:spacing w:line="360" w:lineRule="auto"/>
        <w:contextualSpacing/>
        <w:jc w:val="both"/>
        <w:rPr>
          <w:rFonts w:ascii="Arial" w:hAnsi="Arial" w:cs="Arial"/>
          <w:sz w:val="20"/>
          <w:szCs w:val="20"/>
        </w:rPr>
      </w:pPr>
      <w:r w:rsidRPr="00806135">
        <w:rPr>
          <w:rFonts w:ascii="Arial" w:hAnsi="Arial" w:cs="Arial"/>
          <w:b/>
          <w:bCs/>
          <w:sz w:val="20"/>
          <w:szCs w:val="20"/>
        </w:rPr>
        <w:t xml:space="preserve">Acknowledgements: </w:t>
      </w:r>
    </w:p>
    <w:p w14:paraId="38269F9B" w14:textId="5003C373" w:rsidR="006963A7" w:rsidRPr="002B46C4" w:rsidRDefault="006963A7" w:rsidP="006963A7">
      <w:pPr>
        <w:pStyle w:val="EndnoteText"/>
        <w:jc w:val="both"/>
        <w:rPr>
          <w:rFonts w:ascii="Arial" w:hAnsi="Arial" w:cs="Arial"/>
          <w:i/>
          <w:iCs/>
          <w:color w:val="1F487C"/>
        </w:rPr>
      </w:pPr>
      <w:r>
        <w:rPr>
          <w:rFonts w:ascii="Arial" w:hAnsi="Arial" w:cs="Arial"/>
          <w:iCs/>
        </w:rPr>
        <w:t xml:space="preserve">Ellen Crawford, Tobias Gabriel, Wendi Yajnik, </w:t>
      </w:r>
      <w:r w:rsidRPr="002B46C4">
        <w:rPr>
          <w:rFonts w:ascii="Arial" w:hAnsi="Arial" w:cs="Arial"/>
          <w:iCs/>
        </w:rPr>
        <w:t xml:space="preserve">Pierre Nimsgern, Johnny </w:t>
      </w:r>
      <w:r>
        <w:rPr>
          <w:rFonts w:ascii="Arial" w:hAnsi="Arial" w:cs="Arial"/>
          <w:iCs/>
        </w:rPr>
        <w:t>P</w:t>
      </w:r>
      <w:r w:rsidRPr="002B46C4">
        <w:rPr>
          <w:rFonts w:ascii="Arial" w:hAnsi="Arial" w:cs="Arial"/>
          <w:iCs/>
        </w:rPr>
        <w:t>han, Xilin Zhou, Catherine Rolando, Estelle Ngo, Nadege</w:t>
      </w:r>
      <w:r>
        <w:rPr>
          <w:rFonts w:ascii="Arial" w:hAnsi="Arial" w:cs="Arial"/>
          <w:iCs/>
        </w:rPr>
        <w:t xml:space="preserve"> Graveleau, Nancy Labbe-Giguere,</w:t>
      </w:r>
      <w:r w:rsidRPr="00703464">
        <w:rPr>
          <w:rFonts w:ascii="Arial" w:hAnsi="Arial" w:cs="Arial"/>
          <w:iCs/>
        </w:rPr>
        <w:t xml:space="preserve"> </w:t>
      </w:r>
      <w:r w:rsidR="00703464" w:rsidRPr="00950B06">
        <w:rPr>
          <w:rFonts w:ascii="Arial" w:hAnsi="Arial" w:cs="Arial"/>
          <w:bCs/>
        </w:rPr>
        <w:t>Amy Calhoun,</w:t>
      </w:r>
      <w:r w:rsidR="00703464">
        <w:rPr>
          <w:rFonts w:ascii="Arial" w:hAnsi="Arial" w:cs="Arial"/>
          <w:b/>
          <w:bCs/>
        </w:rPr>
        <w:t xml:space="preserve"> </w:t>
      </w:r>
      <w:r>
        <w:rPr>
          <w:rFonts w:ascii="Arial" w:hAnsi="Arial" w:cs="Arial"/>
          <w:iCs/>
        </w:rPr>
        <w:t>Laure Bouchez, Paul Selzer, Ludovico Tulli, Christian Parker, Olaf Galuba, Isabelle Adam, Andrea Vaupel, Martin Pfeifer, Christel Guibourdenche, Michael Connolly, Tushar Apsunde, James Neef, Justin Mao, Philip Lam, BoYee Chung, Thomas Caya, Rouwei Mo</w:t>
      </w:r>
      <w:r w:rsidR="00FF404F">
        <w:rPr>
          <w:rFonts w:ascii="Arial" w:hAnsi="Arial" w:cs="Arial"/>
          <w:iCs/>
        </w:rPr>
        <w:t>,</w:t>
      </w:r>
      <w:r w:rsidRPr="002B46C4">
        <w:rPr>
          <w:rFonts w:ascii="Arial" w:hAnsi="Arial" w:cs="Arial"/>
          <w:iCs/>
        </w:rPr>
        <w:t xml:space="preserve"> </w:t>
      </w:r>
      <w:r>
        <w:rPr>
          <w:rFonts w:ascii="Arial" w:hAnsi="Arial" w:cs="Arial"/>
          <w:iCs/>
        </w:rPr>
        <w:t xml:space="preserve">Mike Tarselli, Dave Cotter, Mathias Asp, Thomas Veith, Andreas Vallen, Keith Vedananda, Rose Lassos, Micolette Miranda, Sylvain Cottens, Iain Wallace, Ken Yamada, Kayo Yasoshima, David Sandham, Christine Hajdin, Donovan Chin, Vic Myer, Peter Fekkes, </w:t>
      </w:r>
      <w:r w:rsidR="00FF404F">
        <w:rPr>
          <w:rFonts w:ascii="Arial" w:hAnsi="Arial" w:cs="Arial"/>
          <w:iCs/>
        </w:rPr>
        <w:t xml:space="preserve">John Davies, Adam Hill, Fred Harbinski, Marc Hild, Aaron Wilson, </w:t>
      </w:r>
      <w:r>
        <w:rPr>
          <w:rFonts w:ascii="Arial" w:hAnsi="Arial" w:cs="Arial"/>
          <w:iCs/>
        </w:rPr>
        <w:t xml:space="preserve">Chris Wilson, Greg Michaud, Markus Schirle, Jason Thomas, Damien MacDougall, Scott Bowes, </w:t>
      </w:r>
      <w:r w:rsidR="005A0D15">
        <w:rPr>
          <w:rFonts w:ascii="Arial" w:hAnsi="Arial" w:cs="Arial"/>
          <w:iCs/>
        </w:rPr>
        <w:t xml:space="preserve">Caroline Engeloch, Marc Andreae, </w:t>
      </w:r>
      <w:r>
        <w:rPr>
          <w:rFonts w:ascii="Arial" w:hAnsi="Arial" w:cs="Arial"/>
          <w:iCs/>
        </w:rPr>
        <w:t>and a</w:t>
      </w:r>
      <w:r w:rsidRPr="002B46C4">
        <w:rPr>
          <w:rFonts w:ascii="Arial" w:hAnsi="Arial" w:cs="Arial"/>
          <w:iCs/>
        </w:rPr>
        <w:t>ll Novartis nominators to the MoA Box.</w:t>
      </w:r>
    </w:p>
    <w:p w14:paraId="3CC5C2C5" w14:textId="77777777" w:rsidR="006963A7" w:rsidRPr="002B46C4" w:rsidRDefault="006963A7" w:rsidP="006963A7">
      <w:pPr>
        <w:pStyle w:val="EndnoteText"/>
        <w:jc w:val="both"/>
        <w:rPr>
          <w:rFonts w:ascii="Arial" w:hAnsi="Arial" w:cs="Arial"/>
          <w:i/>
          <w:iCs/>
          <w:color w:val="1F487C"/>
        </w:rPr>
      </w:pPr>
    </w:p>
    <w:p w14:paraId="09CDC1A8" w14:textId="6432901B" w:rsidR="006963A7" w:rsidRDefault="006963A7" w:rsidP="006963A7">
      <w:pPr>
        <w:pStyle w:val="EndnoteText"/>
        <w:jc w:val="both"/>
        <w:rPr>
          <w:rFonts w:ascii="Arial" w:hAnsi="Arial" w:cs="Arial"/>
        </w:rPr>
      </w:pPr>
      <w:r w:rsidRPr="00806135">
        <w:rPr>
          <w:rFonts w:ascii="Arial" w:hAnsi="Arial" w:cs="Arial"/>
          <w:iCs/>
        </w:rPr>
        <w:t xml:space="preserve">From Aurigene Discovery Technologies Ltd: </w:t>
      </w:r>
      <w:r w:rsidRPr="00806135">
        <w:rPr>
          <w:rFonts w:ascii="Arial" w:hAnsi="Arial" w:cs="Arial"/>
        </w:rPr>
        <w:t xml:space="preserve">Sangamesh Badiger, Prasad Appukuttan, P Venkata Ramana Reddy, Srinivasa Raju, Pritam Biswas, and the </w:t>
      </w:r>
      <w:r w:rsidRPr="00806135">
        <w:rPr>
          <w:rFonts w:ascii="Arial" w:hAnsi="Arial" w:cs="Arial"/>
          <w:iCs/>
        </w:rPr>
        <w:t>Aurigene 020 and 066 teams.</w:t>
      </w:r>
      <w:r>
        <w:rPr>
          <w:rFonts w:ascii="Arial" w:hAnsi="Arial" w:cs="Arial"/>
          <w:iCs/>
        </w:rPr>
        <w:t xml:space="preserve"> From WuXi AppTech Wuhan:</w:t>
      </w:r>
      <w:r>
        <w:rPr>
          <w:rFonts w:ascii="Arial" w:hAnsi="Arial" w:cs="Arial"/>
        </w:rPr>
        <w:t xml:space="preserve">Yang Zang, Yanhe Hu, Duan Liu and the WuXi 010 tools team. </w:t>
      </w:r>
      <w:r w:rsidR="00D218C8">
        <w:rPr>
          <w:rFonts w:ascii="Arial" w:hAnsi="Arial" w:cs="Arial"/>
        </w:rPr>
        <w:t xml:space="preserve">From Piramal: Tanay Ghoshal and the Neo-12 team. </w:t>
      </w:r>
    </w:p>
    <w:p w14:paraId="358B0573" w14:textId="77777777" w:rsidR="006963A7" w:rsidRDefault="006963A7" w:rsidP="006963A7">
      <w:pPr>
        <w:pStyle w:val="EndnoteText"/>
        <w:jc w:val="both"/>
        <w:rPr>
          <w:rFonts w:ascii="Arial" w:hAnsi="Arial" w:cs="Arial"/>
        </w:rPr>
      </w:pPr>
    </w:p>
    <w:p w14:paraId="315CE831" w14:textId="77777777" w:rsidR="006963A7" w:rsidRDefault="006963A7" w:rsidP="006963A7">
      <w:pPr>
        <w:pStyle w:val="EndnoteText"/>
        <w:jc w:val="both"/>
        <w:rPr>
          <w:rFonts w:ascii="Arial" w:hAnsi="Arial" w:cs="Arial"/>
        </w:rPr>
      </w:pPr>
    </w:p>
    <w:p w14:paraId="54446A5B" w14:textId="77777777" w:rsidR="006963A7" w:rsidRDefault="006963A7" w:rsidP="006963A7">
      <w:pPr>
        <w:pStyle w:val="EndnoteText"/>
        <w:jc w:val="both"/>
        <w:rPr>
          <w:rFonts w:ascii="Arial" w:hAnsi="Arial" w:cs="Arial"/>
          <w:b/>
        </w:rPr>
      </w:pPr>
      <w:r>
        <w:rPr>
          <w:rFonts w:ascii="Arial" w:hAnsi="Arial" w:cs="Arial"/>
          <w:b/>
        </w:rPr>
        <w:t>Competing Interests</w:t>
      </w:r>
    </w:p>
    <w:p w14:paraId="5FB0F4A1" w14:textId="77777777" w:rsidR="006963A7" w:rsidRPr="00047C94" w:rsidRDefault="006963A7" w:rsidP="006963A7">
      <w:pPr>
        <w:pStyle w:val="EndnoteText"/>
        <w:jc w:val="both"/>
        <w:rPr>
          <w:rFonts w:ascii="Arial" w:hAnsi="Arial" w:cs="Arial"/>
        </w:rPr>
      </w:pPr>
      <w:r w:rsidRPr="00047C94">
        <w:rPr>
          <w:rFonts w:ascii="Arial" w:hAnsi="Arial" w:cs="Arial"/>
        </w:rPr>
        <w:t xml:space="preserve">All authors are (or were at the time </w:t>
      </w:r>
      <w:r w:rsidR="00F950AD">
        <w:rPr>
          <w:rFonts w:ascii="Arial" w:hAnsi="Arial" w:cs="Arial"/>
        </w:rPr>
        <w:t>of their involvement with the construction of the NIBR MoA Box</w:t>
      </w:r>
      <w:r w:rsidRPr="00047C94">
        <w:rPr>
          <w:rFonts w:ascii="Arial" w:hAnsi="Arial" w:cs="Arial"/>
        </w:rPr>
        <w:t>) employees of Novartis.</w:t>
      </w:r>
    </w:p>
    <w:p w14:paraId="22A5C0F2" w14:textId="77777777" w:rsidR="006963A7" w:rsidRDefault="006963A7" w:rsidP="006963A7">
      <w:pPr>
        <w:pStyle w:val="EndnoteText"/>
        <w:jc w:val="both"/>
        <w:rPr>
          <w:rFonts w:ascii="Arial" w:hAnsi="Arial" w:cs="Arial"/>
          <w:b/>
        </w:rPr>
      </w:pPr>
    </w:p>
    <w:p w14:paraId="4BE7D270" w14:textId="77777777" w:rsidR="006963A7" w:rsidRDefault="006963A7" w:rsidP="006963A7">
      <w:pPr>
        <w:pStyle w:val="EndnoteText"/>
        <w:jc w:val="both"/>
        <w:rPr>
          <w:rFonts w:ascii="Arial" w:hAnsi="Arial" w:cs="Arial"/>
          <w:b/>
        </w:rPr>
      </w:pPr>
      <w:r>
        <w:rPr>
          <w:rFonts w:ascii="Arial" w:hAnsi="Arial" w:cs="Arial"/>
          <w:b/>
        </w:rPr>
        <w:t>Corresponding Authors</w:t>
      </w:r>
    </w:p>
    <w:p w14:paraId="1780FA51" w14:textId="77E885BF" w:rsidR="006963A7" w:rsidRPr="00047C94" w:rsidRDefault="006963A7" w:rsidP="006963A7">
      <w:pPr>
        <w:pStyle w:val="EndnoteText"/>
        <w:jc w:val="both"/>
        <w:rPr>
          <w:rFonts w:ascii="Arial" w:hAnsi="Arial" w:cs="Arial"/>
        </w:rPr>
      </w:pPr>
      <w:r>
        <w:rPr>
          <w:rFonts w:ascii="Arial" w:hAnsi="Arial" w:cs="Arial"/>
        </w:rPr>
        <w:t>Correspondance to Stephen M. Canham (</w:t>
      </w:r>
      <w:hyperlink r:id="rId15" w:history="1">
        <w:r w:rsidRPr="0012762B">
          <w:rPr>
            <w:rStyle w:val="Hyperlink"/>
            <w:rFonts w:ascii="Arial" w:hAnsi="Arial" w:cs="Arial"/>
          </w:rPr>
          <w:t>steve.canham@novartis.com</w:t>
        </w:r>
      </w:hyperlink>
      <w:r>
        <w:rPr>
          <w:rFonts w:ascii="Arial" w:hAnsi="Arial" w:cs="Arial"/>
        </w:rPr>
        <w:t>)</w:t>
      </w:r>
      <w:r w:rsidR="0065342F">
        <w:rPr>
          <w:rFonts w:ascii="Arial" w:hAnsi="Arial" w:cs="Arial"/>
        </w:rPr>
        <w:t>, Douglas S. Auld (douglas.auld@novartis.com)</w:t>
      </w:r>
      <w:bookmarkStart w:id="1" w:name="_GoBack"/>
      <w:bookmarkEnd w:id="1"/>
      <w:r>
        <w:rPr>
          <w:rFonts w:ascii="Arial" w:hAnsi="Arial" w:cs="Arial"/>
        </w:rPr>
        <w:t xml:space="preserve"> or Jeremy L. Jenkins (</w:t>
      </w:r>
      <w:hyperlink r:id="rId16" w:history="1">
        <w:r w:rsidR="00F950AD" w:rsidRPr="004F453C">
          <w:rPr>
            <w:rStyle w:val="Hyperlink"/>
            <w:rFonts w:ascii="Arial" w:hAnsi="Arial" w:cs="Arial"/>
          </w:rPr>
          <w:t>jeremy.jenkins@novartis.com</w:t>
        </w:r>
      </w:hyperlink>
      <w:r>
        <w:rPr>
          <w:rFonts w:ascii="Arial" w:hAnsi="Arial" w:cs="Arial"/>
        </w:rPr>
        <w:t>)</w:t>
      </w:r>
    </w:p>
    <w:p w14:paraId="4A0FB0EB" w14:textId="77777777" w:rsidR="006963A7" w:rsidRPr="00806135" w:rsidRDefault="006963A7" w:rsidP="00806135">
      <w:pPr>
        <w:pStyle w:val="EndnoteText"/>
        <w:jc w:val="both"/>
        <w:rPr>
          <w:rFonts w:ascii="Arial" w:hAnsi="Arial" w:cs="Arial"/>
          <w:i/>
          <w:iCs/>
          <w:color w:val="1F487C"/>
        </w:rPr>
      </w:pPr>
    </w:p>
    <w:sectPr w:rsidR="006963A7" w:rsidRPr="00806135" w:rsidSect="00531254">
      <w:endnotePr>
        <w:numFmt w:val="decimal"/>
      </w:endnotePr>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2927A" w16cid:durableId="2059CF88"/>
  <w16cid:commentId w16cid:paraId="77CD900D" w16cid:durableId="2059CF89"/>
  <w16cid:commentId w16cid:paraId="6843B23E" w16cid:durableId="2059CF8A"/>
  <w16cid:commentId w16cid:paraId="26A0D53D" w16cid:durableId="2059CF8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47256" w14:textId="77777777" w:rsidR="0020251F" w:rsidRDefault="0020251F" w:rsidP="00FC6AD1">
      <w:pPr>
        <w:spacing w:after="0" w:line="240" w:lineRule="auto"/>
      </w:pPr>
      <w:r>
        <w:separator/>
      </w:r>
    </w:p>
  </w:endnote>
  <w:endnote w:type="continuationSeparator" w:id="0">
    <w:p w14:paraId="42D10136" w14:textId="77777777" w:rsidR="0020251F" w:rsidRDefault="0020251F" w:rsidP="00FC6AD1">
      <w:pPr>
        <w:spacing w:after="0" w:line="240" w:lineRule="auto"/>
      </w:pPr>
      <w:r>
        <w:continuationSeparator/>
      </w:r>
    </w:p>
  </w:endnote>
  <w:endnote w:id="1">
    <w:p w14:paraId="515E9938"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Schreiber, S. et. Al. Advancing Biological Understanding and therapeutics Discovery with Small-Molecule Probes. </w:t>
      </w:r>
      <w:r w:rsidRPr="00806135">
        <w:rPr>
          <w:rFonts w:ascii="Arial" w:hAnsi="Arial" w:cs="Arial"/>
          <w:i/>
          <w:iCs/>
        </w:rPr>
        <w:t>Cell</w:t>
      </w:r>
      <w:r w:rsidRPr="00806135">
        <w:rPr>
          <w:rFonts w:ascii="Arial" w:hAnsi="Arial" w:cs="Arial"/>
        </w:rPr>
        <w:t xml:space="preserve"> </w:t>
      </w:r>
      <w:r w:rsidRPr="00806135">
        <w:rPr>
          <w:rFonts w:ascii="Arial" w:hAnsi="Arial" w:cs="Arial"/>
          <w:b/>
          <w:bCs/>
        </w:rPr>
        <w:t>161</w:t>
      </w:r>
      <w:r w:rsidRPr="00806135">
        <w:rPr>
          <w:rFonts w:ascii="Arial" w:hAnsi="Arial" w:cs="Arial"/>
        </w:rPr>
        <w:t>, 1252-1265 (2015).</w:t>
      </w:r>
    </w:p>
  </w:endnote>
  <w:endnote w:id="2">
    <w:p w14:paraId="3528D296"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Janes, J.; Young, M. E.; Chen, E.; Rogers, N. H.; Burgstaller-Muehlbacher, S.; Hughes, L. D.; Love, M. S.; Hull, M. V.; Kuhen, K. L.; Woods, A. K.; Joseph, S. B.; Petrassi, M.; McNamara, C. W.; Tremblay, M. S.; Su, A. I.; Schultz, P. G.; Chatterjee, A. K. The ReFRAME library as a comprehensive drug repurposing library and its application to the treatment of cryptosporidiosis. </w:t>
      </w:r>
      <w:r w:rsidRPr="00806135">
        <w:rPr>
          <w:rFonts w:ascii="Arial" w:hAnsi="Arial" w:cs="Arial"/>
          <w:i/>
        </w:rPr>
        <w:t>Proc. Nat Acad. USA</w:t>
      </w:r>
      <w:r w:rsidRPr="00806135">
        <w:rPr>
          <w:rFonts w:ascii="Arial" w:hAnsi="Arial" w:cs="Arial"/>
        </w:rPr>
        <w:t xml:space="preserve"> </w:t>
      </w:r>
      <w:r w:rsidRPr="00806135">
        <w:rPr>
          <w:rFonts w:ascii="Arial" w:hAnsi="Arial" w:cs="Arial"/>
          <w:b/>
        </w:rPr>
        <w:t>115</w:t>
      </w:r>
      <w:r w:rsidRPr="00806135">
        <w:rPr>
          <w:rFonts w:ascii="Arial" w:hAnsi="Arial" w:cs="Arial"/>
        </w:rPr>
        <w:t>, 10750-10755 (2018).</w:t>
      </w:r>
    </w:p>
  </w:endnote>
  <w:endnote w:id="3">
    <w:p w14:paraId="3FF42570" w14:textId="77777777" w:rsidR="00F0331F" w:rsidRPr="00806135" w:rsidRDefault="00F0331F" w:rsidP="001C4DA5">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Mofatt, J. et. Al. Opportunities and challenges in phenotypic drug discovery: an industry perspective. </w:t>
      </w:r>
      <w:r w:rsidRPr="00806135">
        <w:rPr>
          <w:rFonts w:ascii="Arial" w:hAnsi="Arial" w:cs="Arial"/>
          <w:i/>
        </w:rPr>
        <w:t>Nat. Rev. Drug Discovery</w:t>
      </w:r>
      <w:r w:rsidRPr="00806135">
        <w:rPr>
          <w:rFonts w:ascii="Arial" w:hAnsi="Arial" w:cs="Arial"/>
        </w:rPr>
        <w:t xml:space="preserve">. </w:t>
      </w:r>
      <w:r w:rsidRPr="00806135">
        <w:rPr>
          <w:rFonts w:ascii="Arial" w:hAnsi="Arial" w:cs="Arial"/>
          <w:b/>
        </w:rPr>
        <w:t>16</w:t>
      </w:r>
      <w:r w:rsidRPr="00806135">
        <w:rPr>
          <w:rFonts w:ascii="Arial" w:hAnsi="Arial" w:cs="Arial"/>
        </w:rPr>
        <w:t>, 531-543 (2017).</w:t>
      </w:r>
    </w:p>
  </w:endnote>
  <w:endnote w:id="4">
    <w:p w14:paraId="144D067E" w14:textId="77777777" w:rsidR="00F0331F" w:rsidRPr="00806135" w:rsidRDefault="00F0331F" w:rsidP="001C4DA5">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Zheng, W.; Thorne, N.; McKew, JC. Phenotypic screens as a renewed approach for drug discovery. </w:t>
      </w:r>
      <w:r w:rsidRPr="00806135">
        <w:rPr>
          <w:rFonts w:ascii="Arial" w:hAnsi="Arial" w:cs="Arial"/>
          <w:i/>
        </w:rPr>
        <w:t>Drug Discov. Today.</w:t>
      </w:r>
      <w:r w:rsidRPr="00806135">
        <w:rPr>
          <w:rFonts w:ascii="Arial" w:hAnsi="Arial" w:cs="Arial"/>
        </w:rPr>
        <w:t xml:space="preserve"> </w:t>
      </w:r>
      <w:r w:rsidRPr="00806135">
        <w:rPr>
          <w:rFonts w:ascii="Arial" w:hAnsi="Arial" w:cs="Arial"/>
          <w:b/>
        </w:rPr>
        <w:t>18</w:t>
      </w:r>
      <w:r w:rsidRPr="00806135">
        <w:rPr>
          <w:rFonts w:ascii="Arial" w:hAnsi="Arial" w:cs="Arial"/>
        </w:rPr>
        <w:t>, 1067-1073 (2013).</w:t>
      </w:r>
    </w:p>
  </w:endnote>
  <w:endnote w:id="5">
    <w:p w14:paraId="142D27C2" w14:textId="77777777" w:rsidR="00F0331F" w:rsidRPr="00806135" w:rsidRDefault="00F0331F" w:rsidP="001C4DA5">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Swinney, D. C. &amp; Anthony, J. How were new medicines discovered? </w:t>
      </w:r>
      <w:r w:rsidRPr="00806135">
        <w:rPr>
          <w:rFonts w:ascii="Arial" w:hAnsi="Arial" w:cs="Arial"/>
          <w:i/>
          <w:iCs/>
        </w:rPr>
        <w:t>Nat. Rev. Drug Discov.</w:t>
      </w:r>
      <w:r w:rsidRPr="00806135">
        <w:rPr>
          <w:rFonts w:ascii="Arial" w:hAnsi="Arial" w:cs="Arial"/>
        </w:rPr>
        <w:t xml:space="preserve"> </w:t>
      </w:r>
      <w:r w:rsidRPr="00806135">
        <w:rPr>
          <w:rFonts w:ascii="Arial" w:hAnsi="Arial" w:cs="Arial"/>
          <w:b/>
          <w:bCs/>
        </w:rPr>
        <w:t>10,</w:t>
      </w:r>
      <w:r w:rsidRPr="00806135">
        <w:rPr>
          <w:rFonts w:ascii="Arial" w:hAnsi="Arial" w:cs="Arial"/>
        </w:rPr>
        <w:t xml:space="preserve"> 507 (2011).</w:t>
      </w:r>
    </w:p>
  </w:endnote>
  <w:endnote w:id="6">
    <w:p w14:paraId="235AFB4B" w14:textId="77777777" w:rsidR="00F0331F" w:rsidRPr="00806135" w:rsidRDefault="00F0331F" w:rsidP="001C4DA5">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Eder, J.; Sedrani, R.; Wiesmann, C. The discovery of first-in-class drugs: origins and evolution. </w:t>
      </w:r>
      <w:r w:rsidRPr="00806135">
        <w:rPr>
          <w:rFonts w:ascii="Arial" w:hAnsi="Arial" w:cs="Arial"/>
          <w:i/>
        </w:rPr>
        <w:t>Nat. Rev. Drug Discovery</w:t>
      </w:r>
      <w:r w:rsidRPr="00806135">
        <w:rPr>
          <w:rFonts w:ascii="Arial" w:hAnsi="Arial" w:cs="Arial"/>
        </w:rPr>
        <w:t xml:space="preserve">. </w:t>
      </w:r>
      <w:r w:rsidRPr="00806135">
        <w:rPr>
          <w:rFonts w:ascii="Arial" w:hAnsi="Arial" w:cs="Arial"/>
          <w:b/>
        </w:rPr>
        <w:t>13</w:t>
      </w:r>
      <w:r w:rsidRPr="00806135">
        <w:rPr>
          <w:rFonts w:ascii="Arial" w:hAnsi="Arial" w:cs="Arial"/>
        </w:rPr>
        <w:t>, 577-587 (2014).</w:t>
      </w:r>
    </w:p>
  </w:endnote>
  <w:endnote w:id="7">
    <w:p w14:paraId="74674076" w14:textId="77777777" w:rsidR="00F0331F" w:rsidRPr="00806135" w:rsidRDefault="00F0331F" w:rsidP="001C4DA5">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Haasen, D.; Schopfer, U.; Antczak, C.; Guy, C.; Fuchs, F.; Selzer, P. How Phenotypic Screening Influenced Drug Discovery: Lessons from Five Years of Practice. </w:t>
      </w:r>
      <w:r w:rsidRPr="00806135">
        <w:rPr>
          <w:rFonts w:ascii="Arial" w:hAnsi="Arial" w:cs="Arial"/>
          <w:i/>
        </w:rPr>
        <w:t>Assay Drug Dev. Technol</w:t>
      </w:r>
      <w:r w:rsidRPr="00806135">
        <w:rPr>
          <w:rFonts w:ascii="Arial" w:hAnsi="Arial" w:cs="Arial"/>
        </w:rPr>
        <w:t xml:space="preserve">. </w:t>
      </w:r>
      <w:r w:rsidRPr="00806135">
        <w:rPr>
          <w:rFonts w:ascii="Arial" w:hAnsi="Arial" w:cs="Arial"/>
          <w:b/>
        </w:rPr>
        <w:t>15</w:t>
      </w:r>
      <w:r w:rsidRPr="00806135">
        <w:rPr>
          <w:rFonts w:ascii="Arial" w:hAnsi="Arial" w:cs="Arial"/>
        </w:rPr>
        <w:t>, 239-246 (2017).</w:t>
      </w:r>
    </w:p>
  </w:endnote>
  <w:endnote w:id="8">
    <w:p w14:paraId="7A2384C7"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Workman, P; Collins, I. Probing the Probes: Fitness Factors For Small Molecule Tools. </w:t>
      </w:r>
      <w:r w:rsidRPr="00806135">
        <w:rPr>
          <w:rFonts w:ascii="Arial" w:hAnsi="Arial" w:cs="Arial"/>
          <w:i/>
        </w:rPr>
        <w:t>Chemistry &amp; Biology</w:t>
      </w:r>
      <w:r w:rsidRPr="00806135">
        <w:rPr>
          <w:rFonts w:ascii="Arial" w:hAnsi="Arial" w:cs="Arial"/>
        </w:rPr>
        <w:t xml:space="preserve"> </w:t>
      </w:r>
      <w:r w:rsidRPr="00806135">
        <w:rPr>
          <w:rFonts w:ascii="Arial" w:hAnsi="Arial" w:cs="Arial"/>
          <w:b/>
        </w:rPr>
        <w:t>17</w:t>
      </w:r>
      <w:r w:rsidRPr="00806135">
        <w:rPr>
          <w:rFonts w:ascii="Arial" w:hAnsi="Arial" w:cs="Arial"/>
        </w:rPr>
        <w:t>, 561-577 (2010).</w:t>
      </w:r>
    </w:p>
  </w:endnote>
  <w:endnote w:id="9">
    <w:p w14:paraId="3FA9C0A7"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Blagg, J.; Workman, P. Choose and Use Your Chemical Probe Wisely to Explore Cancer Biology. Cancer Cell, 32,9-25 (2017).</w:t>
      </w:r>
    </w:p>
  </w:endnote>
  <w:endnote w:id="10">
    <w:p w14:paraId="6E5091F8"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Wang, Y.; Jenkins, J. Quantative Prioritization of Tool Compounds for Phenotypic Screening. </w:t>
      </w:r>
      <w:r w:rsidRPr="00806135">
        <w:rPr>
          <w:rFonts w:ascii="Arial" w:hAnsi="Arial" w:cs="Arial"/>
          <w:i/>
        </w:rPr>
        <w:t>Methods Mol. Biol</w:t>
      </w:r>
      <w:r w:rsidRPr="00806135">
        <w:rPr>
          <w:rFonts w:ascii="Arial" w:hAnsi="Arial" w:cs="Arial"/>
        </w:rPr>
        <w:t xml:space="preserve">. </w:t>
      </w:r>
      <w:r w:rsidRPr="00806135">
        <w:rPr>
          <w:rFonts w:ascii="Arial" w:hAnsi="Arial" w:cs="Arial"/>
          <w:b/>
        </w:rPr>
        <w:t>1787</w:t>
      </w:r>
      <w:r w:rsidRPr="00806135">
        <w:rPr>
          <w:rFonts w:ascii="Arial" w:hAnsi="Arial" w:cs="Arial"/>
        </w:rPr>
        <w:t>, 195-206 (2018).</w:t>
      </w:r>
    </w:p>
  </w:endnote>
  <w:endnote w:id="11">
    <w:p w14:paraId="23FCC5FD"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Wang, Y.; Cornett, A.; King, F.; Mao, Y.; Nigsch, F.; Paris, C.; McAllister, G.; Jenkins, J. Evidence-Based and Quantative Prioritization of Tool Compounds in Phenotypic Drug Discovery. </w:t>
      </w:r>
      <w:r w:rsidRPr="00806135">
        <w:rPr>
          <w:rFonts w:ascii="Arial" w:hAnsi="Arial" w:cs="Arial"/>
          <w:i/>
        </w:rPr>
        <w:t>Cell Chem. Biol</w:t>
      </w:r>
      <w:r w:rsidRPr="00806135">
        <w:rPr>
          <w:rFonts w:ascii="Arial" w:hAnsi="Arial" w:cs="Arial"/>
        </w:rPr>
        <w:t xml:space="preserve">. </w:t>
      </w:r>
      <w:r w:rsidRPr="00806135">
        <w:rPr>
          <w:rFonts w:ascii="Arial" w:hAnsi="Arial" w:cs="Arial"/>
          <w:b/>
        </w:rPr>
        <w:t>23</w:t>
      </w:r>
      <w:r w:rsidRPr="00806135">
        <w:rPr>
          <w:rFonts w:ascii="Arial" w:hAnsi="Arial" w:cs="Arial"/>
        </w:rPr>
        <w:t>, 862-874 (2016).</w:t>
      </w:r>
    </w:p>
  </w:endnote>
  <w:endnote w:id="12">
    <w:p w14:paraId="33444E28" w14:textId="77777777" w:rsidR="00F0331F" w:rsidRPr="00806135" w:rsidRDefault="00F0331F" w:rsidP="002C44C4">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Moret, N. et. Al. Cheminformatics tools for analyzing and designing optimized small molecule libraries. </w:t>
      </w:r>
      <w:r>
        <w:rPr>
          <w:rFonts w:ascii="Arial" w:hAnsi="Arial" w:cs="Arial"/>
          <w:i/>
          <w:iCs/>
        </w:rPr>
        <w:t>Cell Chemical Biology</w:t>
      </w:r>
      <w:r w:rsidRPr="00806135">
        <w:rPr>
          <w:rFonts w:ascii="Arial" w:hAnsi="Arial" w:cs="Arial"/>
          <w:i/>
          <w:iCs/>
        </w:rPr>
        <w:t>.</w:t>
      </w:r>
      <w:r>
        <w:rPr>
          <w:rFonts w:ascii="Arial" w:hAnsi="Arial" w:cs="Arial"/>
          <w:iCs/>
        </w:rPr>
        <w:t xml:space="preserve"> 26, 1-13 </w:t>
      </w:r>
      <w:r w:rsidRPr="00806135">
        <w:rPr>
          <w:rFonts w:ascii="Arial" w:hAnsi="Arial" w:cs="Arial"/>
          <w:iCs/>
        </w:rPr>
        <w:t>(2019)</w:t>
      </w:r>
      <w:r w:rsidRPr="00806135">
        <w:rPr>
          <w:rFonts w:ascii="Arial" w:hAnsi="Arial" w:cs="Arial"/>
        </w:rPr>
        <w:t>.</w:t>
      </w:r>
      <w:r>
        <w:rPr>
          <w:rFonts w:ascii="Arial" w:hAnsi="Arial" w:cs="Arial"/>
        </w:rPr>
        <w:t xml:space="preserve"> </w:t>
      </w:r>
      <w:r w:rsidRPr="002C44C4">
        <w:rPr>
          <w:rFonts w:ascii="Arial" w:hAnsi="Arial" w:cs="Arial"/>
          <w:szCs w:val="17"/>
          <w:shd w:val="clear" w:color="auto" w:fill="FFFFFF"/>
        </w:rPr>
        <w:t>https://doi.org/10.1016/j.chembiol.2019.02.018</w:t>
      </w:r>
    </w:p>
  </w:endnote>
  <w:endnote w:id="13">
    <w:p w14:paraId="5E7726CD" w14:textId="77777777" w:rsidR="00F0331F" w:rsidRPr="00806135" w:rsidRDefault="00F0331F" w:rsidP="00FD03FE">
      <w:pPr>
        <w:pStyle w:val="EndnoteText"/>
        <w:jc w:val="both"/>
        <w:rPr>
          <w:rFonts w:ascii="Arial" w:hAnsi="Arial" w:cs="Arial"/>
          <w:lang w:val="fr-FR"/>
        </w:rPr>
      </w:pPr>
      <w:r w:rsidRPr="00806135">
        <w:rPr>
          <w:rStyle w:val="EndnoteReference"/>
          <w:rFonts w:ascii="Arial" w:hAnsi="Arial" w:cs="Arial"/>
        </w:rPr>
        <w:endnoteRef/>
      </w:r>
      <w:r w:rsidRPr="00806135">
        <w:rPr>
          <w:rFonts w:ascii="Arial" w:hAnsi="Arial" w:cs="Arial"/>
        </w:rPr>
        <w:t xml:space="preserve"> Frye, S. The art of the chemical probe. </w:t>
      </w:r>
      <w:r w:rsidRPr="00806135">
        <w:rPr>
          <w:rFonts w:ascii="Arial" w:hAnsi="Arial" w:cs="Arial"/>
          <w:i/>
          <w:lang w:val="fr-FR"/>
        </w:rPr>
        <w:t>Nat. Chem. Bio</w:t>
      </w:r>
      <w:r w:rsidRPr="00806135">
        <w:rPr>
          <w:rFonts w:ascii="Arial" w:hAnsi="Arial" w:cs="Arial"/>
          <w:lang w:val="fr-FR"/>
        </w:rPr>
        <w:t xml:space="preserve">. </w:t>
      </w:r>
      <w:r w:rsidRPr="00806135">
        <w:rPr>
          <w:rFonts w:ascii="Arial" w:hAnsi="Arial" w:cs="Arial"/>
          <w:b/>
          <w:lang w:val="fr-FR"/>
        </w:rPr>
        <w:t>6</w:t>
      </w:r>
      <w:r w:rsidRPr="00806135">
        <w:rPr>
          <w:rFonts w:ascii="Arial" w:hAnsi="Arial" w:cs="Arial"/>
          <w:lang w:val="fr-FR"/>
        </w:rPr>
        <w:t>, 159-161 (2010).</w:t>
      </w:r>
    </w:p>
  </w:endnote>
  <w:endnote w:id="14">
    <w:p w14:paraId="1C18713F"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Oprea, T. et. Al. A crowdsourcing evaluation of the NIH chemical probes. </w:t>
      </w:r>
      <w:r w:rsidRPr="00806135">
        <w:rPr>
          <w:rFonts w:ascii="Arial" w:hAnsi="Arial" w:cs="Arial"/>
          <w:i/>
        </w:rPr>
        <w:t>Nat. Chem. Bio</w:t>
      </w:r>
      <w:r w:rsidRPr="00806135">
        <w:rPr>
          <w:rFonts w:ascii="Arial" w:hAnsi="Arial" w:cs="Arial"/>
        </w:rPr>
        <w:t xml:space="preserve">. </w:t>
      </w:r>
      <w:r w:rsidRPr="00806135">
        <w:rPr>
          <w:rFonts w:ascii="Arial" w:hAnsi="Arial" w:cs="Arial"/>
          <w:b/>
        </w:rPr>
        <w:t>5</w:t>
      </w:r>
      <w:r w:rsidRPr="00806135">
        <w:rPr>
          <w:rFonts w:ascii="Arial" w:hAnsi="Arial" w:cs="Arial"/>
        </w:rPr>
        <w:t>, 441-447 (2009).</w:t>
      </w:r>
    </w:p>
  </w:endnote>
  <w:endnote w:id="15">
    <w:p w14:paraId="70BD5181"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Arrowsmith, C. et. Al. The Promise and peril of chemical probes. </w:t>
      </w:r>
      <w:r w:rsidRPr="00806135">
        <w:rPr>
          <w:rFonts w:ascii="Arial" w:hAnsi="Arial" w:cs="Arial"/>
          <w:i/>
          <w:iCs/>
        </w:rPr>
        <w:t>Nat. Chem. Bio</w:t>
      </w:r>
      <w:r w:rsidRPr="00806135">
        <w:rPr>
          <w:rFonts w:ascii="Arial" w:hAnsi="Arial" w:cs="Arial"/>
        </w:rPr>
        <w:t xml:space="preserve">. </w:t>
      </w:r>
      <w:r w:rsidRPr="00806135">
        <w:rPr>
          <w:rFonts w:ascii="Arial" w:hAnsi="Arial" w:cs="Arial"/>
          <w:b/>
          <w:bCs/>
        </w:rPr>
        <w:t>11</w:t>
      </w:r>
      <w:r w:rsidRPr="00806135">
        <w:rPr>
          <w:rFonts w:ascii="Arial" w:hAnsi="Arial" w:cs="Arial"/>
        </w:rPr>
        <w:t>, 536-541 (2015).</w:t>
      </w:r>
    </w:p>
  </w:endnote>
  <w:endnote w:id="16">
    <w:p w14:paraId="29ECB6FA"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lang w:val="fr-FR"/>
        </w:rPr>
        <w:t xml:space="preserve"> Pacholec, M. et. </w:t>
      </w:r>
      <w:r w:rsidRPr="00806135">
        <w:rPr>
          <w:rFonts w:ascii="Arial" w:hAnsi="Arial" w:cs="Arial"/>
        </w:rPr>
        <w:t xml:space="preserve">Al. SRT1720, SRT2183, SRT1460, and resveratrol are not direct activators of SIRT1. </w:t>
      </w:r>
      <w:r w:rsidRPr="00806135">
        <w:rPr>
          <w:rFonts w:ascii="Arial" w:hAnsi="Arial" w:cs="Arial"/>
          <w:i/>
        </w:rPr>
        <w:t>J. Biol. Chem</w:t>
      </w:r>
      <w:r w:rsidRPr="00806135">
        <w:rPr>
          <w:rFonts w:ascii="Arial" w:hAnsi="Arial" w:cs="Arial"/>
        </w:rPr>
        <w:t xml:space="preserve">. </w:t>
      </w:r>
      <w:r w:rsidRPr="00806135">
        <w:rPr>
          <w:rFonts w:ascii="Arial" w:hAnsi="Arial" w:cs="Arial"/>
          <w:b/>
        </w:rPr>
        <w:t>285</w:t>
      </w:r>
      <w:r w:rsidRPr="00806135">
        <w:rPr>
          <w:rFonts w:ascii="Arial" w:hAnsi="Arial" w:cs="Arial"/>
        </w:rPr>
        <w:t>, 8340-8351 (2010).</w:t>
      </w:r>
    </w:p>
  </w:endnote>
  <w:endnote w:id="17">
    <w:p w14:paraId="79346B0F" w14:textId="77777777"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Polyakov, V. R.; Moorcroft, N. D.; Drawid, A. Enrichment Analysis for Discovering Biological Associations in Phenotypic Screens. </w:t>
      </w:r>
      <w:r w:rsidRPr="00806135">
        <w:rPr>
          <w:rFonts w:ascii="Arial" w:hAnsi="Arial" w:cs="Arial"/>
          <w:i/>
        </w:rPr>
        <w:t>J. Chem. Inf. Model</w:t>
      </w:r>
      <w:r w:rsidRPr="00806135">
        <w:rPr>
          <w:rFonts w:ascii="Arial" w:hAnsi="Arial" w:cs="Arial"/>
        </w:rPr>
        <w:t xml:space="preserve">. </w:t>
      </w:r>
      <w:r w:rsidRPr="00806135">
        <w:rPr>
          <w:rFonts w:ascii="Arial" w:hAnsi="Arial" w:cs="Arial"/>
          <w:b/>
        </w:rPr>
        <w:t>54</w:t>
      </w:r>
      <w:r w:rsidRPr="00806135">
        <w:rPr>
          <w:rFonts w:ascii="Arial" w:hAnsi="Arial" w:cs="Arial"/>
        </w:rPr>
        <w:t>, 377-386 (2014).</w:t>
      </w:r>
    </w:p>
  </w:endnote>
  <w:endnote w:id="18">
    <w:p w14:paraId="6AFC2146" w14:textId="1DAB8CD8" w:rsidR="00F0331F" w:rsidRPr="00806135"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w:t>
      </w:r>
      <w:r w:rsidR="00434FFE">
        <w:rPr>
          <w:rFonts w:ascii="Arial" w:hAnsi="Arial" w:cs="Arial"/>
        </w:rPr>
        <w:t xml:space="preserve">a.) Reisen, F.; Sauty de Chalon, A.; Pfeifer, M.; Zhang, X.; Gabriel, D.; Selzer, P. Linking phenotypes and modes of action through high-content screening fingerprints. </w:t>
      </w:r>
      <w:r w:rsidR="00434FFE" w:rsidRPr="00434FFE">
        <w:rPr>
          <w:rFonts w:ascii="Arial" w:hAnsi="Arial" w:cs="Arial"/>
          <w:i/>
        </w:rPr>
        <w:t>ASSAY and Drug Development Technologies</w:t>
      </w:r>
      <w:r w:rsidR="00434FFE">
        <w:rPr>
          <w:rFonts w:ascii="Arial" w:hAnsi="Arial" w:cs="Arial"/>
        </w:rPr>
        <w:t xml:space="preserve"> </w:t>
      </w:r>
      <w:r w:rsidR="00434FFE" w:rsidRPr="00434FFE">
        <w:rPr>
          <w:rFonts w:ascii="Arial" w:hAnsi="Arial" w:cs="Arial"/>
          <w:b/>
        </w:rPr>
        <w:t>13</w:t>
      </w:r>
      <w:r w:rsidR="00434FFE">
        <w:rPr>
          <w:rFonts w:ascii="Arial" w:hAnsi="Arial" w:cs="Arial"/>
        </w:rPr>
        <w:t xml:space="preserve">, 415-427 (2015).  b.) </w:t>
      </w:r>
      <w:r w:rsidRPr="00806135">
        <w:rPr>
          <w:rFonts w:ascii="Arial" w:hAnsi="Arial" w:cs="Arial"/>
        </w:rPr>
        <w:t xml:space="preserve">Bray, M.A.; Singh, S.; Han, H.; Davis, C. T.; Borgeson, B.; Hartland, C.; Kost-Alimova, M.; Gustafsdottir, S. M.; Gibson, C. C.; Carpenter, A. E. Cell Painting, a high-content image-based assay for morphological profiling using multiplexed fluorescent dyes. </w:t>
      </w:r>
      <w:r w:rsidRPr="00806135">
        <w:rPr>
          <w:rFonts w:ascii="Arial" w:hAnsi="Arial" w:cs="Arial"/>
          <w:i/>
        </w:rPr>
        <w:t>Nature Protocols</w:t>
      </w:r>
      <w:r w:rsidRPr="00806135">
        <w:rPr>
          <w:rFonts w:ascii="Arial" w:hAnsi="Arial" w:cs="Arial"/>
        </w:rPr>
        <w:t xml:space="preserve"> </w:t>
      </w:r>
      <w:r w:rsidRPr="00806135">
        <w:rPr>
          <w:rFonts w:ascii="Arial" w:hAnsi="Arial" w:cs="Arial"/>
          <w:b/>
        </w:rPr>
        <w:t>11</w:t>
      </w:r>
      <w:r w:rsidRPr="00806135">
        <w:rPr>
          <w:rFonts w:ascii="Arial" w:hAnsi="Arial" w:cs="Arial"/>
        </w:rPr>
        <w:t>, 1757-1774 (2016).</w:t>
      </w:r>
    </w:p>
  </w:endnote>
  <w:endnote w:id="19">
    <w:p w14:paraId="659559F6" w14:textId="77777777" w:rsidR="00F0331F" w:rsidRDefault="00F0331F" w:rsidP="008B5BE6">
      <w:pPr>
        <w:pStyle w:val="EndnoteText"/>
        <w:jc w:val="both"/>
      </w:pPr>
      <w:r>
        <w:rPr>
          <w:rStyle w:val="EndnoteReference"/>
        </w:rPr>
        <w:endnoteRef/>
      </w:r>
      <w:r>
        <w:t xml:space="preserve"> </w:t>
      </w:r>
      <w:r w:rsidRPr="00806135">
        <w:rPr>
          <w:rFonts w:ascii="Arial" w:hAnsi="Arial" w:cs="Arial"/>
        </w:rPr>
        <w:t xml:space="preserve">Ye, C.; Ho, D. J.; Neri, M.; Yang, C.; Kulkarni, T.; Randhawa, R.; Henault, M.; Mostacci, N.; Farmer, P.; Renner, S.; Ihry, R.; Mansur, L.; Keller, C. G.; McAllister, G.; Hild, M.; Jenkins, J.; Kaykas, A. DRUG-seq for miniaturized high-throughput transcriptome profiling in drug discovery. </w:t>
      </w:r>
      <w:r w:rsidRPr="00806135">
        <w:rPr>
          <w:rFonts w:ascii="Arial" w:hAnsi="Arial" w:cs="Arial"/>
          <w:i/>
        </w:rPr>
        <w:t>Nature Communications</w:t>
      </w:r>
      <w:r w:rsidRPr="00806135">
        <w:rPr>
          <w:rFonts w:ascii="Arial" w:hAnsi="Arial" w:cs="Arial"/>
        </w:rPr>
        <w:t xml:space="preserve"> </w:t>
      </w:r>
      <w:r w:rsidRPr="00806135">
        <w:rPr>
          <w:rFonts w:ascii="Arial" w:hAnsi="Arial" w:cs="Arial"/>
          <w:b/>
        </w:rPr>
        <w:t>9</w:t>
      </w:r>
      <w:r w:rsidRPr="00806135">
        <w:rPr>
          <w:rFonts w:ascii="Arial" w:hAnsi="Arial" w:cs="Arial"/>
        </w:rPr>
        <w:t>, 4307 (2018)</w:t>
      </w:r>
      <w:r>
        <w:rPr>
          <w:rFonts w:ascii="Arial" w:hAnsi="Arial" w:cs="Arial"/>
        </w:rPr>
        <w:t>.</w:t>
      </w:r>
    </w:p>
  </w:endnote>
  <w:endnote w:id="20">
    <w:p w14:paraId="2DA922FC" w14:textId="77777777" w:rsidR="00F0331F" w:rsidRPr="008B5BE6" w:rsidRDefault="00F0331F" w:rsidP="008B5BE6">
      <w:pPr>
        <w:pStyle w:val="EndnoteText"/>
        <w:jc w:val="both"/>
        <w:rPr>
          <w:rFonts w:ascii="Arial" w:hAnsi="Arial" w:cs="Arial"/>
        </w:rPr>
      </w:pPr>
      <w:r>
        <w:rPr>
          <w:rStyle w:val="EndnoteReference"/>
        </w:rPr>
        <w:endnoteRef/>
      </w:r>
      <w:r>
        <w:t xml:space="preserve"> </w:t>
      </w:r>
      <w:r w:rsidRPr="00806135">
        <w:rPr>
          <w:rFonts w:ascii="Arial" w:hAnsi="Arial" w:cs="Arial"/>
        </w:rPr>
        <w:t xml:space="preserve">Barretina, J.; Caponigro, G.; Stransky, N.; Venkatesan, K.; Margolin, A.; Kim, S.; Wilson, C. J.; Lehar, J.; Kryukov, G.; Sonkin, D.; Reddy, A.; Liu, M.; Murray, L.; Berger, M.; Monahan, J. E.; Morais, P.; Meltzer, J.; Korejwa, A.; Jane-Valbuena, J.; Mapa, F. A.; Thibault, J.; Bric-Furlong, E.; Raman, P.; Shipway, A.; Engels, I. H.; Cheng, J.; Yu, G. K.; Yu, J.; Aspesi Jr, P.; de Silva, M.;Jagtap, K.; Jones, M. D.; Wang, L.; Hatton, C.; Palescandolo, E.; Gupta, S.; Mahan, S.; Sougnez, C.; Onofrio, R. C.; Liefeld, T.; MacConaill, L.; Winckler, W.; Reich, M.; Li, N.; Mesirov, J. P.; Gabriel, S. B.; Getz, G.; Ardlie, K.; Chan, V.; Myer, V. E.; Weber, B. L.; Porter, J.; Warmuth, M.; Finan, P.; Harris, J. L.; Meyerson, M.; Golub, T. R.; Morrissey, M. P.; Sellers, W. R.; Schlegel, R.; Garraway, L. A. The Cancer Cell Line Encyclopedia enables predictive modeling of </w:t>
      </w:r>
      <w:r w:rsidRPr="008B5BE6">
        <w:rPr>
          <w:rFonts w:ascii="Arial" w:hAnsi="Arial" w:cs="Arial"/>
        </w:rPr>
        <w:t xml:space="preserve">anticancer drug sensitivity. </w:t>
      </w:r>
      <w:r w:rsidRPr="008B5BE6">
        <w:rPr>
          <w:rFonts w:ascii="Arial" w:hAnsi="Arial" w:cs="Arial"/>
          <w:i/>
        </w:rPr>
        <w:t>Nature</w:t>
      </w:r>
      <w:r w:rsidRPr="008B5BE6">
        <w:rPr>
          <w:rFonts w:ascii="Arial" w:hAnsi="Arial" w:cs="Arial"/>
        </w:rPr>
        <w:t xml:space="preserve"> </w:t>
      </w:r>
      <w:r w:rsidRPr="008B5BE6">
        <w:rPr>
          <w:rFonts w:ascii="Arial" w:hAnsi="Arial" w:cs="Arial"/>
          <w:b/>
        </w:rPr>
        <w:t>483</w:t>
      </w:r>
      <w:r w:rsidRPr="008B5BE6">
        <w:rPr>
          <w:rFonts w:ascii="Arial" w:hAnsi="Arial" w:cs="Arial"/>
        </w:rPr>
        <w:t>, 603-607 (2012).</w:t>
      </w:r>
    </w:p>
  </w:endnote>
  <w:endnote w:id="21">
    <w:p w14:paraId="4F971E02" w14:textId="0FE68130" w:rsidR="00125A8D" w:rsidRDefault="00125A8D">
      <w:pPr>
        <w:pStyle w:val="EndnoteText"/>
      </w:pPr>
      <w:r>
        <w:rPr>
          <w:rStyle w:val="EndnoteReference"/>
        </w:rPr>
        <w:endnoteRef/>
      </w:r>
      <w:r>
        <w:t xml:space="preserve"> </w:t>
      </w:r>
      <w:r w:rsidRPr="008B5BE6">
        <w:rPr>
          <w:rFonts w:ascii="Arial" w:hAnsi="Arial" w:cs="Arial"/>
        </w:rPr>
        <w:t>Auld, D.S., Davis, C.A., Jimenez, M., Knight, S. &amp; Orme, J.P. Examinin</w:t>
      </w:r>
      <w:r>
        <w:rPr>
          <w:rFonts w:ascii="Arial" w:hAnsi="Arial" w:cs="Arial"/>
        </w:rPr>
        <w:t xml:space="preserve">g Ligand-Based Stabilization of </w:t>
      </w:r>
      <w:r w:rsidRPr="008B5BE6">
        <w:rPr>
          <w:rFonts w:ascii="Arial" w:hAnsi="Arial" w:cs="Arial"/>
        </w:rPr>
        <w:t xml:space="preserve">Proteins in Cells with MEK1 Kinase Inhibitors. </w:t>
      </w:r>
      <w:r w:rsidRPr="008B5BE6">
        <w:rPr>
          <w:rFonts w:ascii="Arial" w:hAnsi="Arial" w:cs="Arial"/>
          <w:i/>
        </w:rPr>
        <w:t>Assay Drug Dev Technol</w:t>
      </w:r>
      <w:r w:rsidRPr="008B5BE6">
        <w:rPr>
          <w:rFonts w:ascii="Arial" w:hAnsi="Arial" w:cs="Arial"/>
        </w:rPr>
        <w:t xml:space="preserve"> </w:t>
      </w:r>
      <w:r w:rsidRPr="008B5BE6">
        <w:rPr>
          <w:rFonts w:ascii="Arial" w:hAnsi="Arial" w:cs="Arial"/>
          <w:b/>
        </w:rPr>
        <w:t>13</w:t>
      </w:r>
      <w:r w:rsidRPr="008B5BE6">
        <w:rPr>
          <w:rFonts w:ascii="Arial" w:hAnsi="Arial" w:cs="Arial"/>
        </w:rPr>
        <w:t>, 266-76 (2015)</w:t>
      </w:r>
    </w:p>
  </w:endnote>
  <w:endnote w:id="22">
    <w:p w14:paraId="741C3A45" w14:textId="196C34AE" w:rsidR="0097512B" w:rsidRPr="00950B06" w:rsidRDefault="0097512B">
      <w:pPr>
        <w:pStyle w:val="EndnoteText"/>
        <w:rPr>
          <w:rFonts w:ascii="Arial" w:hAnsi="Arial" w:cs="Arial"/>
        </w:rPr>
      </w:pPr>
      <w:r w:rsidRPr="00950B06">
        <w:rPr>
          <w:rStyle w:val="EndnoteReference"/>
          <w:rFonts w:ascii="Arial" w:hAnsi="Arial" w:cs="Arial"/>
        </w:rPr>
        <w:endnoteRef/>
      </w:r>
      <w:r w:rsidRPr="00950B06">
        <w:rPr>
          <w:rFonts w:ascii="Arial" w:hAnsi="Arial" w:cs="Arial"/>
        </w:rPr>
        <w:t xml:space="preserve"> Weiler, S. M. E.; Lutz, T.; Bissinger, M.; Sticht, C.; Knaub, M.; Gretz, N.; Schirmacher, P.; Breuhahn, K. TAZ target gene ITGAV regulates invasion and feeds back positively on YAP and TAZ in liver cancer cells. </w:t>
      </w:r>
      <w:r w:rsidRPr="00950B06">
        <w:rPr>
          <w:rFonts w:ascii="Arial" w:hAnsi="Arial" w:cs="Arial"/>
          <w:i/>
        </w:rPr>
        <w:t>Cancer Letters</w:t>
      </w:r>
      <w:r w:rsidRPr="00950B06">
        <w:rPr>
          <w:rFonts w:ascii="Arial" w:hAnsi="Arial" w:cs="Arial"/>
        </w:rPr>
        <w:t xml:space="preserve">, </w:t>
      </w:r>
      <w:r w:rsidRPr="00950B06">
        <w:rPr>
          <w:rFonts w:ascii="Arial" w:hAnsi="Arial" w:cs="Arial"/>
          <w:b/>
        </w:rPr>
        <w:t>473</w:t>
      </w:r>
      <w:r w:rsidRPr="00950B06">
        <w:rPr>
          <w:rFonts w:ascii="Arial" w:hAnsi="Arial" w:cs="Arial"/>
        </w:rPr>
        <w:t>, 164-175 (2020).</w:t>
      </w:r>
    </w:p>
  </w:endnote>
  <w:endnote w:id="23">
    <w:p w14:paraId="29972B80" w14:textId="00174F55" w:rsidR="0097512B" w:rsidRPr="00950B06" w:rsidRDefault="0097512B">
      <w:pPr>
        <w:pStyle w:val="EndnoteText"/>
        <w:rPr>
          <w:rFonts w:ascii="Arial" w:hAnsi="Arial" w:cs="Arial"/>
        </w:rPr>
      </w:pPr>
      <w:r>
        <w:rPr>
          <w:rStyle w:val="EndnoteReference"/>
        </w:rPr>
        <w:endnoteRef/>
      </w:r>
      <w:r>
        <w:t xml:space="preserve"> </w:t>
      </w:r>
      <w:r>
        <w:rPr>
          <w:rFonts w:ascii="Arial" w:hAnsi="Arial" w:cs="Arial"/>
        </w:rPr>
        <w:t xml:space="preserve">Troilo, A.; Benson, E. K.; Esposito, D.; Garibsingh, R-A.; Reddy, E. P.; Mungamuri, S. K.; Aaronson, S. A. Angiomotin stabilization by tankyrase inhibitors antagonizes constitutive TEAD-dependent transcription and proliferation of human tumor cells with Hippo pathway core component mutations. </w:t>
      </w:r>
      <w:r w:rsidRPr="00950B06">
        <w:rPr>
          <w:rFonts w:ascii="Arial" w:hAnsi="Arial" w:cs="Arial"/>
          <w:i/>
        </w:rPr>
        <w:t>Oncotarget</w:t>
      </w:r>
      <w:r>
        <w:rPr>
          <w:rFonts w:ascii="Arial" w:hAnsi="Arial" w:cs="Arial"/>
        </w:rPr>
        <w:t xml:space="preserve">, </w:t>
      </w:r>
      <w:r w:rsidRPr="00950B06">
        <w:rPr>
          <w:rFonts w:ascii="Arial" w:hAnsi="Arial" w:cs="Arial"/>
          <w:b/>
        </w:rPr>
        <w:t>7</w:t>
      </w:r>
      <w:r>
        <w:rPr>
          <w:rFonts w:ascii="Arial" w:hAnsi="Arial" w:cs="Arial"/>
        </w:rPr>
        <w:t>, 28765-28782 (2016).</w:t>
      </w:r>
    </w:p>
  </w:endnote>
  <w:endnote w:id="24">
    <w:p w14:paraId="77BD92D8" w14:textId="6F66B0CF" w:rsidR="00FC08B5" w:rsidRPr="00950B06" w:rsidRDefault="00FC08B5">
      <w:pPr>
        <w:pStyle w:val="EndnoteText"/>
        <w:rPr>
          <w:rFonts w:ascii="Arial" w:hAnsi="Arial" w:cs="Arial"/>
        </w:rPr>
      </w:pPr>
      <w:r w:rsidRPr="00950B06">
        <w:rPr>
          <w:rStyle w:val="EndnoteReference"/>
          <w:rFonts w:ascii="Arial" w:hAnsi="Arial" w:cs="Arial"/>
        </w:rPr>
        <w:endnoteRef/>
      </w:r>
      <w:r w:rsidRPr="00950B06">
        <w:rPr>
          <w:rFonts w:ascii="Arial" w:hAnsi="Arial" w:cs="Arial"/>
        </w:rPr>
        <w:t xml:space="preserve"> </w:t>
      </w:r>
      <w:r w:rsidR="00B36B91" w:rsidRPr="00950B06">
        <w:rPr>
          <w:rFonts w:ascii="Arial" w:hAnsi="Arial" w:cs="Arial"/>
        </w:rPr>
        <w:t xml:space="preserve">Sikandar, S.; Dizon, D.; Shen, X.; Li, Z.; Besterman, J.; Lipkin, S. M. The Class I HDAC Inhibitor mgcd0103 Induces Cell Cycle Arrest and Apoptosis in Colon Cancer Initiating Cells by Upregulating Dickkopf-1 and Non-canonical </w:t>
      </w:r>
      <w:r w:rsidR="00B36B91" w:rsidRPr="00950B06">
        <w:rPr>
          <w:rFonts w:ascii="Arial" w:hAnsi="Arial" w:cs="Arial"/>
          <w:i/>
        </w:rPr>
        <w:t>Wnt</w:t>
      </w:r>
      <w:r w:rsidR="00B36B91" w:rsidRPr="00950B06">
        <w:rPr>
          <w:rFonts w:ascii="Arial" w:hAnsi="Arial" w:cs="Arial"/>
        </w:rPr>
        <w:t xml:space="preserve"> Signaling. </w:t>
      </w:r>
      <w:r w:rsidR="00B36B91" w:rsidRPr="00950B06">
        <w:rPr>
          <w:rFonts w:ascii="Arial" w:hAnsi="Arial" w:cs="Arial"/>
          <w:i/>
        </w:rPr>
        <w:t>Onotarget</w:t>
      </w:r>
      <w:r w:rsidR="00B36B91" w:rsidRPr="00950B06">
        <w:rPr>
          <w:rFonts w:ascii="Arial" w:hAnsi="Arial" w:cs="Arial"/>
        </w:rPr>
        <w:t xml:space="preserve"> </w:t>
      </w:r>
      <w:r w:rsidR="00B36B91" w:rsidRPr="00950B06">
        <w:rPr>
          <w:rFonts w:ascii="Arial" w:hAnsi="Arial" w:cs="Arial"/>
          <w:b/>
        </w:rPr>
        <w:t>1</w:t>
      </w:r>
      <w:r w:rsidR="00B36B91" w:rsidRPr="00950B06">
        <w:rPr>
          <w:rFonts w:ascii="Arial" w:hAnsi="Arial" w:cs="Arial"/>
        </w:rPr>
        <w:t>, 596-605 (2010).</w:t>
      </w:r>
    </w:p>
  </w:endnote>
  <w:endnote w:id="25">
    <w:p w14:paraId="15A342A9" w14:textId="79DA4C7D" w:rsidR="00FC08B5" w:rsidRPr="00950B06" w:rsidRDefault="00FC08B5">
      <w:pPr>
        <w:pStyle w:val="EndnoteText"/>
        <w:rPr>
          <w:rFonts w:ascii="Arial" w:hAnsi="Arial" w:cs="Arial"/>
        </w:rPr>
      </w:pPr>
      <w:r w:rsidRPr="00950B06">
        <w:rPr>
          <w:rStyle w:val="EndnoteReference"/>
          <w:rFonts w:ascii="Arial" w:hAnsi="Arial" w:cs="Arial"/>
        </w:rPr>
        <w:endnoteRef/>
      </w:r>
      <w:r w:rsidRPr="00950B06">
        <w:rPr>
          <w:rFonts w:ascii="Arial" w:hAnsi="Arial" w:cs="Arial"/>
        </w:rPr>
        <w:t xml:space="preserve"> </w:t>
      </w:r>
      <w:r w:rsidR="00B36B91">
        <w:rPr>
          <w:rFonts w:ascii="Arial" w:hAnsi="Arial" w:cs="Arial"/>
        </w:rPr>
        <w:t xml:space="preserve">Internal efforts will be reported in due course; </w:t>
      </w:r>
      <w:r w:rsidRPr="00950B06">
        <w:rPr>
          <w:rFonts w:ascii="Arial" w:hAnsi="Arial" w:cs="Arial"/>
        </w:rPr>
        <w:t xml:space="preserve">Cong, F. et. Al. Manuscript in preperation. </w:t>
      </w:r>
    </w:p>
  </w:endnote>
  <w:endnote w:id="26">
    <w:p w14:paraId="00FAD907" w14:textId="2B6A6313" w:rsidR="00B23B3A" w:rsidRPr="00950B06" w:rsidRDefault="00B23B3A">
      <w:pPr>
        <w:pStyle w:val="EndnoteText"/>
        <w:rPr>
          <w:rFonts w:ascii="Arial" w:hAnsi="Arial" w:cs="Arial"/>
        </w:rPr>
      </w:pPr>
      <w:r w:rsidRPr="00950B06">
        <w:rPr>
          <w:rStyle w:val="EndnoteReference"/>
          <w:rFonts w:ascii="Arial" w:hAnsi="Arial" w:cs="Arial"/>
        </w:rPr>
        <w:endnoteRef/>
      </w:r>
      <w:r w:rsidRPr="00950B06">
        <w:rPr>
          <w:rFonts w:ascii="Arial" w:hAnsi="Arial" w:cs="Arial"/>
        </w:rPr>
        <w:t xml:space="preserve"> Unpublished results</w:t>
      </w:r>
    </w:p>
  </w:endnote>
  <w:endnote w:id="27">
    <w:p w14:paraId="430A6A2E" w14:textId="183EC075" w:rsidR="00FC08B5" w:rsidRPr="00950B06" w:rsidRDefault="00FC08B5">
      <w:pPr>
        <w:pStyle w:val="EndnoteText"/>
        <w:rPr>
          <w:rFonts w:ascii="Arial" w:hAnsi="Arial" w:cs="Arial"/>
        </w:rPr>
      </w:pPr>
      <w:r w:rsidRPr="00950B06">
        <w:rPr>
          <w:rStyle w:val="EndnoteReference"/>
          <w:rFonts w:ascii="Arial" w:hAnsi="Arial" w:cs="Arial"/>
        </w:rPr>
        <w:endnoteRef/>
      </w:r>
      <w:r w:rsidRPr="00950B06">
        <w:rPr>
          <w:rFonts w:ascii="Arial" w:hAnsi="Arial" w:cs="Arial"/>
        </w:rPr>
        <w:t xml:space="preserve"> Results will be reported in due course.</w:t>
      </w:r>
    </w:p>
  </w:endnote>
  <w:endnote w:id="28">
    <w:p w14:paraId="4CAFF79C" w14:textId="77777777" w:rsidR="00F0331F" w:rsidRDefault="00F0331F" w:rsidP="008B5BE6">
      <w:pPr>
        <w:pStyle w:val="EndnoteText"/>
        <w:jc w:val="both"/>
      </w:pPr>
      <w:r w:rsidRPr="008B5BE6">
        <w:rPr>
          <w:rStyle w:val="EndnoteReference"/>
          <w:rFonts w:ascii="Arial" w:hAnsi="Arial" w:cs="Arial"/>
        </w:rPr>
        <w:endnoteRef/>
      </w:r>
      <w:r w:rsidRPr="008B5BE6">
        <w:rPr>
          <w:rFonts w:ascii="Arial" w:hAnsi="Arial" w:cs="Arial"/>
        </w:rPr>
        <w:t xml:space="preserve"> Liu, S. et al. Size uniformity of animal cells is actively maintained by a p38 MAPK-dependent regulation of G1-length. </w:t>
      </w:r>
      <w:r w:rsidRPr="008B5BE6">
        <w:rPr>
          <w:rFonts w:ascii="Arial" w:hAnsi="Arial" w:cs="Arial"/>
          <w:i/>
        </w:rPr>
        <w:t>Elife</w:t>
      </w:r>
      <w:r w:rsidRPr="008B5BE6">
        <w:rPr>
          <w:rFonts w:ascii="Arial" w:hAnsi="Arial" w:cs="Arial"/>
        </w:rPr>
        <w:t xml:space="preserve"> </w:t>
      </w:r>
      <w:r w:rsidRPr="008B5BE6">
        <w:rPr>
          <w:rFonts w:ascii="Arial" w:hAnsi="Arial" w:cs="Arial"/>
          <w:b/>
        </w:rPr>
        <w:t>7</w:t>
      </w:r>
      <w:r w:rsidRPr="008B5BE6">
        <w:rPr>
          <w:rFonts w:ascii="Arial" w:hAnsi="Arial" w:cs="Arial"/>
        </w:rPr>
        <w:t>(2018).</w:t>
      </w:r>
    </w:p>
  </w:endnote>
  <w:endnote w:id="29">
    <w:p w14:paraId="6422317E" w14:textId="35A0F773" w:rsidR="0069224B" w:rsidRPr="00950B06" w:rsidRDefault="0069224B">
      <w:pPr>
        <w:pStyle w:val="EndnoteText"/>
        <w:rPr>
          <w:rFonts w:ascii="Arial" w:hAnsi="Arial" w:cs="Arial"/>
        </w:rPr>
      </w:pPr>
      <w:r>
        <w:rPr>
          <w:rStyle w:val="EndnoteReference"/>
        </w:rPr>
        <w:endnoteRef/>
      </w:r>
      <w:r>
        <w:t xml:space="preserve"> </w:t>
      </w:r>
      <w:r>
        <w:rPr>
          <w:rFonts w:ascii="Arial" w:hAnsi="Arial" w:cs="Arial"/>
        </w:rPr>
        <w:t xml:space="preserve">Lukonin, I.; Serra, D.; </w:t>
      </w:r>
      <w:r w:rsidR="00DF2DAE">
        <w:rPr>
          <w:rFonts w:ascii="Arial" w:hAnsi="Arial" w:cs="Arial"/>
        </w:rPr>
        <w:t xml:space="preserve">Meylan, L.; </w:t>
      </w:r>
      <w:r>
        <w:rPr>
          <w:rFonts w:ascii="Arial" w:hAnsi="Arial" w:cs="Arial"/>
        </w:rPr>
        <w:t xml:space="preserve">Volkmann, K.; Baaten, J.; Zhao, R.; </w:t>
      </w:r>
      <w:r w:rsidR="00DF2DAE">
        <w:rPr>
          <w:rFonts w:ascii="Arial" w:hAnsi="Arial" w:cs="Arial"/>
        </w:rPr>
        <w:t xml:space="preserve">Meeusen, S.; </w:t>
      </w:r>
      <w:r>
        <w:rPr>
          <w:rFonts w:ascii="Arial" w:hAnsi="Arial" w:cs="Arial"/>
        </w:rPr>
        <w:t xml:space="preserve">Maurer, F.; Stadler, M.; Jenkins, J.; Liberali, P. </w:t>
      </w:r>
      <w:r w:rsidR="00DF2DAE">
        <w:rPr>
          <w:rFonts w:ascii="Arial" w:hAnsi="Arial" w:cs="Arial"/>
        </w:rPr>
        <w:t>Regenerative landscape of intestinal organoids</w:t>
      </w:r>
      <w:r>
        <w:rPr>
          <w:rFonts w:ascii="Arial" w:hAnsi="Arial" w:cs="Arial"/>
        </w:rPr>
        <w:t xml:space="preserve">. </w:t>
      </w:r>
      <w:r w:rsidR="00DF2DAE">
        <w:rPr>
          <w:rFonts w:ascii="Arial" w:hAnsi="Arial" w:cs="Arial"/>
        </w:rPr>
        <w:t xml:space="preserve">Cell (2020) </w:t>
      </w:r>
      <w:r w:rsidRPr="00950B06">
        <w:rPr>
          <w:rFonts w:ascii="Arial" w:hAnsi="Arial" w:cs="Arial"/>
          <w:i/>
        </w:rPr>
        <w:t>Manuscript in pr</w:t>
      </w:r>
      <w:r w:rsidR="00DF2DAE">
        <w:rPr>
          <w:rFonts w:ascii="Arial" w:hAnsi="Arial" w:cs="Arial"/>
          <w:i/>
        </w:rPr>
        <w:t>ess</w:t>
      </w:r>
      <w:r>
        <w:rPr>
          <w:rFonts w:ascii="Arial" w:hAnsi="Arial" w:cs="Arial"/>
        </w:rPr>
        <w:t>.</w:t>
      </w:r>
    </w:p>
  </w:endnote>
  <w:endnote w:id="30">
    <w:p w14:paraId="15BB0240" w14:textId="77777777" w:rsidR="00F0331F" w:rsidRPr="008B5BE6" w:rsidRDefault="00F0331F" w:rsidP="008B5BE6">
      <w:pPr>
        <w:pStyle w:val="EndnoteText"/>
        <w:jc w:val="both"/>
        <w:rPr>
          <w:rFonts w:ascii="Arial" w:hAnsi="Arial" w:cs="Arial"/>
        </w:rPr>
      </w:pPr>
      <w:r w:rsidRPr="008B5BE6">
        <w:rPr>
          <w:rStyle w:val="EndnoteReference"/>
          <w:rFonts w:ascii="Arial" w:hAnsi="Arial" w:cs="Arial"/>
        </w:rPr>
        <w:endnoteRef/>
      </w:r>
      <w:r w:rsidRPr="008B5BE6">
        <w:rPr>
          <w:rFonts w:ascii="Arial" w:hAnsi="Arial" w:cs="Arial"/>
        </w:rPr>
        <w:t xml:space="preserve"> Koch, P.D. et al. A High Content Screen in Macrophages Identifies Small Molecule Modulators of STING-IRF3 and NFkB Signaling. </w:t>
      </w:r>
      <w:r w:rsidRPr="008B5BE6">
        <w:rPr>
          <w:rFonts w:ascii="Arial" w:hAnsi="Arial" w:cs="Arial"/>
          <w:i/>
        </w:rPr>
        <w:t>ACS Chem Biol</w:t>
      </w:r>
      <w:r w:rsidRPr="008B5BE6">
        <w:rPr>
          <w:rFonts w:ascii="Arial" w:hAnsi="Arial" w:cs="Arial"/>
        </w:rPr>
        <w:t xml:space="preserve"> </w:t>
      </w:r>
      <w:r w:rsidRPr="008B5BE6">
        <w:rPr>
          <w:rFonts w:ascii="Arial" w:hAnsi="Arial" w:cs="Arial"/>
          <w:b/>
        </w:rPr>
        <w:t>13</w:t>
      </w:r>
      <w:r w:rsidRPr="008B5BE6">
        <w:rPr>
          <w:rFonts w:ascii="Arial" w:hAnsi="Arial" w:cs="Arial"/>
        </w:rPr>
        <w:t>, 1066-1081 (2018).</w:t>
      </w:r>
    </w:p>
  </w:endnote>
  <w:endnote w:id="31">
    <w:p w14:paraId="42521E47" w14:textId="77777777" w:rsidR="00F0331F" w:rsidRDefault="00F0331F" w:rsidP="008B5BE6">
      <w:pPr>
        <w:pStyle w:val="EndnoteText"/>
        <w:jc w:val="both"/>
      </w:pPr>
      <w:r>
        <w:rPr>
          <w:rStyle w:val="EndnoteReference"/>
        </w:rPr>
        <w:endnoteRef/>
      </w:r>
      <w:r>
        <w:t xml:space="preserve"> </w:t>
      </w:r>
      <w:r w:rsidRPr="008B5BE6">
        <w:rPr>
          <w:rFonts w:ascii="Arial" w:hAnsi="Arial" w:cs="Arial"/>
        </w:rPr>
        <w:t>In collaboration with Perlara, PBC. Results will be reported in due course.</w:t>
      </w:r>
    </w:p>
  </w:endnote>
  <w:endnote w:id="32">
    <w:p w14:paraId="0248A1A2" w14:textId="77777777" w:rsidR="00F0331F" w:rsidRDefault="00F0331F" w:rsidP="008B5BE6">
      <w:pPr>
        <w:pStyle w:val="EndnoteText"/>
        <w:jc w:val="both"/>
        <w:rPr>
          <w:rFonts w:ascii="Arial" w:hAnsi="Arial" w:cs="Arial"/>
        </w:rPr>
      </w:pPr>
      <w:r w:rsidRPr="00806135">
        <w:rPr>
          <w:rStyle w:val="EndnoteReference"/>
          <w:rFonts w:ascii="Arial" w:hAnsi="Arial" w:cs="Arial"/>
        </w:rPr>
        <w:endnoteRef/>
      </w:r>
      <w:r w:rsidRPr="00806135">
        <w:rPr>
          <w:rFonts w:ascii="Arial" w:hAnsi="Arial" w:cs="Arial"/>
        </w:rPr>
        <w:t xml:space="preserve"> </w:t>
      </w:r>
      <w:r w:rsidRPr="00FC513F">
        <w:t xml:space="preserve"> </w:t>
      </w:r>
      <w:r w:rsidRPr="008B5BE6">
        <w:rPr>
          <w:rFonts w:ascii="Arial" w:hAnsi="Arial" w:cs="Arial"/>
        </w:rPr>
        <w:t xml:space="preserve">Diao, S., Ho, P.-i., Jimenez, M., Auld, D. &amp; Zuo, J. A High-Throughput Screen Identifies POU4F3 Transcriptional Agonists for Hair Cell Regeneration in Mammalian Cochleae. in </w:t>
      </w:r>
      <w:r w:rsidRPr="008B5BE6">
        <w:rPr>
          <w:rFonts w:ascii="Arial" w:hAnsi="Arial" w:cs="Arial"/>
          <w:i/>
        </w:rPr>
        <w:t xml:space="preserve">Association of research in otolaryngology </w:t>
      </w:r>
      <w:r w:rsidRPr="008B5BE6">
        <w:rPr>
          <w:rFonts w:ascii="Arial" w:hAnsi="Arial" w:cs="Arial"/>
        </w:rPr>
        <w:t>(San Diego, CA, 2018)</w:t>
      </w:r>
    </w:p>
    <w:p w14:paraId="376D7861" w14:textId="77777777" w:rsidR="00F0331F" w:rsidRDefault="00F0331F" w:rsidP="008B5BE6">
      <w:pPr>
        <w:pStyle w:val="EndnoteText"/>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58566" w14:textId="77777777" w:rsidR="0020251F" w:rsidRDefault="0020251F" w:rsidP="00FC6AD1">
      <w:pPr>
        <w:spacing w:after="0" w:line="240" w:lineRule="auto"/>
      </w:pPr>
      <w:r>
        <w:separator/>
      </w:r>
    </w:p>
  </w:footnote>
  <w:footnote w:type="continuationSeparator" w:id="0">
    <w:p w14:paraId="6327A691" w14:textId="77777777" w:rsidR="0020251F" w:rsidRDefault="0020251F" w:rsidP="00FC6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514B2"/>
    <w:multiLevelType w:val="hybridMultilevel"/>
    <w:tmpl w:val="DC2C0374"/>
    <w:lvl w:ilvl="0" w:tplc="5014989A">
      <w:start w:val="200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10318"/>
    <w:multiLevelType w:val="hybridMultilevel"/>
    <w:tmpl w:val="08B8B664"/>
    <w:lvl w:ilvl="0" w:tplc="14CC16A4">
      <w:numFmt w:val="bullet"/>
      <w:lvlText w:val=""/>
      <w:lvlJc w:val="left"/>
      <w:pPr>
        <w:ind w:left="420" w:hanging="360"/>
      </w:pPr>
      <w:rPr>
        <w:rFonts w:ascii="Symbol" w:eastAsia="Arial"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D222545"/>
    <w:multiLevelType w:val="hybridMultilevel"/>
    <w:tmpl w:val="6C36B4B0"/>
    <w:lvl w:ilvl="0" w:tplc="AF1AF01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1136C"/>
    <w:multiLevelType w:val="hybridMultilevel"/>
    <w:tmpl w:val="852C5720"/>
    <w:lvl w:ilvl="0" w:tplc="ED58CD0A">
      <w:start w:val="200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D7E2F"/>
    <w:multiLevelType w:val="hybridMultilevel"/>
    <w:tmpl w:val="7AE2B05E"/>
    <w:lvl w:ilvl="0" w:tplc="ED58CD0A">
      <w:start w:val="200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FR"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21"/>
    <w:rsid w:val="00003DA5"/>
    <w:rsid w:val="00005067"/>
    <w:rsid w:val="00010841"/>
    <w:rsid w:val="000301E4"/>
    <w:rsid w:val="00033006"/>
    <w:rsid w:val="00036958"/>
    <w:rsid w:val="000458C8"/>
    <w:rsid w:val="00047C94"/>
    <w:rsid w:val="00070511"/>
    <w:rsid w:val="000718F4"/>
    <w:rsid w:val="00080C3C"/>
    <w:rsid w:val="00084216"/>
    <w:rsid w:val="000843D9"/>
    <w:rsid w:val="00092B95"/>
    <w:rsid w:val="00096CF8"/>
    <w:rsid w:val="0009795F"/>
    <w:rsid w:val="000C0B15"/>
    <w:rsid w:val="000C3398"/>
    <w:rsid w:val="000C47E4"/>
    <w:rsid w:val="000D5FA1"/>
    <w:rsid w:val="000E0F98"/>
    <w:rsid w:val="000E186A"/>
    <w:rsid w:val="000F23C0"/>
    <w:rsid w:val="001134B5"/>
    <w:rsid w:val="00125A8D"/>
    <w:rsid w:val="00133095"/>
    <w:rsid w:val="00133A29"/>
    <w:rsid w:val="001362D1"/>
    <w:rsid w:val="001433FE"/>
    <w:rsid w:val="0015224C"/>
    <w:rsid w:val="001552FF"/>
    <w:rsid w:val="0015795C"/>
    <w:rsid w:val="001717B5"/>
    <w:rsid w:val="00176954"/>
    <w:rsid w:val="001962AA"/>
    <w:rsid w:val="001971FE"/>
    <w:rsid w:val="001A27F9"/>
    <w:rsid w:val="001B4CA0"/>
    <w:rsid w:val="001B6718"/>
    <w:rsid w:val="001B76FA"/>
    <w:rsid w:val="001C1FF7"/>
    <w:rsid w:val="001C260A"/>
    <w:rsid w:val="001C3111"/>
    <w:rsid w:val="001C3E11"/>
    <w:rsid w:val="001C4DA5"/>
    <w:rsid w:val="001C7BA5"/>
    <w:rsid w:val="001D2143"/>
    <w:rsid w:val="001D4832"/>
    <w:rsid w:val="001E0C3F"/>
    <w:rsid w:val="001E3C13"/>
    <w:rsid w:val="001F41E0"/>
    <w:rsid w:val="001F603C"/>
    <w:rsid w:val="00201240"/>
    <w:rsid w:val="0020127D"/>
    <w:rsid w:val="0020251F"/>
    <w:rsid w:val="00205545"/>
    <w:rsid w:val="002064D7"/>
    <w:rsid w:val="00214FB0"/>
    <w:rsid w:val="00215D50"/>
    <w:rsid w:val="002215C9"/>
    <w:rsid w:val="00221E0A"/>
    <w:rsid w:val="00225704"/>
    <w:rsid w:val="00232932"/>
    <w:rsid w:val="00232FF9"/>
    <w:rsid w:val="002420E7"/>
    <w:rsid w:val="00263364"/>
    <w:rsid w:val="00266B0D"/>
    <w:rsid w:val="002670AA"/>
    <w:rsid w:val="0027671A"/>
    <w:rsid w:val="002835F7"/>
    <w:rsid w:val="00285528"/>
    <w:rsid w:val="00285D3D"/>
    <w:rsid w:val="00294CA3"/>
    <w:rsid w:val="0029773B"/>
    <w:rsid w:val="002A77C2"/>
    <w:rsid w:val="002C0F35"/>
    <w:rsid w:val="002C44C4"/>
    <w:rsid w:val="002D4A2C"/>
    <w:rsid w:val="002D5C4C"/>
    <w:rsid w:val="002E33F3"/>
    <w:rsid w:val="002E7BEA"/>
    <w:rsid w:val="002F4B4B"/>
    <w:rsid w:val="00304356"/>
    <w:rsid w:val="0031126A"/>
    <w:rsid w:val="00312AAE"/>
    <w:rsid w:val="003145C3"/>
    <w:rsid w:val="003169B0"/>
    <w:rsid w:val="003218B0"/>
    <w:rsid w:val="0032325F"/>
    <w:rsid w:val="00333194"/>
    <w:rsid w:val="0033570A"/>
    <w:rsid w:val="00347797"/>
    <w:rsid w:val="00347798"/>
    <w:rsid w:val="003478C3"/>
    <w:rsid w:val="00355409"/>
    <w:rsid w:val="003562A0"/>
    <w:rsid w:val="003569A9"/>
    <w:rsid w:val="003656C1"/>
    <w:rsid w:val="0037731E"/>
    <w:rsid w:val="00383EF8"/>
    <w:rsid w:val="0038696D"/>
    <w:rsid w:val="00387FE6"/>
    <w:rsid w:val="0039042D"/>
    <w:rsid w:val="00392471"/>
    <w:rsid w:val="003953DA"/>
    <w:rsid w:val="00395713"/>
    <w:rsid w:val="003A141B"/>
    <w:rsid w:val="003B5660"/>
    <w:rsid w:val="003B6E73"/>
    <w:rsid w:val="003B6FA6"/>
    <w:rsid w:val="003B7F25"/>
    <w:rsid w:val="003C0A03"/>
    <w:rsid w:val="003C2306"/>
    <w:rsid w:val="003D1420"/>
    <w:rsid w:val="003E75DC"/>
    <w:rsid w:val="003F2FCC"/>
    <w:rsid w:val="0041277E"/>
    <w:rsid w:val="00430770"/>
    <w:rsid w:val="004328FF"/>
    <w:rsid w:val="00434FFE"/>
    <w:rsid w:val="00440994"/>
    <w:rsid w:val="00444317"/>
    <w:rsid w:val="004548F9"/>
    <w:rsid w:val="004613D1"/>
    <w:rsid w:val="0046191F"/>
    <w:rsid w:val="0047712C"/>
    <w:rsid w:val="004774E9"/>
    <w:rsid w:val="00484CED"/>
    <w:rsid w:val="004860D8"/>
    <w:rsid w:val="00490EBF"/>
    <w:rsid w:val="0049169E"/>
    <w:rsid w:val="00496A8B"/>
    <w:rsid w:val="004A0997"/>
    <w:rsid w:val="004A3D69"/>
    <w:rsid w:val="004A56B7"/>
    <w:rsid w:val="004A710D"/>
    <w:rsid w:val="004C6A02"/>
    <w:rsid w:val="004E1B66"/>
    <w:rsid w:val="004E2A7C"/>
    <w:rsid w:val="004E366E"/>
    <w:rsid w:val="004E4D2F"/>
    <w:rsid w:val="00511D5C"/>
    <w:rsid w:val="005131A2"/>
    <w:rsid w:val="0051502F"/>
    <w:rsid w:val="00531254"/>
    <w:rsid w:val="005416FF"/>
    <w:rsid w:val="0054341A"/>
    <w:rsid w:val="00551704"/>
    <w:rsid w:val="00563E08"/>
    <w:rsid w:val="00565449"/>
    <w:rsid w:val="00565C4B"/>
    <w:rsid w:val="005705E5"/>
    <w:rsid w:val="00572737"/>
    <w:rsid w:val="00573F9C"/>
    <w:rsid w:val="005762DB"/>
    <w:rsid w:val="005829F5"/>
    <w:rsid w:val="005878E1"/>
    <w:rsid w:val="00597853"/>
    <w:rsid w:val="005A0D15"/>
    <w:rsid w:val="005A2A8D"/>
    <w:rsid w:val="005A4A2C"/>
    <w:rsid w:val="005B2BB0"/>
    <w:rsid w:val="005B3C45"/>
    <w:rsid w:val="005B3F6B"/>
    <w:rsid w:val="005B4D40"/>
    <w:rsid w:val="005D249A"/>
    <w:rsid w:val="005E2A06"/>
    <w:rsid w:val="005F0E56"/>
    <w:rsid w:val="005F6B6D"/>
    <w:rsid w:val="00600449"/>
    <w:rsid w:val="00600467"/>
    <w:rsid w:val="006027AC"/>
    <w:rsid w:val="00603421"/>
    <w:rsid w:val="00604CD3"/>
    <w:rsid w:val="006133CD"/>
    <w:rsid w:val="0061600C"/>
    <w:rsid w:val="00616441"/>
    <w:rsid w:val="00616A8C"/>
    <w:rsid w:val="00621650"/>
    <w:rsid w:val="00622279"/>
    <w:rsid w:val="00643508"/>
    <w:rsid w:val="006435C3"/>
    <w:rsid w:val="00644847"/>
    <w:rsid w:val="00644855"/>
    <w:rsid w:val="00647555"/>
    <w:rsid w:val="006479BA"/>
    <w:rsid w:val="0065342F"/>
    <w:rsid w:val="0066088B"/>
    <w:rsid w:val="00691B91"/>
    <w:rsid w:val="0069224B"/>
    <w:rsid w:val="006922DD"/>
    <w:rsid w:val="00693B80"/>
    <w:rsid w:val="006951B6"/>
    <w:rsid w:val="006963A7"/>
    <w:rsid w:val="006A0098"/>
    <w:rsid w:val="006A381A"/>
    <w:rsid w:val="006A7058"/>
    <w:rsid w:val="006B3175"/>
    <w:rsid w:val="006D51F4"/>
    <w:rsid w:val="006D5DF7"/>
    <w:rsid w:val="006E2214"/>
    <w:rsid w:val="006E70C2"/>
    <w:rsid w:val="006F512A"/>
    <w:rsid w:val="006F7321"/>
    <w:rsid w:val="00701061"/>
    <w:rsid w:val="00703464"/>
    <w:rsid w:val="00703E77"/>
    <w:rsid w:val="00705B0B"/>
    <w:rsid w:val="00714009"/>
    <w:rsid w:val="0071513B"/>
    <w:rsid w:val="00720E21"/>
    <w:rsid w:val="00733D3F"/>
    <w:rsid w:val="007340FD"/>
    <w:rsid w:val="007554D8"/>
    <w:rsid w:val="00761575"/>
    <w:rsid w:val="00765C92"/>
    <w:rsid w:val="007733EB"/>
    <w:rsid w:val="0077686F"/>
    <w:rsid w:val="007935AD"/>
    <w:rsid w:val="00796962"/>
    <w:rsid w:val="007A0A81"/>
    <w:rsid w:val="007A70C8"/>
    <w:rsid w:val="007B64A4"/>
    <w:rsid w:val="007C15E9"/>
    <w:rsid w:val="007C7AA1"/>
    <w:rsid w:val="007D1FBD"/>
    <w:rsid w:val="007F109A"/>
    <w:rsid w:val="00806135"/>
    <w:rsid w:val="0080746F"/>
    <w:rsid w:val="00812941"/>
    <w:rsid w:val="008143C3"/>
    <w:rsid w:val="00837B45"/>
    <w:rsid w:val="00841C3F"/>
    <w:rsid w:val="00861AAF"/>
    <w:rsid w:val="0086B391"/>
    <w:rsid w:val="00875D58"/>
    <w:rsid w:val="0089770C"/>
    <w:rsid w:val="00897F0A"/>
    <w:rsid w:val="008A578C"/>
    <w:rsid w:val="008A5A14"/>
    <w:rsid w:val="008B2EA3"/>
    <w:rsid w:val="008B5BE6"/>
    <w:rsid w:val="008C2DD1"/>
    <w:rsid w:val="008C4E00"/>
    <w:rsid w:val="008C5E78"/>
    <w:rsid w:val="008C720D"/>
    <w:rsid w:val="008C7351"/>
    <w:rsid w:val="008D0F70"/>
    <w:rsid w:val="008E27F7"/>
    <w:rsid w:val="008E6263"/>
    <w:rsid w:val="008E6F45"/>
    <w:rsid w:val="008E7EA3"/>
    <w:rsid w:val="008E7FB1"/>
    <w:rsid w:val="008F3221"/>
    <w:rsid w:val="00913264"/>
    <w:rsid w:val="009214D1"/>
    <w:rsid w:val="0093410D"/>
    <w:rsid w:val="009409B5"/>
    <w:rsid w:val="00945A30"/>
    <w:rsid w:val="00950B06"/>
    <w:rsid w:val="00951019"/>
    <w:rsid w:val="009620A7"/>
    <w:rsid w:val="00971C83"/>
    <w:rsid w:val="00971CBB"/>
    <w:rsid w:val="0097512B"/>
    <w:rsid w:val="00983AFA"/>
    <w:rsid w:val="00984955"/>
    <w:rsid w:val="009977AB"/>
    <w:rsid w:val="009A1622"/>
    <w:rsid w:val="009A26C5"/>
    <w:rsid w:val="009B6C68"/>
    <w:rsid w:val="009D4393"/>
    <w:rsid w:val="009D4C10"/>
    <w:rsid w:val="009E7E3C"/>
    <w:rsid w:val="009F1B07"/>
    <w:rsid w:val="009F52D1"/>
    <w:rsid w:val="00A12DDF"/>
    <w:rsid w:val="00A149E6"/>
    <w:rsid w:val="00A233D0"/>
    <w:rsid w:val="00A47A52"/>
    <w:rsid w:val="00A5700A"/>
    <w:rsid w:val="00A90448"/>
    <w:rsid w:val="00A95AB7"/>
    <w:rsid w:val="00AA1B41"/>
    <w:rsid w:val="00AA3B17"/>
    <w:rsid w:val="00AB1B2C"/>
    <w:rsid w:val="00AB454B"/>
    <w:rsid w:val="00AB7A8B"/>
    <w:rsid w:val="00AD7379"/>
    <w:rsid w:val="00AE1798"/>
    <w:rsid w:val="00AF59BF"/>
    <w:rsid w:val="00B0600B"/>
    <w:rsid w:val="00B22B13"/>
    <w:rsid w:val="00B22B65"/>
    <w:rsid w:val="00B23B3A"/>
    <w:rsid w:val="00B256D2"/>
    <w:rsid w:val="00B27C48"/>
    <w:rsid w:val="00B32EF8"/>
    <w:rsid w:val="00B36B91"/>
    <w:rsid w:val="00B42524"/>
    <w:rsid w:val="00B53178"/>
    <w:rsid w:val="00B5472B"/>
    <w:rsid w:val="00B578CA"/>
    <w:rsid w:val="00B61B39"/>
    <w:rsid w:val="00B61FED"/>
    <w:rsid w:val="00B708E8"/>
    <w:rsid w:val="00B848D2"/>
    <w:rsid w:val="00B87577"/>
    <w:rsid w:val="00B91F8A"/>
    <w:rsid w:val="00B92F7B"/>
    <w:rsid w:val="00B956A1"/>
    <w:rsid w:val="00BB5569"/>
    <w:rsid w:val="00BC3EE8"/>
    <w:rsid w:val="00BC51F8"/>
    <w:rsid w:val="00BD00DE"/>
    <w:rsid w:val="00BD6195"/>
    <w:rsid w:val="00BD6DDD"/>
    <w:rsid w:val="00BD6EEA"/>
    <w:rsid w:val="00BE230C"/>
    <w:rsid w:val="00BE7DCE"/>
    <w:rsid w:val="00BF0224"/>
    <w:rsid w:val="00BF35A7"/>
    <w:rsid w:val="00BF520D"/>
    <w:rsid w:val="00BF5F4D"/>
    <w:rsid w:val="00C00505"/>
    <w:rsid w:val="00C01905"/>
    <w:rsid w:val="00C0203F"/>
    <w:rsid w:val="00C10D71"/>
    <w:rsid w:val="00C14147"/>
    <w:rsid w:val="00C20C48"/>
    <w:rsid w:val="00C30CA6"/>
    <w:rsid w:val="00C37138"/>
    <w:rsid w:val="00C42B6D"/>
    <w:rsid w:val="00C436EC"/>
    <w:rsid w:val="00C569ED"/>
    <w:rsid w:val="00C76388"/>
    <w:rsid w:val="00C824D4"/>
    <w:rsid w:val="00CB03B7"/>
    <w:rsid w:val="00CB6281"/>
    <w:rsid w:val="00CC4349"/>
    <w:rsid w:val="00CD4B1D"/>
    <w:rsid w:val="00CD6275"/>
    <w:rsid w:val="00CD7C4B"/>
    <w:rsid w:val="00CE2C87"/>
    <w:rsid w:val="00CE42C1"/>
    <w:rsid w:val="00CE5ADD"/>
    <w:rsid w:val="00CF36CC"/>
    <w:rsid w:val="00CF5726"/>
    <w:rsid w:val="00D218C8"/>
    <w:rsid w:val="00D22C7C"/>
    <w:rsid w:val="00D23105"/>
    <w:rsid w:val="00D243FD"/>
    <w:rsid w:val="00D258DA"/>
    <w:rsid w:val="00D3600E"/>
    <w:rsid w:val="00D361F7"/>
    <w:rsid w:val="00D4736F"/>
    <w:rsid w:val="00D63F93"/>
    <w:rsid w:val="00D64631"/>
    <w:rsid w:val="00D70770"/>
    <w:rsid w:val="00D73932"/>
    <w:rsid w:val="00D80E51"/>
    <w:rsid w:val="00D81C01"/>
    <w:rsid w:val="00D84923"/>
    <w:rsid w:val="00D8617C"/>
    <w:rsid w:val="00D915B7"/>
    <w:rsid w:val="00D9330D"/>
    <w:rsid w:val="00D934B1"/>
    <w:rsid w:val="00D9657C"/>
    <w:rsid w:val="00D969B3"/>
    <w:rsid w:val="00DA2758"/>
    <w:rsid w:val="00DA4DF5"/>
    <w:rsid w:val="00DB6484"/>
    <w:rsid w:val="00DC1159"/>
    <w:rsid w:val="00DC5615"/>
    <w:rsid w:val="00DC6009"/>
    <w:rsid w:val="00DC7ADE"/>
    <w:rsid w:val="00DD2DA5"/>
    <w:rsid w:val="00DD38D6"/>
    <w:rsid w:val="00DD3B5A"/>
    <w:rsid w:val="00DD5FB3"/>
    <w:rsid w:val="00DE0232"/>
    <w:rsid w:val="00DE0AF3"/>
    <w:rsid w:val="00DE18A4"/>
    <w:rsid w:val="00DF2DAE"/>
    <w:rsid w:val="00DF2E8D"/>
    <w:rsid w:val="00DF3BF6"/>
    <w:rsid w:val="00E076FB"/>
    <w:rsid w:val="00E11A56"/>
    <w:rsid w:val="00E155F1"/>
    <w:rsid w:val="00E20F4B"/>
    <w:rsid w:val="00E230FC"/>
    <w:rsid w:val="00E30F72"/>
    <w:rsid w:val="00E33E54"/>
    <w:rsid w:val="00E3629A"/>
    <w:rsid w:val="00E36DA4"/>
    <w:rsid w:val="00E42326"/>
    <w:rsid w:val="00E44D92"/>
    <w:rsid w:val="00E45C60"/>
    <w:rsid w:val="00E47817"/>
    <w:rsid w:val="00E51402"/>
    <w:rsid w:val="00E60DED"/>
    <w:rsid w:val="00E63416"/>
    <w:rsid w:val="00E67FB7"/>
    <w:rsid w:val="00E70F2B"/>
    <w:rsid w:val="00E713EE"/>
    <w:rsid w:val="00E72D19"/>
    <w:rsid w:val="00E82C68"/>
    <w:rsid w:val="00E853C5"/>
    <w:rsid w:val="00E86AC8"/>
    <w:rsid w:val="00EB3656"/>
    <w:rsid w:val="00ED3059"/>
    <w:rsid w:val="00EE2516"/>
    <w:rsid w:val="00EF0124"/>
    <w:rsid w:val="00EF6924"/>
    <w:rsid w:val="00F02392"/>
    <w:rsid w:val="00F0331F"/>
    <w:rsid w:val="00F05983"/>
    <w:rsid w:val="00F11A8F"/>
    <w:rsid w:val="00F14264"/>
    <w:rsid w:val="00F24632"/>
    <w:rsid w:val="00F3145A"/>
    <w:rsid w:val="00F42210"/>
    <w:rsid w:val="00F44449"/>
    <w:rsid w:val="00F44FAB"/>
    <w:rsid w:val="00F54E12"/>
    <w:rsid w:val="00F65432"/>
    <w:rsid w:val="00F65CC3"/>
    <w:rsid w:val="00F86CD1"/>
    <w:rsid w:val="00F92835"/>
    <w:rsid w:val="00F92E53"/>
    <w:rsid w:val="00F93546"/>
    <w:rsid w:val="00F950AD"/>
    <w:rsid w:val="00F9522E"/>
    <w:rsid w:val="00FA56D1"/>
    <w:rsid w:val="00FA690D"/>
    <w:rsid w:val="00FB1F07"/>
    <w:rsid w:val="00FB378C"/>
    <w:rsid w:val="00FB3D6D"/>
    <w:rsid w:val="00FB5983"/>
    <w:rsid w:val="00FB68DB"/>
    <w:rsid w:val="00FC08B5"/>
    <w:rsid w:val="00FC29EE"/>
    <w:rsid w:val="00FC513F"/>
    <w:rsid w:val="00FC59EC"/>
    <w:rsid w:val="00FC6AD1"/>
    <w:rsid w:val="00FD03FE"/>
    <w:rsid w:val="00FD73AF"/>
    <w:rsid w:val="00FE2E84"/>
    <w:rsid w:val="00FE3B02"/>
    <w:rsid w:val="00FF340C"/>
    <w:rsid w:val="00FF404F"/>
    <w:rsid w:val="0B26C2F1"/>
    <w:rsid w:val="0D12AD4E"/>
    <w:rsid w:val="0DD82729"/>
    <w:rsid w:val="0F8BA63C"/>
    <w:rsid w:val="113F6EFE"/>
    <w:rsid w:val="13834500"/>
    <w:rsid w:val="16BA5521"/>
    <w:rsid w:val="17668A98"/>
    <w:rsid w:val="18ED113C"/>
    <w:rsid w:val="196F21E3"/>
    <w:rsid w:val="1A98E12D"/>
    <w:rsid w:val="1FCC4524"/>
    <w:rsid w:val="20B662CA"/>
    <w:rsid w:val="224A5961"/>
    <w:rsid w:val="24C0E736"/>
    <w:rsid w:val="2514E811"/>
    <w:rsid w:val="26A0A0F8"/>
    <w:rsid w:val="2B00B60D"/>
    <w:rsid w:val="2B366F76"/>
    <w:rsid w:val="2B5EFB2F"/>
    <w:rsid w:val="2B83CF2A"/>
    <w:rsid w:val="2C18E230"/>
    <w:rsid w:val="3236ACB3"/>
    <w:rsid w:val="3392E9D1"/>
    <w:rsid w:val="372CFC37"/>
    <w:rsid w:val="38A59428"/>
    <w:rsid w:val="3988B878"/>
    <w:rsid w:val="47442863"/>
    <w:rsid w:val="4771A6C2"/>
    <w:rsid w:val="49A0AA1B"/>
    <w:rsid w:val="4A2B106D"/>
    <w:rsid w:val="4A314967"/>
    <w:rsid w:val="4B3E76D7"/>
    <w:rsid w:val="523E71C5"/>
    <w:rsid w:val="547BFB86"/>
    <w:rsid w:val="563DF504"/>
    <w:rsid w:val="56EE3F56"/>
    <w:rsid w:val="5749DEB0"/>
    <w:rsid w:val="58B67EB3"/>
    <w:rsid w:val="5AAA729D"/>
    <w:rsid w:val="5C725574"/>
    <w:rsid w:val="5F1A6584"/>
    <w:rsid w:val="60986A9C"/>
    <w:rsid w:val="629C8395"/>
    <w:rsid w:val="66E4EE82"/>
    <w:rsid w:val="690FFD96"/>
    <w:rsid w:val="6E96DA44"/>
    <w:rsid w:val="6FBE4FBE"/>
    <w:rsid w:val="70A5353C"/>
    <w:rsid w:val="75C2C61C"/>
    <w:rsid w:val="767173A2"/>
    <w:rsid w:val="77B0DDA3"/>
    <w:rsid w:val="790D1096"/>
    <w:rsid w:val="7D2BE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0B86"/>
  <w15:docId w15:val="{83EB5BCC-A0D4-4014-8A56-CFF770AD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AD1"/>
  </w:style>
  <w:style w:type="paragraph" w:styleId="Footer">
    <w:name w:val="footer"/>
    <w:basedOn w:val="Normal"/>
    <w:link w:val="FooterChar"/>
    <w:uiPriority w:val="99"/>
    <w:unhideWhenUsed/>
    <w:rsid w:val="00FC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AD1"/>
  </w:style>
  <w:style w:type="character" w:styleId="CommentReference">
    <w:name w:val="annotation reference"/>
    <w:basedOn w:val="DefaultParagraphFont"/>
    <w:uiPriority w:val="99"/>
    <w:semiHidden/>
    <w:unhideWhenUsed/>
    <w:rsid w:val="005705E5"/>
    <w:rPr>
      <w:sz w:val="16"/>
      <w:szCs w:val="16"/>
    </w:rPr>
  </w:style>
  <w:style w:type="paragraph" w:styleId="CommentText">
    <w:name w:val="annotation text"/>
    <w:basedOn w:val="Normal"/>
    <w:link w:val="CommentTextChar"/>
    <w:uiPriority w:val="99"/>
    <w:semiHidden/>
    <w:unhideWhenUsed/>
    <w:rsid w:val="005705E5"/>
    <w:pPr>
      <w:spacing w:line="240" w:lineRule="auto"/>
    </w:pPr>
    <w:rPr>
      <w:sz w:val="20"/>
      <w:szCs w:val="20"/>
    </w:rPr>
  </w:style>
  <w:style w:type="character" w:customStyle="1" w:styleId="CommentTextChar">
    <w:name w:val="Comment Text Char"/>
    <w:basedOn w:val="DefaultParagraphFont"/>
    <w:link w:val="CommentText"/>
    <w:uiPriority w:val="99"/>
    <w:semiHidden/>
    <w:rsid w:val="005705E5"/>
    <w:rPr>
      <w:sz w:val="20"/>
      <w:szCs w:val="20"/>
    </w:rPr>
  </w:style>
  <w:style w:type="paragraph" w:styleId="CommentSubject">
    <w:name w:val="annotation subject"/>
    <w:basedOn w:val="CommentText"/>
    <w:next w:val="CommentText"/>
    <w:link w:val="CommentSubjectChar"/>
    <w:uiPriority w:val="99"/>
    <w:semiHidden/>
    <w:unhideWhenUsed/>
    <w:rsid w:val="005705E5"/>
    <w:rPr>
      <w:b/>
      <w:bCs/>
    </w:rPr>
  </w:style>
  <w:style w:type="character" w:customStyle="1" w:styleId="CommentSubjectChar">
    <w:name w:val="Comment Subject Char"/>
    <w:basedOn w:val="CommentTextChar"/>
    <w:link w:val="CommentSubject"/>
    <w:uiPriority w:val="99"/>
    <w:semiHidden/>
    <w:rsid w:val="005705E5"/>
    <w:rPr>
      <w:b/>
      <w:bCs/>
      <w:sz w:val="20"/>
      <w:szCs w:val="20"/>
    </w:rPr>
  </w:style>
  <w:style w:type="paragraph" w:styleId="BalloonText">
    <w:name w:val="Balloon Text"/>
    <w:basedOn w:val="Normal"/>
    <w:link w:val="BalloonTextChar"/>
    <w:uiPriority w:val="99"/>
    <w:semiHidden/>
    <w:unhideWhenUsed/>
    <w:rsid w:val="0057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E5"/>
    <w:rPr>
      <w:rFonts w:ascii="Tahoma" w:hAnsi="Tahoma" w:cs="Tahoma"/>
      <w:sz w:val="16"/>
      <w:szCs w:val="16"/>
    </w:rPr>
  </w:style>
  <w:style w:type="paragraph" w:styleId="ListParagraph">
    <w:name w:val="List Paragraph"/>
    <w:basedOn w:val="Normal"/>
    <w:uiPriority w:val="34"/>
    <w:qFormat/>
    <w:rsid w:val="00BE7DCE"/>
    <w:pPr>
      <w:ind w:left="720"/>
      <w:contextualSpacing/>
    </w:pPr>
  </w:style>
  <w:style w:type="paragraph" w:styleId="EndnoteText">
    <w:name w:val="endnote text"/>
    <w:basedOn w:val="Normal"/>
    <w:link w:val="EndnoteTextChar"/>
    <w:uiPriority w:val="99"/>
    <w:unhideWhenUsed/>
    <w:rsid w:val="00E230FC"/>
    <w:pPr>
      <w:spacing w:after="0" w:line="240" w:lineRule="auto"/>
    </w:pPr>
    <w:rPr>
      <w:sz w:val="20"/>
      <w:szCs w:val="20"/>
    </w:rPr>
  </w:style>
  <w:style w:type="character" w:customStyle="1" w:styleId="EndnoteTextChar">
    <w:name w:val="Endnote Text Char"/>
    <w:basedOn w:val="DefaultParagraphFont"/>
    <w:link w:val="EndnoteText"/>
    <w:uiPriority w:val="99"/>
    <w:rsid w:val="00E230FC"/>
    <w:rPr>
      <w:sz w:val="20"/>
      <w:szCs w:val="20"/>
    </w:rPr>
  </w:style>
  <w:style w:type="character" w:styleId="EndnoteReference">
    <w:name w:val="endnote reference"/>
    <w:basedOn w:val="DefaultParagraphFont"/>
    <w:uiPriority w:val="99"/>
    <w:semiHidden/>
    <w:unhideWhenUsed/>
    <w:rsid w:val="00E230FC"/>
    <w:rPr>
      <w:vertAlign w:val="superscript"/>
    </w:rPr>
  </w:style>
  <w:style w:type="paragraph" w:styleId="Bibliography">
    <w:name w:val="Bibliography"/>
    <w:basedOn w:val="Normal"/>
    <w:next w:val="Normal"/>
    <w:uiPriority w:val="37"/>
    <w:unhideWhenUsed/>
    <w:rsid w:val="00E230FC"/>
  </w:style>
  <w:style w:type="character" w:styleId="Hyperlink">
    <w:name w:val="Hyperlink"/>
    <w:basedOn w:val="DefaultParagraphFont"/>
    <w:uiPriority w:val="99"/>
    <w:unhideWhenUsed/>
    <w:rsid w:val="00CE5ADD"/>
    <w:rPr>
      <w:color w:val="0000FF"/>
      <w:u w:val="single"/>
    </w:rPr>
  </w:style>
  <w:style w:type="paragraph" w:styleId="Revision">
    <w:name w:val="Revision"/>
    <w:hidden/>
    <w:uiPriority w:val="99"/>
    <w:semiHidden/>
    <w:rsid w:val="008143C3"/>
    <w:pPr>
      <w:spacing w:after="0" w:line="240" w:lineRule="auto"/>
    </w:pPr>
  </w:style>
  <w:style w:type="paragraph" w:customStyle="1" w:styleId="paragraph">
    <w:name w:val="paragraph"/>
    <w:basedOn w:val="Normal"/>
    <w:rsid w:val="00806135"/>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06135"/>
  </w:style>
  <w:style w:type="character" w:customStyle="1" w:styleId="eop">
    <w:name w:val="eop"/>
    <w:basedOn w:val="DefaultParagraphFont"/>
    <w:rsid w:val="00806135"/>
  </w:style>
  <w:style w:type="paragraph" w:customStyle="1" w:styleId="EndNoteBibliography">
    <w:name w:val="EndNote Bibliography"/>
    <w:basedOn w:val="Normal"/>
    <w:link w:val="EndNoteBibliographyChar"/>
    <w:rsid w:val="005F6B6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5F6B6D"/>
    <w:rPr>
      <w:rFonts w:ascii="Calibri" w:hAnsi="Calibri" w:cs="Calibri"/>
      <w:noProof/>
    </w:rPr>
  </w:style>
  <w:style w:type="character" w:styleId="FollowedHyperlink">
    <w:name w:val="FollowedHyperlink"/>
    <w:basedOn w:val="DefaultParagraphFont"/>
    <w:uiPriority w:val="99"/>
    <w:semiHidden/>
    <w:unhideWhenUsed/>
    <w:rsid w:val="00F033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270">
      <w:bodyDiv w:val="1"/>
      <w:marLeft w:val="0"/>
      <w:marRight w:val="0"/>
      <w:marTop w:val="0"/>
      <w:marBottom w:val="0"/>
      <w:divBdr>
        <w:top w:val="none" w:sz="0" w:space="0" w:color="auto"/>
        <w:left w:val="none" w:sz="0" w:space="0" w:color="auto"/>
        <w:bottom w:val="none" w:sz="0" w:space="0" w:color="auto"/>
        <w:right w:val="none" w:sz="0" w:space="0" w:color="auto"/>
      </w:divBdr>
    </w:div>
    <w:div w:id="424156142">
      <w:bodyDiv w:val="1"/>
      <w:marLeft w:val="0"/>
      <w:marRight w:val="0"/>
      <w:marTop w:val="0"/>
      <w:marBottom w:val="0"/>
      <w:divBdr>
        <w:top w:val="none" w:sz="0" w:space="0" w:color="auto"/>
        <w:left w:val="none" w:sz="0" w:space="0" w:color="auto"/>
        <w:bottom w:val="none" w:sz="0" w:space="0" w:color="auto"/>
        <w:right w:val="none" w:sz="0" w:space="0" w:color="auto"/>
      </w:divBdr>
    </w:div>
    <w:div w:id="427384161">
      <w:bodyDiv w:val="1"/>
      <w:marLeft w:val="0"/>
      <w:marRight w:val="0"/>
      <w:marTop w:val="0"/>
      <w:marBottom w:val="0"/>
      <w:divBdr>
        <w:top w:val="none" w:sz="0" w:space="0" w:color="auto"/>
        <w:left w:val="none" w:sz="0" w:space="0" w:color="auto"/>
        <w:bottom w:val="none" w:sz="0" w:space="0" w:color="auto"/>
        <w:right w:val="none" w:sz="0" w:space="0" w:color="auto"/>
      </w:divBdr>
      <w:divsChild>
        <w:div w:id="435910285">
          <w:marLeft w:val="0"/>
          <w:marRight w:val="0"/>
          <w:marTop w:val="0"/>
          <w:marBottom w:val="0"/>
          <w:divBdr>
            <w:top w:val="none" w:sz="0" w:space="0" w:color="auto"/>
            <w:left w:val="none" w:sz="0" w:space="0" w:color="auto"/>
            <w:bottom w:val="none" w:sz="0" w:space="0" w:color="auto"/>
            <w:right w:val="none" w:sz="0" w:space="0" w:color="auto"/>
          </w:divBdr>
          <w:divsChild>
            <w:div w:id="1463229412">
              <w:marLeft w:val="0"/>
              <w:marRight w:val="0"/>
              <w:marTop w:val="0"/>
              <w:marBottom w:val="0"/>
              <w:divBdr>
                <w:top w:val="none" w:sz="0" w:space="0" w:color="auto"/>
                <w:left w:val="none" w:sz="0" w:space="0" w:color="auto"/>
                <w:bottom w:val="none" w:sz="0" w:space="0" w:color="auto"/>
                <w:right w:val="none" w:sz="0" w:space="0" w:color="auto"/>
              </w:divBdr>
              <w:divsChild>
                <w:div w:id="386295687">
                  <w:marLeft w:val="0"/>
                  <w:marRight w:val="0"/>
                  <w:marTop w:val="0"/>
                  <w:marBottom w:val="0"/>
                  <w:divBdr>
                    <w:top w:val="none" w:sz="0" w:space="0" w:color="auto"/>
                    <w:left w:val="none" w:sz="0" w:space="0" w:color="auto"/>
                    <w:bottom w:val="none" w:sz="0" w:space="0" w:color="auto"/>
                    <w:right w:val="none" w:sz="0" w:space="0" w:color="auto"/>
                  </w:divBdr>
                  <w:divsChild>
                    <w:div w:id="910120469">
                      <w:marLeft w:val="0"/>
                      <w:marRight w:val="0"/>
                      <w:marTop w:val="0"/>
                      <w:marBottom w:val="0"/>
                      <w:divBdr>
                        <w:top w:val="none" w:sz="0" w:space="0" w:color="auto"/>
                        <w:left w:val="none" w:sz="0" w:space="0" w:color="auto"/>
                        <w:bottom w:val="none" w:sz="0" w:space="0" w:color="auto"/>
                        <w:right w:val="none" w:sz="0" w:space="0" w:color="auto"/>
                      </w:divBdr>
                      <w:divsChild>
                        <w:div w:id="139201852">
                          <w:marLeft w:val="0"/>
                          <w:marRight w:val="0"/>
                          <w:marTop w:val="0"/>
                          <w:marBottom w:val="0"/>
                          <w:divBdr>
                            <w:top w:val="none" w:sz="0" w:space="0" w:color="auto"/>
                            <w:left w:val="none" w:sz="0" w:space="0" w:color="auto"/>
                            <w:bottom w:val="none" w:sz="0" w:space="0" w:color="auto"/>
                            <w:right w:val="none" w:sz="0" w:space="0" w:color="auto"/>
                          </w:divBdr>
                          <w:divsChild>
                            <w:div w:id="1734036619">
                              <w:marLeft w:val="0"/>
                              <w:marRight w:val="0"/>
                              <w:marTop w:val="0"/>
                              <w:marBottom w:val="0"/>
                              <w:divBdr>
                                <w:top w:val="none" w:sz="0" w:space="0" w:color="auto"/>
                                <w:left w:val="none" w:sz="0" w:space="0" w:color="auto"/>
                                <w:bottom w:val="none" w:sz="0" w:space="0" w:color="auto"/>
                                <w:right w:val="none" w:sz="0" w:space="0" w:color="auto"/>
                              </w:divBdr>
                              <w:divsChild>
                                <w:div w:id="1134560966">
                                  <w:marLeft w:val="0"/>
                                  <w:marRight w:val="0"/>
                                  <w:marTop w:val="0"/>
                                  <w:marBottom w:val="0"/>
                                  <w:divBdr>
                                    <w:top w:val="none" w:sz="0" w:space="0" w:color="auto"/>
                                    <w:left w:val="none" w:sz="0" w:space="0" w:color="auto"/>
                                    <w:bottom w:val="none" w:sz="0" w:space="0" w:color="auto"/>
                                    <w:right w:val="none" w:sz="0" w:space="0" w:color="auto"/>
                                  </w:divBdr>
                                  <w:divsChild>
                                    <w:div w:id="811363941">
                                      <w:marLeft w:val="0"/>
                                      <w:marRight w:val="0"/>
                                      <w:marTop w:val="0"/>
                                      <w:marBottom w:val="0"/>
                                      <w:divBdr>
                                        <w:top w:val="none" w:sz="0" w:space="0" w:color="auto"/>
                                        <w:left w:val="none" w:sz="0" w:space="0" w:color="auto"/>
                                        <w:bottom w:val="none" w:sz="0" w:space="0" w:color="auto"/>
                                        <w:right w:val="none" w:sz="0" w:space="0" w:color="auto"/>
                                      </w:divBdr>
                                      <w:divsChild>
                                        <w:div w:id="360588885">
                                          <w:marLeft w:val="0"/>
                                          <w:marRight w:val="0"/>
                                          <w:marTop w:val="0"/>
                                          <w:marBottom w:val="0"/>
                                          <w:divBdr>
                                            <w:top w:val="none" w:sz="0" w:space="0" w:color="auto"/>
                                            <w:left w:val="none" w:sz="0" w:space="0" w:color="auto"/>
                                            <w:bottom w:val="none" w:sz="0" w:space="0" w:color="auto"/>
                                            <w:right w:val="none" w:sz="0" w:space="0" w:color="auto"/>
                                          </w:divBdr>
                                          <w:divsChild>
                                            <w:div w:id="273175665">
                                              <w:marLeft w:val="0"/>
                                              <w:marRight w:val="0"/>
                                              <w:marTop w:val="0"/>
                                              <w:marBottom w:val="0"/>
                                              <w:divBdr>
                                                <w:top w:val="none" w:sz="0" w:space="0" w:color="auto"/>
                                                <w:left w:val="none" w:sz="0" w:space="0" w:color="auto"/>
                                                <w:bottom w:val="none" w:sz="0" w:space="0" w:color="auto"/>
                                                <w:right w:val="none" w:sz="0" w:space="0" w:color="auto"/>
                                              </w:divBdr>
                                              <w:divsChild>
                                                <w:div w:id="1099329744">
                                                  <w:marLeft w:val="0"/>
                                                  <w:marRight w:val="0"/>
                                                  <w:marTop w:val="0"/>
                                                  <w:marBottom w:val="0"/>
                                                  <w:divBdr>
                                                    <w:top w:val="none" w:sz="0" w:space="0" w:color="auto"/>
                                                    <w:left w:val="none" w:sz="0" w:space="0" w:color="auto"/>
                                                    <w:bottom w:val="none" w:sz="0" w:space="0" w:color="auto"/>
                                                    <w:right w:val="none" w:sz="0" w:space="0" w:color="auto"/>
                                                  </w:divBdr>
                                                  <w:divsChild>
                                                    <w:div w:id="33770276">
                                                      <w:marLeft w:val="0"/>
                                                      <w:marRight w:val="0"/>
                                                      <w:marTop w:val="0"/>
                                                      <w:marBottom w:val="0"/>
                                                      <w:divBdr>
                                                        <w:top w:val="single" w:sz="6" w:space="0" w:color="ABABAB"/>
                                                        <w:left w:val="single" w:sz="6" w:space="0" w:color="ABABAB"/>
                                                        <w:bottom w:val="none" w:sz="0" w:space="0" w:color="auto"/>
                                                        <w:right w:val="single" w:sz="6" w:space="0" w:color="ABABAB"/>
                                                      </w:divBdr>
                                                      <w:divsChild>
                                                        <w:div w:id="217017665">
                                                          <w:marLeft w:val="0"/>
                                                          <w:marRight w:val="0"/>
                                                          <w:marTop w:val="0"/>
                                                          <w:marBottom w:val="0"/>
                                                          <w:divBdr>
                                                            <w:top w:val="none" w:sz="0" w:space="0" w:color="auto"/>
                                                            <w:left w:val="none" w:sz="0" w:space="0" w:color="auto"/>
                                                            <w:bottom w:val="none" w:sz="0" w:space="0" w:color="auto"/>
                                                            <w:right w:val="none" w:sz="0" w:space="0" w:color="auto"/>
                                                          </w:divBdr>
                                                          <w:divsChild>
                                                            <w:div w:id="1527400210">
                                                              <w:marLeft w:val="0"/>
                                                              <w:marRight w:val="0"/>
                                                              <w:marTop w:val="0"/>
                                                              <w:marBottom w:val="0"/>
                                                              <w:divBdr>
                                                                <w:top w:val="none" w:sz="0" w:space="0" w:color="auto"/>
                                                                <w:left w:val="none" w:sz="0" w:space="0" w:color="auto"/>
                                                                <w:bottom w:val="none" w:sz="0" w:space="0" w:color="auto"/>
                                                                <w:right w:val="none" w:sz="0" w:space="0" w:color="auto"/>
                                                              </w:divBdr>
                                                              <w:divsChild>
                                                                <w:div w:id="908611015">
                                                                  <w:marLeft w:val="0"/>
                                                                  <w:marRight w:val="0"/>
                                                                  <w:marTop w:val="0"/>
                                                                  <w:marBottom w:val="0"/>
                                                                  <w:divBdr>
                                                                    <w:top w:val="none" w:sz="0" w:space="0" w:color="auto"/>
                                                                    <w:left w:val="none" w:sz="0" w:space="0" w:color="auto"/>
                                                                    <w:bottom w:val="none" w:sz="0" w:space="0" w:color="auto"/>
                                                                    <w:right w:val="none" w:sz="0" w:space="0" w:color="auto"/>
                                                                  </w:divBdr>
                                                                  <w:divsChild>
                                                                    <w:div w:id="1147939297">
                                                                      <w:marLeft w:val="0"/>
                                                                      <w:marRight w:val="0"/>
                                                                      <w:marTop w:val="0"/>
                                                                      <w:marBottom w:val="0"/>
                                                                      <w:divBdr>
                                                                        <w:top w:val="none" w:sz="0" w:space="0" w:color="auto"/>
                                                                        <w:left w:val="none" w:sz="0" w:space="0" w:color="auto"/>
                                                                        <w:bottom w:val="none" w:sz="0" w:space="0" w:color="auto"/>
                                                                        <w:right w:val="none" w:sz="0" w:space="0" w:color="auto"/>
                                                                      </w:divBdr>
                                                                      <w:divsChild>
                                                                        <w:div w:id="1509322104">
                                                                          <w:marLeft w:val="0"/>
                                                                          <w:marRight w:val="0"/>
                                                                          <w:marTop w:val="0"/>
                                                                          <w:marBottom w:val="0"/>
                                                                          <w:divBdr>
                                                                            <w:top w:val="none" w:sz="0" w:space="0" w:color="auto"/>
                                                                            <w:left w:val="none" w:sz="0" w:space="0" w:color="auto"/>
                                                                            <w:bottom w:val="none" w:sz="0" w:space="0" w:color="auto"/>
                                                                            <w:right w:val="none" w:sz="0" w:space="0" w:color="auto"/>
                                                                          </w:divBdr>
                                                                          <w:divsChild>
                                                                            <w:div w:id="1783383741">
                                                                              <w:marLeft w:val="0"/>
                                                                              <w:marRight w:val="0"/>
                                                                              <w:marTop w:val="0"/>
                                                                              <w:marBottom w:val="0"/>
                                                                              <w:divBdr>
                                                                                <w:top w:val="none" w:sz="0" w:space="0" w:color="auto"/>
                                                                                <w:left w:val="none" w:sz="0" w:space="0" w:color="auto"/>
                                                                                <w:bottom w:val="none" w:sz="0" w:space="0" w:color="auto"/>
                                                                                <w:right w:val="none" w:sz="0" w:space="0" w:color="auto"/>
                                                                              </w:divBdr>
                                                                              <w:divsChild>
                                                                                <w:div w:id="72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61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canham@novarti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eremy.jenkins@novarti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vartis/MoaBox" TargetMode="External"/><Relationship Id="rId5" Type="http://schemas.openxmlformats.org/officeDocument/2006/relationships/webSettings" Target="webSettings.xml"/><Relationship Id="rId15" Type="http://schemas.openxmlformats.org/officeDocument/2006/relationships/hyperlink" Target="mailto:steve.canham@novartis.com" TargetMode="External"/><Relationship Id="rId10" Type="http://schemas.openxmlformats.org/officeDocument/2006/relationships/hyperlink" Target="mailto:jeremy.jenkins@novartis.com" TargetMode="External"/><Relationship Id="rId4" Type="http://schemas.openxmlformats.org/officeDocument/2006/relationships/settings" Target="settings.xml"/><Relationship Id="rId9" Type="http://schemas.openxmlformats.org/officeDocument/2006/relationships/hyperlink" Target="mailto:douglas.auld@novarti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26F72-7F35-4EDE-BBBF-4238C0C1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3062</Words>
  <Characters>18622</Characters>
  <Application>Microsoft Office Word</Application>
  <DocSecurity>0</DocSecurity>
  <Lines>273</Lines>
  <Paragraphs>60</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Palacios, Daniel</dc:creator>
  <cp:lastModifiedBy>Canham, Steve</cp:lastModifiedBy>
  <cp:revision>9</cp:revision>
  <cp:lastPrinted>2019-03-05T19:56:00Z</cp:lastPrinted>
  <dcterms:created xsi:type="dcterms:W3CDTF">2020-03-13T13:00:00Z</dcterms:created>
  <dcterms:modified xsi:type="dcterms:W3CDTF">2020-03-31T15:30:00Z</dcterms:modified>
</cp:coreProperties>
</file>