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995"/>
        <w:gridCol w:w="898"/>
        <w:gridCol w:w="673"/>
        <w:gridCol w:w="2549"/>
      </w:tblGrid>
      <w:tr w:rsidR="004822B4" w:rsidRPr="005C179D" w14:paraId="7738C305" w14:textId="77777777" w:rsidTr="004C535C">
        <w:trPr>
          <w:cantSplit/>
          <w:trHeight w:val="435"/>
        </w:trPr>
        <w:tc>
          <w:tcPr>
            <w:tcW w:w="5000" w:type="pct"/>
            <w:gridSpan w:val="5"/>
            <w:shd w:val="clear" w:color="auto" w:fill="auto"/>
          </w:tcPr>
          <w:p w14:paraId="4666F7AF" w14:textId="25A60628" w:rsidR="004822B4" w:rsidRPr="008D2274" w:rsidRDefault="004822B4" w:rsidP="008D2274">
            <w:pPr>
              <w:pStyle w:val="NoSpacing"/>
              <w:spacing w:line="256" w:lineRule="auto"/>
              <w:rPr>
                <w:b/>
                <w:bCs/>
                <w:sz w:val="22"/>
                <w:szCs w:val="22"/>
              </w:rPr>
            </w:pPr>
            <w:r w:rsidRPr="00525824">
              <w:rPr>
                <w:b/>
                <w:bCs/>
                <w:sz w:val="22"/>
                <w:szCs w:val="22"/>
              </w:rPr>
              <w:t>Package Name:</w:t>
            </w:r>
            <w:r w:rsidR="00D92D46">
              <w:rPr>
                <w:b/>
                <w:bCs/>
                <w:sz w:val="22"/>
                <w:szCs w:val="22"/>
              </w:rPr>
              <w:t xml:space="preserve"> </w:t>
            </w:r>
            <w:bookmarkStart w:id="0" w:name="packageName"/>
            <w:bookmarkEnd w:id="0"/>
          </w:p>
        </w:tc>
      </w:tr>
      <w:tr w:rsidR="00650BA5" w:rsidRPr="005C179D" w14:paraId="15D40931" w14:textId="77777777" w:rsidTr="00650BA5">
        <w:trPr>
          <w:cantSplit/>
          <w:trHeight w:val="340"/>
        </w:trPr>
        <w:tc>
          <w:tcPr>
            <w:tcW w:w="313" w:type="pct"/>
            <w:shd w:val="clear" w:color="auto" w:fill="D9D9D9" w:themeFill="background1" w:themeFillShade="D9"/>
            <w:textDirection w:val="btLr"/>
          </w:tcPr>
          <w:p w14:paraId="01C12F23" w14:textId="77777777" w:rsidR="00650BA5" w:rsidRPr="005C179D" w:rsidRDefault="00650BA5" w:rsidP="00650BA5">
            <w:pPr>
              <w:pStyle w:val="NoSpacing"/>
              <w:spacing w:line="256" w:lineRule="auto"/>
              <w:ind w:left="113"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78" w:type="pct"/>
            <w:shd w:val="clear" w:color="auto" w:fill="D9D9D9" w:themeFill="background1" w:themeFillShade="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A0C62" w14:textId="2706BE5D" w:rsidR="00650BA5" w:rsidRPr="00E24855" w:rsidRDefault="00650BA5" w:rsidP="00650BA5">
            <w:pPr>
              <w:pStyle w:val="NoSpacing"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728" w:type="pct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9EE10" w14:textId="07C22C97" w:rsidR="00650BA5" w:rsidRPr="00E24855" w:rsidRDefault="00650BA5" w:rsidP="00650BA5">
            <w:pPr>
              <w:pStyle w:val="paragraph"/>
              <w:spacing w:line="256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</w:rPr>
            </w:pPr>
            <w:r w:rsidRPr="00E24855">
              <w:rPr>
                <w:rFonts w:ascii="Arial" w:eastAsiaTheme="minorHAnsi" w:hAnsi="Arial" w:cs="Arial"/>
                <w:b/>
                <w:bCs/>
              </w:rPr>
              <w:t>Answer</w:t>
            </w:r>
          </w:p>
        </w:tc>
        <w:tc>
          <w:tcPr>
            <w:tcW w:w="1181" w:type="pct"/>
            <w:shd w:val="clear" w:color="auto" w:fill="D9D9D9" w:themeFill="background1" w:themeFillShade="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E99EE" w14:textId="4BDED784" w:rsidR="00650BA5" w:rsidRPr="00E24855" w:rsidRDefault="0071704C" w:rsidP="00650BA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650BA5" w:rsidRPr="00822D84" w14:paraId="2FCD0058" w14:textId="77777777" w:rsidTr="00650BA5">
        <w:trPr>
          <w:cantSplit/>
          <w:trHeight w:val="340"/>
        </w:trPr>
        <w:tc>
          <w:tcPr>
            <w:tcW w:w="313" w:type="pct"/>
            <w:shd w:val="clear" w:color="auto" w:fill="D9D9D9" w:themeFill="background1" w:themeFillShade="D9"/>
            <w:textDirection w:val="btLr"/>
          </w:tcPr>
          <w:p w14:paraId="4A3234B4" w14:textId="77777777" w:rsidR="00650BA5" w:rsidRPr="005C179D" w:rsidRDefault="00650BA5" w:rsidP="00650BA5">
            <w:pPr>
              <w:pStyle w:val="NoSpacing"/>
              <w:spacing w:line="256" w:lineRule="auto"/>
              <w:ind w:left="113"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78" w:type="pct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A0176" w14:textId="4535B3FA" w:rsidR="00650BA5" w:rsidRDefault="00650BA5" w:rsidP="00650BA5">
            <w:pPr>
              <w:pStyle w:val="NoSpacing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package fulfill the following criteria?</w:t>
            </w:r>
          </w:p>
          <w:p w14:paraId="35C28EE7" w14:textId="6ADF6E5D" w:rsidR="00650BA5" w:rsidRDefault="00650BA5" w:rsidP="00650BA5">
            <w:pPr>
              <w:pStyle w:val="NoSpacing"/>
              <w:numPr>
                <w:ilvl w:val="0"/>
                <w:numId w:val="1"/>
              </w:numPr>
              <w:ind w:left="289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Source code is </w:t>
            </w:r>
            <w:r w:rsidR="008D2274">
              <w:rPr>
                <w:sz w:val="22"/>
                <w:szCs w:val="22"/>
              </w:rPr>
              <w:t>internally</w:t>
            </w:r>
            <w:r w:rsidRPr="00822D84">
              <w:rPr>
                <w:sz w:val="22"/>
                <w:szCs w:val="22"/>
              </w:rPr>
              <w:t xml:space="preserve"> available (e.g., via </w:t>
            </w:r>
            <w:r w:rsidR="008D2274">
              <w:rPr>
                <w:sz w:val="22"/>
                <w:szCs w:val="22"/>
              </w:rPr>
              <w:t>GitLab)</w:t>
            </w:r>
          </w:p>
          <w:p w14:paraId="031CABFF" w14:textId="6325C3A9" w:rsidR="00650BA5" w:rsidRPr="00822D84" w:rsidRDefault="008D2274" w:rsidP="00650BA5">
            <w:pPr>
              <w:pStyle w:val="NoSpacing"/>
              <w:numPr>
                <w:ilvl w:val="0"/>
                <w:numId w:val="1"/>
              </w:numPr>
              <w:ind w:left="289" w:hanging="284"/>
              <w:rPr>
                <w:sz w:val="22"/>
                <w:szCs w:val="22"/>
              </w:rPr>
            </w:pPr>
            <w:r w:rsidRPr="008D2274">
              <w:rPr>
                <w:sz w:val="22"/>
                <w:szCs w:val="22"/>
              </w:rPr>
              <w:t xml:space="preserve">Is there unit testing covering more than </w:t>
            </w:r>
            <w:r>
              <w:rPr>
                <w:sz w:val="22"/>
                <w:szCs w:val="22"/>
              </w:rPr>
              <w:t>80</w:t>
            </w:r>
            <w:r w:rsidRPr="008D2274">
              <w:rPr>
                <w:sz w:val="22"/>
                <w:szCs w:val="22"/>
              </w:rPr>
              <w:t>%?</w:t>
            </w:r>
          </w:p>
        </w:tc>
        <w:tc>
          <w:tcPr>
            <w:tcW w:w="416" w:type="pct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94C29" w14:textId="77777777" w:rsidR="00650BA5" w:rsidRPr="00822D84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</w:rPr>
            </w:pPr>
            <w:bookmarkStart w:id="1" w:name="NOprereq"/>
            <w:bookmarkEnd w:id="1"/>
          </w:p>
        </w:tc>
        <w:tc>
          <w:tcPr>
            <w:tcW w:w="312" w:type="pct"/>
            <w:shd w:val="clear" w:color="auto" w:fill="F2F2F2" w:themeFill="background1" w:themeFillShade="F2"/>
          </w:tcPr>
          <w:p w14:paraId="7DFEF780" w14:textId="0925DA6D" w:rsidR="00650BA5" w:rsidRPr="00822D84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</w:rPr>
            </w:pPr>
            <w:bookmarkStart w:id="2" w:name="YESprereq"/>
            <w:bookmarkEnd w:id="2"/>
          </w:p>
        </w:tc>
        <w:tc>
          <w:tcPr>
            <w:tcW w:w="1181" w:type="pct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9ED9A" w14:textId="77777777" w:rsidR="00650BA5" w:rsidRPr="00822D84" w:rsidRDefault="00650BA5" w:rsidP="00650BA5">
            <w:pPr>
              <w:pStyle w:val="NoSpacing"/>
              <w:rPr>
                <w:sz w:val="24"/>
                <w:szCs w:val="24"/>
              </w:rPr>
            </w:pPr>
            <w:bookmarkStart w:id="3" w:name="prereq"/>
            <w:bookmarkEnd w:id="3"/>
          </w:p>
        </w:tc>
      </w:tr>
      <w:tr w:rsidR="00650BA5" w:rsidRPr="005C179D" w14:paraId="2A0D64EA" w14:textId="77777777" w:rsidTr="008D2274">
        <w:trPr>
          <w:cantSplit/>
          <w:trHeight w:val="340"/>
        </w:trPr>
        <w:tc>
          <w:tcPr>
            <w:tcW w:w="313" w:type="pct"/>
            <w:vMerge w:val="restart"/>
            <w:shd w:val="clear" w:color="auto" w:fill="C5E0B3" w:themeFill="accent6" w:themeFillTint="66"/>
            <w:textDirection w:val="btLr"/>
          </w:tcPr>
          <w:p w14:paraId="75DA70EE" w14:textId="526B387B" w:rsidR="00650BA5" w:rsidRPr="008D2274" w:rsidRDefault="008D2274" w:rsidP="008D2274">
            <w:pPr>
              <w:pStyle w:val="NoSpacing"/>
              <w:spacing w:line="256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8D2274">
              <w:rPr>
                <w:b/>
                <w:bCs/>
                <w:sz w:val="28"/>
                <w:szCs w:val="28"/>
              </w:rPr>
              <w:t>LOW RISK</w:t>
            </w:r>
          </w:p>
        </w:tc>
        <w:tc>
          <w:tcPr>
            <w:tcW w:w="2778" w:type="pct"/>
            <w:shd w:val="clear" w:color="auto" w:fill="C5E0B3" w:themeFill="accent6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B5292" w14:textId="3C307C99" w:rsidR="00650BA5" w:rsidRPr="00E24855" w:rsidRDefault="00650BA5" w:rsidP="00650BA5">
            <w:pPr>
              <w:pStyle w:val="NoSpacing"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 w:rsidRPr="00E24855">
              <w:rPr>
                <w:b/>
                <w:bCs/>
                <w:sz w:val="24"/>
                <w:szCs w:val="24"/>
              </w:rPr>
              <w:t xml:space="preserve">Question </w:t>
            </w:r>
            <w:r w:rsidR="008D227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8" w:type="pct"/>
            <w:gridSpan w:val="2"/>
            <w:shd w:val="clear" w:color="auto" w:fill="C5E0B3" w:themeFill="accent6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B8B7A" w14:textId="77777777" w:rsidR="00650BA5" w:rsidRPr="00E24855" w:rsidRDefault="00650BA5" w:rsidP="00650BA5">
            <w:pPr>
              <w:pStyle w:val="paragraph"/>
              <w:spacing w:line="256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</w:rPr>
            </w:pPr>
            <w:r w:rsidRPr="00E24855">
              <w:rPr>
                <w:rFonts w:ascii="Arial" w:eastAsiaTheme="minorHAnsi" w:hAnsi="Arial" w:cs="Arial"/>
                <w:b/>
                <w:bCs/>
              </w:rPr>
              <w:t>Answer</w:t>
            </w:r>
          </w:p>
        </w:tc>
        <w:tc>
          <w:tcPr>
            <w:tcW w:w="1181" w:type="pct"/>
            <w:shd w:val="clear" w:color="auto" w:fill="C5E0B3" w:themeFill="accent6" w:themeFillTint="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F27209" w14:textId="77777777" w:rsidR="00650BA5" w:rsidRPr="00E24855" w:rsidRDefault="00650BA5" w:rsidP="00650BA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E24855">
              <w:rPr>
                <w:b/>
                <w:bCs/>
                <w:sz w:val="24"/>
                <w:szCs w:val="24"/>
              </w:rPr>
              <w:t>Evidence, if Yes</w:t>
            </w:r>
          </w:p>
        </w:tc>
      </w:tr>
      <w:tr w:rsidR="00650BA5" w:rsidRPr="005C179D" w14:paraId="753F54A6" w14:textId="77777777" w:rsidTr="00822D84">
        <w:trPr>
          <w:cantSplit/>
          <w:trHeight w:val="1007"/>
        </w:trPr>
        <w:tc>
          <w:tcPr>
            <w:tcW w:w="313" w:type="pct"/>
            <w:vMerge/>
            <w:shd w:val="clear" w:color="auto" w:fill="F5FEE8"/>
          </w:tcPr>
          <w:p w14:paraId="5EE52DD7" w14:textId="77777777" w:rsidR="00650BA5" w:rsidRPr="008D2274" w:rsidRDefault="00650BA5" w:rsidP="00650BA5">
            <w:pPr>
              <w:pStyle w:val="paragraph"/>
              <w:textAlignment w:val="baseline"/>
              <w:rPr>
                <w:rFonts w:ascii="Arial" w:eastAsiaTheme="minorHAnsi" w:hAnsi="Arial" w:cs="Arial"/>
                <w:sz w:val="28"/>
                <w:szCs w:val="28"/>
              </w:rPr>
            </w:pPr>
          </w:p>
        </w:tc>
        <w:tc>
          <w:tcPr>
            <w:tcW w:w="2778" w:type="pct"/>
            <w:shd w:val="clear" w:color="auto" w:fill="F5FEE8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7C1707" w14:textId="3CEA020D" w:rsidR="00650BA5" w:rsidRPr="005C179D" w:rsidRDefault="00650BA5" w:rsidP="00650BA5">
            <w:pPr>
              <w:pStyle w:val="NoSpacing"/>
              <w:spacing w:after="120"/>
              <w:rPr>
                <w:sz w:val="22"/>
                <w:szCs w:val="22"/>
              </w:rPr>
            </w:pPr>
            <w:r w:rsidRPr="005C179D">
              <w:rPr>
                <w:sz w:val="22"/>
                <w:szCs w:val="22"/>
              </w:rPr>
              <w:t xml:space="preserve">Is the package </w:t>
            </w:r>
            <w:r w:rsidR="00FC5811">
              <w:rPr>
                <w:sz w:val="22"/>
                <w:szCs w:val="22"/>
              </w:rPr>
              <w:t xml:space="preserve">a “low risk support package”, e.g., one </w:t>
            </w:r>
            <w:r w:rsidRPr="005C179D">
              <w:rPr>
                <w:sz w:val="22"/>
                <w:szCs w:val="22"/>
              </w:rPr>
              <w:t>devoted solely to format, display or visualize the output or is simply a data package?</w:t>
            </w:r>
          </w:p>
          <w:p w14:paraId="73C2A088" w14:textId="0D836528" w:rsidR="00650BA5" w:rsidRDefault="00650BA5" w:rsidP="00650BA5">
            <w:pPr>
              <w:pStyle w:val="paragraph"/>
              <w:spacing w:before="0" w:beforeAutospacing="0" w:after="120" w:afterAutospacing="0"/>
              <w:textAlignment w:val="baseline"/>
              <w:rPr>
                <w:rStyle w:val="Hyperlink"/>
                <w:rFonts w:ascii="Arial" w:eastAsiaTheme="majorEastAsia" w:hAnsi="Arial" w:cs="Arial"/>
                <w:i/>
                <w:iCs/>
                <w:sz w:val="22"/>
                <w:szCs w:val="22"/>
              </w:rPr>
            </w:pPr>
            <w:r w:rsidRPr="005C179D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 xml:space="preserve">A package is </w:t>
            </w:r>
            <w:r w:rsidRPr="005C179D">
              <w:rPr>
                <w:rStyle w:val="normaltextrun"/>
                <w:rFonts w:ascii="Arial" w:eastAsiaTheme="majorEastAsia" w:hAnsi="Arial" w:cs="Arial"/>
                <w:color w:val="000000"/>
                <w:sz w:val="22"/>
                <w:szCs w:val="22"/>
              </w:rPr>
              <w:t>not</w:t>
            </w:r>
            <w:r w:rsidRPr="005C179D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 xml:space="preserve"> a pure display or data package if it performs statistical calculations, e.g., to compute quantiles, confidence intervals, or density estimates. See </w:t>
            </w:r>
            <w:hyperlink r:id="rId11" w:history="1">
              <w:r w:rsidRPr="005C179D">
                <w:rPr>
                  <w:rStyle w:val="Hyperlink"/>
                  <w:rFonts w:ascii="Arial" w:eastAsiaTheme="majorEastAsia" w:hAnsi="Arial" w:cs="Arial"/>
                  <w:i/>
                  <w:iCs/>
                  <w:sz w:val="22"/>
                  <w:szCs w:val="22"/>
                </w:rPr>
                <w:t>here</w:t>
              </w:r>
            </w:hyperlink>
            <w:r w:rsidRPr="005C179D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 xml:space="preserve"> for </w:t>
            </w:r>
            <w:r w:rsidR="00FC5811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>f</w:t>
            </w:r>
            <w:r w:rsidR="00FC5811" w:rsidRPr="00FC5811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 xml:space="preserve">urther details </w:t>
            </w:r>
            <w:r w:rsidRPr="005C179D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 xml:space="preserve">examples and </w:t>
            </w:r>
            <w:hyperlink r:id="rId12" w:history="1">
              <w:r w:rsidRPr="005C179D">
                <w:rPr>
                  <w:rStyle w:val="Hyperlink"/>
                  <w:rFonts w:ascii="Arial" w:eastAsiaTheme="majorEastAsia" w:hAnsi="Arial" w:cs="Arial"/>
                  <w:i/>
                  <w:iCs/>
                  <w:sz w:val="22"/>
                  <w:szCs w:val="22"/>
                </w:rPr>
                <w:t>check this list of known packages.</w:t>
              </w:r>
            </w:hyperlink>
          </w:p>
          <w:p w14:paraId="7BE5F3DA" w14:textId="77777777" w:rsidR="00650BA5" w:rsidRDefault="00650BA5" w:rsidP="00650BA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</w:pPr>
            <w:r w:rsidRPr="005C179D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>Packages that merely provide some limited level of interactivity (e.g., zoom, hover text) may still be considered display packages.</w:t>
            </w:r>
            <w:r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25824">
              <w:rPr>
                <w:rStyle w:val="normaltextrun"/>
                <w:rFonts w:ascii="Arial" w:eastAsiaTheme="majorEastAsia" w:hAnsi="Arial" w:cs="Arial"/>
                <w:i/>
                <w:iCs/>
                <w:color w:val="000000"/>
                <w:sz w:val="22"/>
                <w:szCs w:val="22"/>
                <w:highlight w:val="yellow"/>
              </w:rPr>
              <w:t>If you are unsure, please select nothing.</w:t>
            </w:r>
          </w:p>
          <w:p w14:paraId="17B80AE1" w14:textId="77777777" w:rsidR="00650BA5" w:rsidRDefault="00650BA5" w:rsidP="00650BA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eastAsiaTheme="majorEastAsia"/>
                <w:i/>
                <w:iCs/>
                <w:color w:val="000000"/>
              </w:rPr>
            </w:pPr>
          </w:p>
          <w:p w14:paraId="3851F694" w14:textId="77777777" w:rsidR="00650BA5" w:rsidRDefault="00650BA5" w:rsidP="00650BA5">
            <w:pPr>
              <w:pStyle w:val="paragraph"/>
              <w:spacing w:before="0" w:beforeAutospacing="0" w:after="120" w:afterAutospacing="0"/>
              <w:textAlignment w:val="baseline"/>
            </w:pPr>
          </w:p>
          <w:p w14:paraId="6B4DB191" w14:textId="77777777" w:rsidR="00650BA5" w:rsidRDefault="00650BA5" w:rsidP="00650BA5">
            <w:pPr>
              <w:pStyle w:val="paragraph"/>
              <w:spacing w:before="0" w:beforeAutospacing="0" w:after="120" w:afterAutospacing="0"/>
              <w:textAlignment w:val="baseline"/>
            </w:pPr>
          </w:p>
          <w:p w14:paraId="7322AD5E" w14:textId="3B6D4DC7" w:rsidR="00650BA5" w:rsidRPr="005C179D" w:rsidRDefault="00650BA5" w:rsidP="00650BA5">
            <w:pPr>
              <w:pStyle w:val="paragraph"/>
              <w:spacing w:before="0" w:beforeAutospacing="0" w:after="12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6" w:type="pct"/>
            <w:shd w:val="clear" w:color="auto" w:fill="F5FEE8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1DC3F" w14:textId="5EEECF32" w:rsidR="00650BA5" w:rsidRPr="005C179D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sz w:val="22"/>
                <w:szCs w:val="22"/>
              </w:rPr>
            </w:pPr>
            <w:bookmarkStart w:id="4" w:name="NOdisplay"/>
            <w:bookmarkEnd w:id="4"/>
          </w:p>
        </w:tc>
        <w:tc>
          <w:tcPr>
            <w:tcW w:w="312" w:type="pct"/>
            <w:shd w:val="clear" w:color="auto" w:fill="F5FEE8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B2259" w14:textId="442D692A" w:rsidR="00650BA5" w:rsidRPr="005C179D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sz w:val="22"/>
                <w:szCs w:val="22"/>
              </w:rPr>
            </w:pPr>
            <w:bookmarkStart w:id="5" w:name="YESdisplay"/>
            <w:bookmarkEnd w:id="5"/>
          </w:p>
        </w:tc>
        <w:tc>
          <w:tcPr>
            <w:tcW w:w="1181" w:type="pct"/>
            <w:shd w:val="clear" w:color="auto" w:fill="F5FEE8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1726C" w14:textId="69363A79" w:rsidR="00650BA5" w:rsidRPr="005C179D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i/>
                <w:iCs/>
                <w:sz w:val="22"/>
                <w:szCs w:val="22"/>
              </w:rPr>
            </w:pPr>
            <w:bookmarkStart w:id="6" w:name="display"/>
            <w:bookmarkEnd w:id="6"/>
          </w:p>
        </w:tc>
      </w:tr>
      <w:tr w:rsidR="00650BA5" w:rsidRPr="005C179D" w14:paraId="1EC33AF0" w14:textId="77777777" w:rsidTr="008D2274">
        <w:trPr>
          <w:cantSplit/>
          <w:trHeight w:val="340"/>
        </w:trPr>
        <w:tc>
          <w:tcPr>
            <w:tcW w:w="313" w:type="pct"/>
            <w:vMerge w:val="restart"/>
            <w:shd w:val="clear" w:color="auto" w:fill="FFD966" w:themeFill="accent4" w:themeFillTint="99"/>
            <w:textDirection w:val="btLr"/>
          </w:tcPr>
          <w:p w14:paraId="68241448" w14:textId="770452F4" w:rsidR="00650BA5" w:rsidRPr="008D2274" w:rsidRDefault="008D2274" w:rsidP="008D2274">
            <w:pPr>
              <w:pStyle w:val="NoSpacing"/>
              <w:spacing w:line="256" w:lineRule="auto"/>
              <w:ind w:left="113" w:right="113"/>
              <w:rPr>
                <w:rStyle w:val="normaltextrun"/>
                <w:rFonts w:eastAsiaTheme="majorEastAsia"/>
                <w:b/>
                <w:bCs/>
                <w:color w:val="000000"/>
                <w:sz w:val="28"/>
                <w:szCs w:val="28"/>
              </w:rPr>
            </w:pPr>
            <w:r w:rsidRPr="008D2274">
              <w:rPr>
                <w:rStyle w:val="normaltextrun"/>
                <w:rFonts w:eastAsiaTheme="majorEastAsia"/>
                <w:b/>
                <w:bCs/>
                <w:color w:val="000000"/>
                <w:sz w:val="28"/>
                <w:szCs w:val="28"/>
              </w:rPr>
              <w:t>MEDIUM RISK</w:t>
            </w:r>
          </w:p>
        </w:tc>
        <w:tc>
          <w:tcPr>
            <w:tcW w:w="2778" w:type="pct"/>
            <w:shd w:val="clear" w:color="auto" w:fill="FFD966" w:themeFill="accent4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AEF1D" w14:textId="054ADBC6" w:rsidR="00650BA5" w:rsidRPr="003B1785" w:rsidRDefault="00650BA5" w:rsidP="00650BA5">
            <w:pPr>
              <w:pStyle w:val="NoSpacing"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 w:rsidRPr="00E24855">
              <w:rPr>
                <w:b/>
                <w:bCs/>
                <w:sz w:val="24"/>
                <w:szCs w:val="24"/>
              </w:rPr>
              <w:t xml:space="preserve">Question </w:t>
            </w:r>
            <w:r w:rsidR="008D227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8" w:type="pct"/>
            <w:gridSpan w:val="2"/>
            <w:shd w:val="clear" w:color="auto" w:fill="FFD966" w:themeFill="accent4" w:themeFillTint="9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E42B5" w14:textId="25311561" w:rsidR="00650BA5" w:rsidRPr="003B1785" w:rsidRDefault="00650BA5" w:rsidP="00650BA5">
            <w:pPr>
              <w:pStyle w:val="paragraph"/>
              <w:spacing w:line="256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</w:rPr>
            </w:pPr>
            <w:r w:rsidRPr="00E24855">
              <w:rPr>
                <w:rFonts w:ascii="Arial" w:eastAsiaTheme="minorHAnsi" w:hAnsi="Arial" w:cs="Arial"/>
                <w:b/>
                <w:bCs/>
              </w:rPr>
              <w:t>Answer</w:t>
            </w:r>
          </w:p>
        </w:tc>
        <w:tc>
          <w:tcPr>
            <w:tcW w:w="1181" w:type="pct"/>
            <w:shd w:val="clear" w:color="auto" w:fill="FFD96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1BED8" w14:textId="30E20285" w:rsidR="00650BA5" w:rsidRPr="003B1785" w:rsidRDefault="00650BA5" w:rsidP="00650BA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E24855">
              <w:rPr>
                <w:b/>
                <w:bCs/>
                <w:sz w:val="24"/>
                <w:szCs w:val="24"/>
              </w:rPr>
              <w:t>Evidence, if Yes</w:t>
            </w:r>
          </w:p>
        </w:tc>
      </w:tr>
      <w:tr w:rsidR="00650BA5" w:rsidRPr="005C179D" w14:paraId="4391610C" w14:textId="77777777" w:rsidTr="008D2274">
        <w:trPr>
          <w:cantSplit/>
          <w:trHeight w:val="1758"/>
        </w:trPr>
        <w:tc>
          <w:tcPr>
            <w:tcW w:w="313" w:type="pct"/>
            <w:vMerge/>
            <w:shd w:val="clear" w:color="auto" w:fill="FFD966" w:themeFill="accent4" w:themeFillTint="99"/>
          </w:tcPr>
          <w:p w14:paraId="667AF664" w14:textId="77777777" w:rsidR="00650BA5" w:rsidRPr="008D2274" w:rsidRDefault="00650BA5" w:rsidP="00650BA5">
            <w:pPr>
              <w:pStyle w:val="NoSpacing"/>
              <w:spacing w:line="256" w:lineRule="auto"/>
              <w:rPr>
                <w:rStyle w:val="normaltextrun"/>
                <w:rFonts w:eastAsiaTheme="majorEastAsia"/>
                <w:color w:val="000000"/>
                <w:sz w:val="28"/>
                <w:szCs w:val="28"/>
              </w:rPr>
            </w:pPr>
          </w:p>
        </w:tc>
        <w:tc>
          <w:tcPr>
            <w:tcW w:w="2778" w:type="pct"/>
            <w:shd w:val="clear" w:color="auto" w:fill="FFF2CC" w:themeFill="accent4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4B3C30" w14:textId="3F074639" w:rsidR="00650BA5" w:rsidRDefault="00650BA5" w:rsidP="00650BA5">
            <w:pPr>
              <w:pStyle w:val="NoSpacing"/>
              <w:spacing w:line="256" w:lineRule="auto"/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</w:pPr>
            <w:r w:rsidRPr="00E24855"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 xml:space="preserve">Are there any </w:t>
            </w:r>
            <w:r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 xml:space="preserve">peer-reviewed </w:t>
            </w:r>
            <w:r w:rsidRPr="00E24855"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>publications about the</w:t>
            </w:r>
            <w:r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 xml:space="preserve"> </w:t>
            </w:r>
            <w:r w:rsidRPr="00E24855"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>package in reputable journal</w:t>
            </w:r>
            <w:r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>s</w:t>
            </w:r>
            <w:r w:rsidRPr="00E24855"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>?</w:t>
            </w:r>
          </w:p>
          <w:p w14:paraId="758D7444" w14:textId="77777777" w:rsidR="00650BA5" w:rsidRPr="00E24855" w:rsidRDefault="00650BA5" w:rsidP="00650BA5">
            <w:pPr>
              <w:pStyle w:val="NoSpacing"/>
              <w:spacing w:line="256" w:lineRule="auto"/>
              <w:rPr>
                <w:sz w:val="22"/>
                <w:szCs w:val="22"/>
              </w:rPr>
            </w:pPr>
          </w:p>
          <w:p w14:paraId="5F50B974" w14:textId="409D749B" w:rsidR="00650BA5" w:rsidRPr="00D01935" w:rsidRDefault="00D73A98" w:rsidP="00650BA5">
            <w:pPr>
              <w:pStyle w:val="NoSpacing"/>
              <w:spacing w:line="256" w:lineRule="auto"/>
              <w:rPr>
                <w:i/>
                <w:iCs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650BA5" w:rsidRPr="00E24855">
                <w:rPr>
                  <w:rStyle w:val="Hyperlink"/>
                  <w:i/>
                  <w:iCs/>
                  <w:sz w:val="22"/>
                  <w:szCs w:val="22"/>
                </w:rPr>
                <w:t>Check the list of Novartis approved journals</w:t>
              </w:r>
            </w:hyperlink>
          </w:p>
        </w:tc>
        <w:tc>
          <w:tcPr>
            <w:tcW w:w="416" w:type="pct"/>
            <w:shd w:val="clear" w:color="auto" w:fill="FFF2CC" w:themeFill="accent4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783F0" w14:textId="7C29A670" w:rsidR="00650BA5" w:rsidRPr="00E24855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sz w:val="22"/>
                <w:szCs w:val="22"/>
              </w:rPr>
            </w:pPr>
            <w:bookmarkStart w:id="7" w:name="NOcitation"/>
            <w:bookmarkEnd w:id="7"/>
          </w:p>
        </w:tc>
        <w:tc>
          <w:tcPr>
            <w:tcW w:w="312" w:type="pct"/>
            <w:shd w:val="clear" w:color="auto" w:fill="FFF2CC" w:themeFill="accent4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D5E22" w14:textId="7AF3885A" w:rsidR="00650BA5" w:rsidRPr="00E24855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sz w:val="22"/>
                <w:szCs w:val="22"/>
              </w:rPr>
            </w:pPr>
            <w:bookmarkStart w:id="8" w:name="YEScitation"/>
            <w:bookmarkEnd w:id="8"/>
          </w:p>
        </w:tc>
        <w:tc>
          <w:tcPr>
            <w:tcW w:w="1181" w:type="pct"/>
            <w:shd w:val="clear" w:color="auto" w:fill="FFF2CC" w:themeFill="accent4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42CBCD" w14:textId="77777777" w:rsidR="00650BA5" w:rsidRPr="00E24855" w:rsidRDefault="00650BA5" w:rsidP="00650BA5">
            <w:pPr>
              <w:pStyle w:val="NoSpacing"/>
              <w:spacing w:line="256" w:lineRule="auto"/>
              <w:rPr>
                <w:i/>
                <w:iCs/>
                <w:sz w:val="22"/>
                <w:szCs w:val="22"/>
              </w:rPr>
            </w:pPr>
            <w:bookmarkStart w:id="9" w:name="citation"/>
            <w:bookmarkEnd w:id="9"/>
          </w:p>
        </w:tc>
      </w:tr>
      <w:tr w:rsidR="00650BA5" w:rsidRPr="005C179D" w14:paraId="0B958D99" w14:textId="77777777" w:rsidTr="00822D84">
        <w:trPr>
          <w:cantSplit/>
          <w:trHeight w:val="340"/>
        </w:trPr>
        <w:tc>
          <w:tcPr>
            <w:tcW w:w="313" w:type="pct"/>
            <w:vMerge w:val="restart"/>
            <w:shd w:val="clear" w:color="auto" w:fill="C00000"/>
            <w:textDirection w:val="btLr"/>
          </w:tcPr>
          <w:p w14:paraId="09FB5629" w14:textId="77777777" w:rsidR="00650BA5" w:rsidRPr="008D2274" w:rsidRDefault="00650BA5" w:rsidP="00650BA5">
            <w:pPr>
              <w:pStyle w:val="NoSpacing"/>
              <w:spacing w:line="256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8D2274">
              <w:rPr>
                <w:b/>
                <w:bCs/>
                <w:sz w:val="28"/>
                <w:szCs w:val="28"/>
              </w:rPr>
              <w:t>HIGH RISK</w:t>
            </w:r>
          </w:p>
        </w:tc>
        <w:tc>
          <w:tcPr>
            <w:tcW w:w="2778" w:type="pct"/>
            <w:shd w:val="clear" w:color="auto" w:fill="C0000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51A1F" w14:textId="232C401D" w:rsidR="00650BA5" w:rsidRPr="00E24855" w:rsidRDefault="00650BA5" w:rsidP="00650BA5">
            <w:pPr>
              <w:pStyle w:val="NoSpacing"/>
              <w:spacing w:line="256" w:lineRule="auto"/>
              <w:jc w:val="center"/>
              <w:rPr>
                <w:b/>
                <w:bCs/>
                <w:sz w:val="24"/>
                <w:szCs w:val="24"/>
              </w:rPr>
            </w:pPr>
            <w:r w:rsidRPr="00E24855">
              <w:rPr>
                <w:b/>
                <w:bCs/>
                <w:sz w:val="24"/>
                <w:szCs w:val="24"/>
              </w:rPr>
              <w:t xml:space="preserve">Question </w:t>
            </w:r>
            <w:r w:rsidR="008D227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8" w:type="pct"/>
            <w:gridSpan w:val="2"/>
            <w:shd w:val="clear" w:color="auto" w:fill="C0000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7C5B8" w14:textId="77777777" w:rsidR="00650BA5" w:rsidRPr="00E24855" w:rsidRDefault="00650BA5" w:rsidP="00650BA5">
            <w:pPr>
              <w:pStyle w:val="paragraph"/>
              <w:spacing w:line="256" w:lineRule="auto"/>
              <w:jc w:val="center"/>
              <w:textAlignment w:val="baseline"/>
              <w:rPr>
                <w:rFonts w:ascii="Arial" w:eastAsiaTheme="minorHAnsi" w:hAnsi="Arial" w:cs="Arial"/>
                <w:b/>
                <w:bCs/>
              </w:rPr>
            </w:pPr>
            <w:r w:rsidRPr="00E24855">
              <w:rPr>
                <w:rFonts w:ascii="Arial" w:eastAsiaTheme="minorHAnsi" w:hAnsi="Arial" w:cs="Arial"/>
                <w:b/>
                <w:bCs/>
              </w:rPr>
              <w:t>Answer</w:t>
            </w:r>
          </w:p>
        </w:tc>
        <w:tc>
          <w:tcPr>
            <w:tcW w:w="1181" w:type="pct"/>
            <w:shd w:val="clear" w:color="auto" w:fill="C0000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18EEFF" w14:textId="77777777" w:rsidR="00650BA5" w:rsidRPr="00E24855" w:rsidRDefault="00650BA5" w:rsidP="00650BA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E24855">
              <w:rPr>
                <w:b/>
                <w:bCs/>
                <w:sz w:val="24"/>
                <w:szCs w:val="24"/>
              </w:rPr>
              <w:t>Evidence, if Yes</w:t>
            </w:r>
          </w:p>
        </w:tc>
      </w:tr>
      <w:tr w:rsidR="00650BA5" w:rsidRPr="005C179D" w14:paraId="213008C4" w14:textId="77777777" w:rsidTr="00822D84">
        <w:trPr>
          <w:cantSplit/>
          <w:trHeight w:val="1406"/>
        </w:trPr>
        <w:tc>
          <w:tcPr>
            <w:tcW w:w="313" w:type="pct"/>
            <w:vMerge/>
            <w:shd w:val="clear" w:color="auto" w:fill="FAD8D2"/>
          </w:tcPr>
          <w:p w14:paraId="0365DBB6" w14:textId="77777777" w:rsidR="00650BA5" w:rsidRPr="005C179D" w:rsidRDefault="00650BA5" w:rsidP="00650BA5">
            <w:pPr>
              <w:pStyle w:val="NoSpacing"/>
              <w:rPr>
                <w:rStyle w:val="normaltextrun"/>
                <w:rFonts w:eastAsiaTheme="majorEastAsia"/>
                <w:color w:val="000000"/>
                <w:sz w:val="32"/>
                <w:szCs w:val="32"/>
              </w:rPr>
            </w:pPr>
          </w:p>
        </w:tc>
        <w:tc>
          <w:tcPr>
            <w:tcW w:w="2778" w:type="pct"/>
            <w:shd w:val="clear" w:color="auto" w:fill="FAD8D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318AA" w14:textId="77777777" w:rsidR="00650BA5" w:rsidRDefault="00650BA5" w:rsidP="008D2274">
            <w:pPr>
              <w:pStyle w:val="NoSpacing"/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</w:pPr>
            <w:r w:rsidRPr="005C179D"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 xml:space="preserve">Does the package </w:t>
            </w:r>
            <w:r w:rsidR="008D2274">
              <w:rPr>
                <w:rStyle w:val="normaltextrun"/>
                <w:rFonts w:eastAsiaTheme="majorEastAsia"/>
                <w:color w:val="000000"/>
                <w:sz w:val="22"/>
                <w:szCs w:val="22"/>
              </w:rPr>
              <w:t>possess a filled-out validation plan/report-style document?</w:t>
            </w:r>
          </w:p>
          <w:p w14:paraId="327404E9" w14:textId="77777777" w:rsidR="008D2274" w:rsidRDefault="008D2274" w:rsidP="008D2274">
            <w:pPr>
              <w:pStyle w:val="NoSpacing"/>
              <w:rPr>
                <w:sz w:val="22"/>
                <w:szCs w:val="22"/>
              </w:rPr>
            </w:pPr>
          </w:p>
          <w:p w14:paraId="7B0C02B8" w14:textId="0AC3D3A0" w:rsidR="008D2274" w:rsidRPr="00D73A98" w:rsidRDefault="008D2274" w:rsidP="008D2274">
            <w:pPr>
              <w:pStyle w:val="NoSpacing"/>
              <w:rPr>
                <w:sz w:val="22"/>
                <w:szCs w:val="22"/>
                <w:lang w:val="de-CH"/>
              </w:rPr>
            </w:pPr>
            <w:r>
              <w:t xml:space="preserve">See the template in </w:t>
            </w:r>
            <w:hyperlink r:id="rId14" w:history="1">
              <w:r w:rsidRPr="008D2274">
                <w:rPr>
                  <w:rStyle w:val="Hyperlink"/>
                </w:rPr>
                <w:t>go/davinci/</w:t>
              </w:r>
              <w:proofErr w:type="spellStart"/>
              <w:r w:rsidRPr="008D2274">
                <w:rPr>
                  <w:rStyle w:val="Hyperlink"/>
                </w:rPr>
                <w:t>sos</w:t>
              </w:r>
              <w:proofErr w:type="spellEnd"/>
              <w:r w:rsidRPr="008D2274">
                <w:rPr>
                  <w:rStyle w:val="Hyperlink"/>
                </w:rPr>
                <w:t>/internal-</w:t>
              </w:r>
              <w:proofErr w:type="spellStart"/>
              <w:r w:rsidRPr="008D2274">
                <w:rPr>
                  <w:rStyle w:val="Hyperlink"/>
                </w:rPr>
                <w:t>vpvr</w:t>
              </w:r>
              <w:proofErr w:type="spellEnd"/>
            </w:hyperlink>
          </w:p>
        </w:tc>
        <w:tc>
          <w:tcPr>
            <w:tcW w:w="416" w:type="pct"/>
            <w:shd w:val="clear" w:color="auto" w:fill="FAD8D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15750" w14:textId="49A67C91" w:rsidR="00650BA5" w:rsidRPr="005C179D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sz w:val="22"/>
                <w:szCs w:val="22"/>
              </w:rPr>
            </w:pPr>
            <w:r w:rsidRPr="000871EC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NO</w:t>
            </w:r>
            <w:r w:rsidRPr="000871EC">
              <w:rPr>
                <w:bCs/>
              </w:rPr>
              <w:t xml:space="preserve"> </w:t>
            </w:r>
            <w:r w:rsidRPr="000871EC">
              <w:rPr>
                <w:bCs/>
              </w:rPr>
              <w:br/>
            </w:r>
            <w:sdt>
              <w:sdtPr>
                <w:id w:val="-424885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12" w:type="pct"/>
            <w:shd w:val="clear" w:color="auto" w:fill="FAD8D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F654F" w14:textId="048B9DBE" w:rsidR="00650BA5" w:rsidRPr="005C179D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YES</w:t>
            </w:r>
            <w:r w:rsidRPr="000871EC">
              <w:rPr>
                <w:bCs/>
              </w:rPr>
              <w:t xml:space="preserve"> </w:t>
            </w:r>
            <w:r w:rsidRPr="000871EC">
              <w:rPr>
                <w:bCs/>
              </w:rPr>
              <w:br/>
            </w:r>
            <w:sdt>
              <w:sdtPr>
                <w:id w:val="50717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81" w:type="pct"/>
            <w:shd w:val="clear" w:color="auto" w:fill="FAD8D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AE9252" w14:textId="5C5C644E" w:rsidR="00650BA5" w:rsidRPr="005C179D" w:rsidRDefault="00650BA5" w:rsidP="00650BA5">
            <w:pPr>
              <w:pStyle w:val="paragraph"/>
              <w:spacing w:line="256" w:lineRule="auto"/>
              <w:textAlignment w:val="baseline"/>
              <w:rPr>
                <w:rFonts w:ascii="Arial" w:eastAsiaTheme="minorHAnsi" w:hAnsi="Arial" w:cs="Arial"/>
                <w:i/>
                <w:iCs/>
                <w:sz w:val="22"/>
                <w:szCs w:val="22"/>
              </w:rPr>
            </w:pPr>
          </w:p>
        </w:tc>
      </w:tr>
      <w:tr w:rsidR="00650BA5" w:rsidRPr="005C179D" w14:paraId="1E0F840A" w14:textId="77777777" w:rsidTr="002128B6">
        <w:trPr>
          <w:cantSplit/>
          <w:trHeight w:val="633"/>
        </w:trPr>
        <w:tc>
          <w:tcPr>
            <w:tcW w:w="5000" w:type="pct"/>
            <w:gridSpan w:val="5"/>
            <w:shd w:val="clear" w:color="auto" w:fill="767171" w:themeFill="background2" w:themeFillShade="80"/>
          </w:tcPr>
          <w:p w14:paraId="179DDC0C" w14:textId="31E3972D" w:rsidR="00650BA5" w:rsidRPr="002128B6" w:rsidRDefault="00650BA5" w:rsidP="00650BA5">
            <w:pPr>
              <w:pStyle w:val="paragraph"/>
              <w:spacing w:line="256" w:lineRule="auto"/>
              <w:jc w:val="center"/>
              <w:textAlignment w:val="baseline"/>
              <w:rPr>
                <w:rFonts w:ascii="Arial" w:eastAsiaTheme="minorHAnsi" w:hAnsi="Arial" w:cs="Arial"/>
                <w:i/>
                <w:iCs/>
                <w:color w:val="FFFFFF" w:themeColor="background1"/>
                <w:sz w:val="22"/>
                <w:szCs w:val="22"/>
              </w:rPr>
            </w:pPr>
            <w:r w:rsidRPr="002128B6">
              <w:rPr>
                <w:rFonts w:ascii="Arial" w:eastAsiaTheme="minorHAnsi" w:hAnsi="Arial" w:cs="Arial"/>
                <w:b/>
                <w:bCs/>
                <w:color w:val="FFFFFF" w:themeColor="background1"/>
              </w:rPr>
              <w:t>If all answers are NO in the assessment form, the package will not be installed on DaVinci</w:t>
            </w:r>
          </w:p>
        </w:tc>
      </w:tr>
    </w:tbl>
    <w:p w14:paraId="0F13DA3E" w14:textId="73F0E4C6" w:rsidR="004C535C" w:rsidRPr="005C179D" w:rsidRDefault="004C535C" w:rsidP="004C535C">
      <w:pPr>
        <w:pStyle w:val="Heading2"/>
        <w:rPr>
          <w:rFonts w:cs="Arial"/>
        </w:rPr>
      </w:pPr>
      <w:bookmarkStart w:id="10" w:name="_Toc67043643"/>
      <w:r w:rsidRPr="005C179D">
        <w:rPr>
          <w:rFonts w:cs="Arial"/>
        </w:rPr>
        <w:t>Disclaimer</w:t>
      </w:r>
    </w:p>
    <w:p w14:paraId="07A83DF1" w14:textId="347599BF" w:rsidR="004C535C" w:rsidRPr="005C179D" w:rsidRDefault="004C535C" w:rsidP="002128B6">
      <w:pPr>
        <w:pStyle w:val="NoSpacing"/>
        <w:jc w:val="both"/>
      </w:pPr>
      <w:r w:rsidRPr="005C179D">
        <w:t>When information for a given package cannot be retrieved, e.g., by automated tools such as {</w:t>
      </w:r>
      <w:r w:rsidR="00850908">
        <w:t>brave</w:t>
      </w:r>
      <w:r w:rsidRPr="005C179D">
        <w:t>}</w:t>
      </w:r>
      <w:r w:rsidR="00850908">
        <w:t xml:space="preserve"> (formerly {qcNvs})</w:t>
      </w:r>
      <w:r w:rsidRPr="005C179D">
        <w:t>, checkboxes may be left unticked. For the purpose of risk determination these rows should be treated as “NO” until further research indicates otherwise. Similarly, if a row qualifies a package to be part of a lower-risk group, questions related to higher-level sections may be skipped, as they do not impact the outcome of the assessment.</w:t>
      </w:r>
    </w:p>
    <w:p w14:paraId="321622AF" w14:textId="77777777" w:rsidR="003E6CCF" w:rsidRPr="005C179D" w:rsidRDefault="003E6CCF" w:rsidP="004C535C">
      <w:pPr>
        <w:pStyle w:val="NoSpacing"/>
      </w:pPr>
    </w:p>
    <w:p w14:paraId="737B2C89" w14:textId="77777777" w:rsidR="004C535C" w:rsidRPr="005C179D" w:rsidRDefault="004C535C" w:rsidP="004C535C">
      <w:pPr>
        <w:pStyle w:val="Heading2"/>
        <w:rPr>
          <w:rFonts w:cs="Arial"/>
        </w:rPr>
      </w:pPr>
      <w:r w:rsidRPr="005C179D">
        <w:rPr>
          <w:rFonts w:cs="Arial"/>
        </w:rPr>
        <w:t>Low Risk Package</w:t>
      </w:r>
      <w:bookmarkEnd w:id="10"/>
    </w:p>
    <w:p w14:paraId="5CCFF97B" w14:textId="6944F933" w:rsidR="004C535C" w:rsidRPr="005C179D" w:rsidRDefault="004C535C" w:rsidP="004C535C">
      <w:pPr>
        <w:pStyle w:val="NoSpacing"/>
      </w:pPr>
      <w:r w:rsidRPr="005C179D">
        <w:t>The package can be seen LOW RISK</w:t>
      </w:r>
      <w:r w:rsidR="00F862AB">
        <w:t>,</w:t>
      </w:r>
      <w:r w:rsidRPr="005C179D">
        <w:t xml:space="preserve"> if at least one answer is YES on the questions in </w:t>
      </w:r>
      <w:r w:rsidR="00F862AB">
        <w:t xml:space="preserve">the </w:t>
      </w:r>
      <w:r w:rsidRPr="005C179D">
        <w:t>green section. For low-risk packages only a basic R CMD check is required.</w:t>
      </w:r>
    </w:p>
    <w:p w14:paraId="31A2C158" w14:textId="77777777" w:rsidR="004C535C" w:rsidRPr="005C179D" w:rsidRDefault="004C535C" w:rsidP="004C535C">
      <w:pPr>
        <w:pStyle w:val="NoSpacing"/>
      </w:pPr>
    </w:p>
    <w:p w14:paraId="4BE028C1" w14:textId="77777777" w:rsidR="004C535C" w:rsidRPr="005C179D" w:rsidRDefault="004C535C" w:rsidP="004C535C">
      <w:pPr>
        <w:pStyle w:val="Heading2"/>
        <w:rPr>
          <w:rFonts w:cs="Arial"/>
        </w:rPr>
      </w:pPr>
      <w:bookmarkStart w:id="11" w:name="_Toc50565982"/>
      <w:bookmarkStart w:id="12" w:name="_Toc67043644"/>
      <w:r w:rsidRPr="005C179D">
        <w:rPr>
          <w:rFonts w:cs="Arial"/>
        </w:rPr>
        <w:lastRenderedPageBreak/>
        <w:t>Medium Risk Package</w:t>
      </w:r>
      <w:bookmarkEnd w:id="11"/>
      <w:bookmarkEnd w:id="12"/>
    </w:p>
    <w:p w14:paraId="71886182" w14:textId="44C60248" w:rsidR="004C535C" w:rsidRPr="005C179D" w:rsidRDefault="004C535C" w:rsidP="004C535C">
      <w:pPr>
        <w:pStyle w:val="NoSpacing"/>
      </w:pPr>
      <w:r w:rsidRPr="005C179D">
        <w:t>The package can be seen as MEDIUM RISK</w:t>
      </w:r>
      <w:r w:rsidR="00F862AB">
        <w:t>,</w:t>
      </w:r>
      <w:r w:rsidRPr="005C179D">
        <w:t xml:space="preserve"> if at least one answer is YES on the questions in </w:t>
      </w:r>
      <w:r w:rsidR="007B6657" w:rsidRPr="005C179D">
        <w:t xml:space="preserve">the </w:t>
      </w:r>
      <w:r w:rsidRPr="005C179D">
        <w:t xml:space="preserve">yellow section and the package </w:t>
      </w:r>
      <w:r w:rsidR="007B6657" w:rsidRPr="005C179D">
        <w:t xml:space="preserve">does not qualify to be </w:t>
      </w:r>
      <w:r w:rsidRPr="005C179D">
        <w:t>LOW RISK.</w:t>
      </w:r>
    </w:p>
    <w:p w14:paraId="18119990" w14:textId="77777777" w:rsidR="004C535C" w:rsidRPr="005C179D" w:rsidRDefault="004C535C" w:rsidP="004C535C">
      <w:pPr>
        <w:pStyle w:val="NoSpacing"/>
      </w:pPr>
    </w:p>
    <w:p w14:paraId="14599C4B" w14:textId="6E56714C" w:rsidR="004C535C" w:rsidRPr="005C179D" w:rsidRDefault="004C535C" w:rsidP="004C535C">
      <w:pPr>
        <w:pStyle w:val="NoSpacing"/>
      </w:pPr>
      <w:r w:rsidRPr="005C179D">
        <w:t xml:space="preserve">To mitigate the risk in this group, an R CMD check is required and review of the publications recommending the package or evaluation of the package test cases, which were executed by the </w:t>
      </w:r>
      <w:r w:rsidR="007B6657" w:rsidRPr="005C179D">
        <w:t xml:space="preserve">package </w:t>
      </w:r>
      <w:r w:rsidRPr="005C179D">
        <w:t xml:space="preserve">author or other users. The evidence of this review should be attached to the risk assessment form. </w:t>
      </w:r>
    </w:p>
    <w:p w14:paraId="17AA0629" w14:textId="77777777" w:rsidR="004C535C" w:rsidRPr="005C179D" w:rsidRDefault="004C535C" w:rsidP="004C535C">
      <w:pPr>
        <w:pStyle w:val="NoSpacing"/>
        <w:jc w:val="both"/>
        <w:rPr>
          <w:szCs w:val="22"/>
        </w:rPr>
      </w:pPr>
    </w:p>
    <w:p w14:paraId="70BB1C3F" w14:textId="77777777" w:rsidR="004C535C" w:rsidRPr="005C179D" w:rsidRDefault="004C535C" w:rsidP="004C535C">
      <w:pPr>
        <w:pStyle w:val="Heading2"/>
        <w:rPr>
          <w:rFonts w:cs="Arial"/>
        </w:rPr>
      </w:pPr>
      <w:bookmarkStart w:id="13" w:name="_Toc50565983"/>
      <w:bookmarkStart w:id="14" w:name="_Toc67043645"/>
      <w:r w:rsidRPr="005C179D">
        <w:rPr>
          <w:rFonts w:cs="Arial"/>
        </w:rPr>
        <w:t>High Risk Package</w:t>
      </w:r>
      <w:bookmarkEnd w:id="13"/>
      <w:bookmarkEnd w:id="14"/>
    </w:p>
    <w:p w14:paraId="5537966B" w14:textId="468CBC54" w:rsidR="004C535C" w:rsidRPr="005C179D" w:rsidRDefault="004C535C" w:rsidP="004C535C">
      <w:pPr>
        <w:pStyle w:val="NoSpacing"/>
      </w:pPr>
      <w:r w:rsidRPr="005C179D">
        <w:t>If all answers in the LOW RISK and MEDIUM RISK sections are NO</w:t>
      </w:r>
      <w:r w:rsidR="00525824">
        <w:t xml:space="preserve"> and at least one answer in the HIGH RISK section is </w:t>
      </w:r>
      <w:r w:rsidR="00CE6565">
        <w:t>YES</w:t>
      </w:r>
      <w:r w:rsidRPr="005C179D">
        <w:t>, then the package should be considered high-risk or potentially dangerous.</w:t>
      </w:r>
    </w:p>
    <w:p w14:paraId="178BB35D" w14:textId="77777777" w:rsidR="004C535C" w:rsidRPr="005C179D" w:rsidRDefault="004C535C" w:rsidP="004C535C">
      <w:pPr>
        <w:pStyle w:val="NoSpacing"/>
      </w:pPr>
    </w:p>
    <w:p w14:paraId="4CC86D6B" w14:textId="4B3FA8C1" w:rsidR="004C535C" w:rsidRDefault="004C535C" w:rsidP="00E24855">
      <w:pPr>
        <w:pStyle w:val="NoSpacing"/>
      </w:pPr>
      <w:r w:rsidRPr="005C179D">
        <w:t xml:space="preserve">Especially, while installing those packages extra pre-cautions should be taken during testing. </w:t>
      </w:r>
      <w:r w:rsidR="0069613E">
        <w:t>The i</w:t>
      </w:r>
      <w:r w:rsidRPr="005C179D">
        <w:t xml:space="preserve">nstallation testing and user acceptance testing are required in order to confirm the quality of the package and its functions. </w:t>
      </w:r>
    </w:p>
    <w:p w14:paraId="6439DE49" w14:textId="1B117F1F" w:rsidR="00FC5811" w:rsidRDefault="00FC5811" w:rsidP="00E24855">
      <w:pPr>
        <w:pStyle w:val="NoSpacing"/>
      </w:pPr>
    </w:p>
    <w:p w14:paraId="734D2D91" w14:textId="77777777" w:rsidR="00FC5811" w:rsidRPr="005C179D" w:rsidRDefault="00FC5811" w:rsidP="00FC5811">
      <w:pPr>
        <w:pStyle w:val="Heading2"/>
        <w:rPr>
          <w:rFonts w:cs="Arial"/>
        </w:rPr>
      </w:pPr>
      <w:r>
        <w:rPr>
          <w:rFonts w:cs="Arial"/>
        </w:rPr>
        <w:t>Note</w:t>
      </w:r>
    </w:p>
    <w:p w14:paraId="0946919F" w14:textId="6D1035D7" w:rsidR="00FC5811" w:rsidRPr="005C179D" w:rsidRDefault="00FC5811" w:rsidP="00E24855">
      <w:pPr>
        <w:pStyle w:val="NoSpacing"/>
      </w:pPr>
      <w:r w:rsidRPr="003E6CCF">
        <w:t xml:space="preserve">Packages that do not fulfill the above criteria (i.e., prerequisites are not fulfilled, or all </w:t>
      </w:r>
      <w:r>
        <w:t xml:space="preserve">other </w:t>
      </w:r>
      <w:r w:rsidRPr="003E6CCF">
        <w:t xml:space="preserve">questions are "No") will not be installed on DaVinci as is. In order to be added to DaVinci, those packages must be treated separately (e.g., through cloning/forking followed by internal package validation). Contact the </w:t>
      </w:r>
      <w:hyperlink r:id="rId15" w:history="1">
        <w:r w:rsidRPr="003E6CCF">
          <w:rPr>
            <w:rStyle w:val="Hyperlink"/>
          </w:rPr>
          <w:t>Scientific Open Source (SOS) Management Team</w:t>
        </w:r>
      </w:hyperlink>
      <w:r w:rsidRPr="003E6CCF">
        <w:t xml:space="preserve"> for further guidance.</w:t>
      </w:r>
    </w:p>
    <w:sectPr w:rsidR="00FC5811" w:rsidRPr="005C179D" w:rsidSect="004C5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061C" w14:textId="77777777" w:rsidR="00B22E79" w:rsidRDefault="00B22E79" w:rsidP="004822B4">
      <w:pPr>
        <w:spacing w:after="0" w:line="240" w:lineRule="auto"/>
      </w:pPr>
      <w:r>
        <w:separator/>
      </w:r>
    </w:p>
  </w:endnote>
  <w:endnote w:type="continuationSeparator" w:id="0">
    <w:p w14:paraId="74BD79EF" w14:textId="77777777" w:rsidR="00B22E79" w:rsidRDefault="00B22E79" w:rsidP="004822B4">
      <w:pPr>
        <w:spacing w:after="0" w:line="240" w:lineRule="auto"/>
      </w:pPr>
      <w:r>
        <w:continuationSeparator/>
      </w:r>
    </w:p>
  </w:endnote>
  <w:endnote w:type="continuationNotice" w:id="1">
    <w:p w14:paraId="0E197E96" w14:textId="77777777" w:rsidR="00B22E79" w:rsidRDefault="00B22E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FDE9" w14:textId="77777777" w:rsidR="00B22E79" w:rsidRDefault="00B22E79" w:rsidP="004822B4">
      <w:pPr>
        <w:spacing w:after="0" w:line="240" w:lineRule="auto"/>
      </w:pPr>
      <w:r>
        <w:separator/>
      </w:r>
    </w:p>
  </w:footnote>
  <w:footnote w:type="continuationSeparator" w:id="0">
    <w:p w14:paraId="629743CD" w14:textId="77777777" w:rsidR="00B22E79" w:rsidRDefault="00B22E79" w:rsidP="004822B4">
      <w:pPr>
        <w:spacing w:after="0" w:line="240" w:lineRule="auto"/>
      </w:pPr>
      <w:r>
        <w:continuationSeparator/>
      </w:r>
    </w:p>
  </w:footnote>
  <w:footnote w:type="continuationNotice" w:id="1">
    <w:p w14:paraId="0399F653" w14:textId="77777777" w:rsidR="00B22E79" w:rsidRDefault="00B22E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F0A"/>
    <w:multiLevelType w:val="multilevel"/>
    <w:tmpl w:val="F700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F24734"/>
    <w:multiLevelType w:val="hybridMultilevel"/>
    <w:tmpl w:val="A932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43CE"/>
    <w:multiLevelType w:val="hybridMultilevel"/>
    <w:tmpl w:val="891A0B9E"/>
    <w:lvl w:ilvl="0" w:tplc="DE3C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15409"/>
    <w:multiLevelType w:val="hybridMultilevel"/>
    <w:tmpl w:val="2C7CEB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01CFA"/>
    <w:multiLevelType w:val="hybridMultilevel"/>
    <w:tmpl w:val="BE3E098E"/>
    <w:lvl w:ilvl="0" w:tplc="DE3C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3548"/>
    <w:multiLevelType w:val="hybridMultilevel"/>
    <w:tmpl w:val="73A28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A5E22"/>
    <w:multiLevelType w:val="hybridMultilevel"/>
    <w:tmpl w:val="AF944A26"/>
    <w:lvl w:ilvl="0" w:tplc="6A3CD7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4"/>
    <w:rsid w:val="000871EC"/>
    <w:rsid w:val="000B117B"/>
    <w:rsid w:val="00121FC6"/>
    <w:rsid w:val="001503D1"/>
    <w:rsid w:val="00164A53"/>
    <w:rsid w:val="001B1F79"/>
    <w:rsid w:val="001F12DA"/>
    <w:rsid w:val="002128B6"/>
    <w:rsid w:val="00272EA8"/>
    <w:rsid w:val="00337BA4"/>
    <w:rsid w:val="003418AE"/>
    <w:rsid w:val="003B1785"/>
    <w:rsid w:val="003B4496"/>
    <w:rsid w:val="003E6CCF"/>
    <w:rsid w:val="003F6309"/>
    <w:rsid w:val="00436794"/>
    <w:rsid w:val="004822B4"/>
    <w:rsid w:val="004C535C"/>
    <w:rsid w:val="004D0E76"/>
    <w:rsid w:val="004E5E43"/>
    <w:rsid w:val="00525824"/>
    <w:rsid w:val="00587163"/>
    <w:rsid w:val="005A7C2A"/>
    <w:rsid w:val="005B77BE"/>
    <w:rsid w:val="005C179D"/>
    <w:rsid w:val="00650BA5"/>
    <w:rsid w:val="00667739"/>
    <w:rsid w:val="00691059"/>
    <w:rsid w:val="0069613E"/>
    <w:rsid w:val="006C0A6A"/>
    <w:rsid w:val="00713958"/>
    <w:rsid w:val="0071704C"/>
    <w:rsid w:val="00724F53"/>
    <w:rsid w:val="007B6657"/>
    <w:rsid w:val="007F27AF"/>
    <w:rsid w:val="00822D84"/>
    <w:rsid w:val="00850908"/>
    <w:rsid w:val="008D2274"/>
    <w:rsid w:val="009770D4"/>
    <w:rsid w:val="009863CF"/>
    <w:rsid w:val="009B3CE0"/>
    <w:rsid w:val="009C5B28"/>
    <w:rsid w:val="009C677D"/>
    <w:rsid w:val="009E416D"/>
    <w:rsid w:val="00AA12F8"/>
    <w:rsid w:val="00B14C82"/>
    <w:rsid w:val="00B22E79"/>
    <w:rsid w:val="00B652E6"/>
    <w:rsid w:val="00C97734"/>
    <w:rsid w:val="00CD2205"/>
    <w:rsid w:val="00CD7E0D"/>
    <w:rsid w:val="00CE6565"/>
    <w:rsid w:val="00D01935"/>
    <w:rsid w:val="00D42B8F"/>
    <w:rsid w:val="00D73A98"/>
    <w:rsid w:val="00D80372"/>
    <w:rsid w:val="00D92D46"/>
    <w:rsid w:val="00DD2979"/>
    <w:rsid w:val="00DE4BC2"/>
    <w:rsid w:val="00E24855"/>
    <w:rsid w:val="00E447B6"/>
    <w:rsid w:val="00E93F8E"/>
    <w:rsid w:val="00EA3F0C"/>
    <w:rsid w:val="00F31F85"/>
    <w:rsid w:val="00F76793"/>
    <w:rsid w:val="00F862AB"/>
    <w:rsid w:val="00FC5811"/>
    <w:rsid w:val="00FE456B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651C1E"/>
  <w15:chartTrackingRefBased/>
  <w15:docId w15:val="{0773FBD2-A273-4A08-ABC8-C50DE70E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35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2B4"/>
    <w:pPr>
      <w:spacing w:after="0" w:line="240" w:lineRule="auto"/>
    </w:pPr>
  </w:style>
  <w:style w:type="paragraph" w:customStyle="1" w:styleId="paragraph">
    <w:name w:val="paragraph"/>
    <w:basedOn w:val="Normal"/>
    <w:rsid w:val="0048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822B4"/>
  </w:style>
  <w:style w:type="character" w:customStyle="1" w:styleId="normaltextrun">
    <w:name w:val="normaltextrun"/>
    <w:basedOn w:val="DefaultParagraphFont"/>
    <w:qFormat/>
    <w:rsid w:val="004822B4"/>
  </w:style>
  <w:style w:type="character" w:styleId="Hyperlink">
    <w:name w:val="Hyperlink"/>
    <w:basedOn w:val="DefaultParagraphFont"/>
    <w:uiPriority w:val="99"/>
    <w:rsid w:val="004822B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822B4"/>
    <w:pPr>
      <w:spacing w:after="0" w:line="240" w:lineRule="auto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22B4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822B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822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7BA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535C"/>
    <w:rPr>
      <w:rFonts w:eastAsiaTheme="majorEastAsia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50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3D1"/>
  </w:style>
  <w:style w:type="paragraph" w:styleId="Footer">
    <w:name w:val="footer"/>
    <w:basedOn w:val="Normal"/>
    <w:link w:val="FooterChar"/>
    <w:uiPriority w:val="99"/>
    <w:semiHidden/>
    <w:unhideWhenUsed/>
    <w:rsid w:val="00150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/davinci-trusted-journal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o/davinci-viz-pkg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/davinci-viz-exampl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aVinci_R_Package_Mgmt_PRJ@dl.mgd.novarti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/davinci/sos/internal-vp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C3DE320B446498B119A7CFA522919" ma:contentTypeVersion="8" ma:contentTypeDescription="Create a new document." ma:contentTypeScope="" ma:versionID="7e0018598a6c75c33007206dd2a7e819">
  <xsd:schema xmlns:xsd="http://www.w3.org/2001/XMLSchema" xmlns:xs="http://www.w3.org/2001/XMLSchema" xmlns:p="http://schemas.microsoft.com/office/2006/metadata/properties" xmlns:ns2="01bfcfe9-5b7d-4200-ad57-292da3a4c999" xmlns:ns3="b5f05687-f6b7-4ff7-84e4-862213a8ce88" targetNamespace="http://schemas.microsoft.com/office/2006/metadata/properties" ma:root="true" ma:fieldsID="edf6e131f23b007d0a4f6914cf4a472a" ns2:_="" ns3:_="">
    <xsd:import namespace="01bfcfe9-5b7d-4200-ad57-292da3a4c999"/>
    <xsd:import namespace="b5f05687-f6b7-4ff7-84e4-862213a8c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RiskAssessment_Arsenal" minOccurs="0"/>
                <xsd:element ref="ns2:Maintaine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fcfe9-5b7d-4200-ad57-292da3a4c9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iskAssessment_Arsenal" ma:index="12" nillable="true" ma:displayName="Risk Assessment_Arsenal" ma:format="Hyperlink" ma:internalName="RiskAssessment_Arsen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aintainer" ma:index="13" nillable="true" ma:displayName="Maintainer " ma:description="Ethan Heinzen" ma:format="Dropdown" ma:internalName="Maintain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05687-f6b7-4ff7-84e4-862213a8c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iskAssessment_Arsenal xmlns="01bfcfe9-5b7d-4200-ad57-292da3a4c999">
      <Url xsi:nil="true"/>
      <Description xsi:nil="true"/>
    </RiskAssessment_Arsenal>
    <Maintainer xmlns="01bfcfe9-5b7d-4200-ad57-292da3a4c99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A808-8ABC-4F80-AD7D-524F7665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fcfe9-5b7d-4200-ad57-292da3a4c999"/>
    <ds:schemaRef ds:uri="b5f05687-f6b7-4ff7-84e4-862213a8c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45C3E-F812-4872-B88B-EFB23CB60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A1F5-DA4B-467F-B6B4-D5C50FE29C92}">
  <ds:schemaRefs>
    <ds:schemaRef ds:uri="http://schemas.microsoft.com/office/2006/metadata/properties"/>
    <ds:schemaRef ds:uri="http://schemas.microsoft.com/office/infopath/2007/PartnerControls"/>
    <ds:schemaRef ds:uri="01bfcfe9-5b7d-4200-ad57-292da3a4c999"/>
  </ds:schemaRefs>
</ds:datastoreItem>
</file>

<file path=customXml/itemProps4.xml><?xml version="1.0" encoding="utf-8"?>
<ds:datastoreItem xmlns:ds="http://schemas.openxmlformats.org/officeDocument/2006/customXml" ds:itemID="{5387D9AA-C66B-4B08-96C7-3C4D861C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Stachniuk, Aleksandra (Ext)</dc:creator>
  <cp:keywords/>
  <dc:description/>
  <cp:lastModifiedBy>Ochsenbein, David</cp:lastModifiedBy>
  <cp:revision>2</cp:revision>
  <dcterms:created xsi:type="dcterms:W3CDTF">2023-01-17T08:12:00Z</dcterms:created>
  <dcterms:modified xsi:type="dcterms:W3CDTF">2023-01-17T08:12:00Z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2022-04-22T11:26:18Z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69362d78-9201-4e7b-8e99-143cf6d5c23d</vt:lpwstr>
  </property>
  <property fmtid="{D5CDD505-2E9C-101B-9397-08002B2CF9AE}" pid="8" name="MSIP_Label_3c9bec58-8084-492e-8360-0e1cfe36408c_ContentBits">
    <vt:lpwstr>0</vt:lpwstr>
  </property>
  <property fmtid="{D5CDD505-2E9C-101B-9397-08002B2CF9AE}" pid="9" name="ContentTypeId">
    <vt:lpwstr>0x0101005FAC3DE320B446498B119A7CFA522919</vt:lpwstr>
  </property>
</Properties>
</file>