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before="0" w:after="0"/>
        <w:ind w:left="0" w:right="0"/>
        <w:jc w:val="center"/>
      </w:pPr>
      <w:r>
        <w:rPr>
          <w:rFonts w:ascii="Arial" w:cs="Arial" w:eastAsia="Arial" w:hAnsi="Arial"/>
          <w:b/>
          <w:bCs/>
          <w:color w:val="FFFFFF"/>
          <w:sz w:val="28"/>
          <w:szCs w:val="28"/>
        </w:rPr>
        <w:t xml:space="preserve">SBIR PHASE I — BUDGET VOLUME</w:t>
      </w:r>
    </w:p>
    <w:p>
      <w:pPr>
        <w:spacing w:before="160" w:after="80"/>
        <w:jc w:val="center"/>
      </w:pPr>
      <w:r>
        <w:rPr>
          <w:rFonts w:ascii="Arial" w:cs="Arial" w:eastAsia="Arial" w:hAnsi="Arial"/>
          <w:b/>
          <w:bCs/>
          <w:color w:val="1F3864"/>
          <w:sz w:val="22"/>
          <w:szCs w:val="22"/>
        </w:rPr>
        <w:t xml:space="preserve">Differential Depolarization Response Sensor for Maritime SAR Material Discrimination</w:t>
      </w:r>
    </w:p>
    <w:p>
      <w:pPr>
        <w:spacing w:before="0" w:after="200"/>
        <w:jc w:val="center"/>
      </w:pPr>
      <w:r>
        <w:rPr>
          <w:rFonts w:ascii="Arial" w:cs="Arial" w:eastAsia="Arial" w:hAnsi="Arial"/>
          <w:b/>
          <w:bCs/>
          <w:color w:val="000000"/>
          <w:sz w:val="20"/>
          <w:szCs w:val="20"/>
        </w:rPr>
        <w:t xml:space="preserve">Principal Investigator: </w:t>
      </w:r>
      <w:r>
        <w:rPr>
          <w:rFonts w:ascii="Arial" w:cs="Arial" w:eastAsia="Arial" w:hAnsi="Arial"/>
          <w:color w:val="000000"/>
          <w:sz w:val="20"/>
          <w:szCs w:val="20"/>
        </w:rPr>
        <w:t xml:space="preserve">Samuel C. Ryan  </w:t>
      </w:r>
      <w:r>
        <w:rPr>
          <w:rFonts w:ascii="Arial" w:cs="Arial" w:eastAsia="Arial" w:hAnsi="Arial"/>
          <w:b/>
          <w:bCs/>
          <w:color w:val="000000"/>
          <w:sz w:val="20"/>
          <w:szCs w:val="20"/>
        </w:rPr>
        <w:t xml:space="preserve">  |  Period of Performance: </w:t>
      </w:r>
      <w:r>
        <w:rPr>
          <w:rFonts w:ascii="Arial" w:cs="Arial" w:eastAsia="Arial" w:hAnsi="Arial"/>
          <w:color w:val="000000"/>
          <w:sz w:val="20"/>
          <w:szCs w:val="20"/>
        </w:rPr>
        <w:t xml:space="preserve">6 Months  </w:t>
      </w:r>
      <w:r>
        <w:rPr>
          <w:rFonts w:ascii="Arial" w:cs="Arial" w:eastAsia="Arial" w:hAnsi="Arial"/>
          <w:b/>
          <w:bCs/>
          <w:color w:val="000000"/>
          <w:sz w:val="20"/>
          <w:szCs w:val="20"/>
        </w:rPr>
        <w:t xml:space="preserve">  |  Patent Pending</w:t>
      </w:r>
    </w:p>
    <w:p>
      <w:pPr>
        <w:pBdr>
          <w:left w:val="single" w:color="1F3864" w:sz="12" w:space="8"/>
        </w:pBdr>
        <w:spacing w:before="0" w:after="160"/>
        <w:ind w:left="240"/>
      </w:pPr>
      <w:r>
        <w:rPr>
          <w:rFonts w:ascii="Arial" w:cs="Arial" w:eastAsia="Arial" w:hAnsi="Arial"/>
          <w:i/>
          <w:iCs/>
          <w:color w:val="444444"/>
          <w:sz w:val="18"/>
          <w:szCs w:val="18"/>
        </w:rPr>
        <w:t xml:space="preserve">This Budget Volume is the companion document to the Phase I Technical Volume submitted by Novel Systems Engineering, LLC for the same solicitation. All milestone references correspond to Section 4 of the Technical Volume; all component specifications correspond to Section 3.2; all target material references correspond to Section 3.4.</w:t>
      </w:r>
    </w:p>
    <w:p>
      <w:pPr>
        <w:pBdr>
          <w:bottom w:val="single" w:color="1F3864" w:sz="6" w:space="2"/>
        </w:pBdr>
        <w:spacing w:before="240" w:after="80"/>
      </w:pPr>
      <w:r>
        <w:rPr>
          <w:rFonts w:ascii="Arial" w:cs="Arial" w:eastAsia="Arial" w:hAnsi="Arial"/>
          <w:b/>
          <w:bCs/>
          <w:color w:val="1F3864"/>
          <w:sz w:val="20"/>
          <w:szCs w:val="20"/>
        </w:rPr>
        <w:t xml:space="preserve">Budget Summary</w:t>
      </w:r>
    </w:p>
    <w:p>
      <w:pPr>
        <w:spacing w:before="8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W w:type="dxa" w:w="69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Budget Category</w:t>
            </w:r>
          </w:p>
        </w:tc>
        <w:tc>
          <w:tcPr>
            <w:tcW w:type="dxa" w:w="24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Amount</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A.  Direct Labor — Principal Investigator (6 months, 95% FTE)</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$83,125</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B.  Fringe Benefits (16.8% composite rate)</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$13,975</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C.  Materials &amp; Supplies (optical components, enclosure, samples)</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$18,640</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D.  Consultant Services (Prof. Haller, Prof. Wang)</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$14,000</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E.  Travel (field validation, technical review, program management)</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$2,800</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F.  Other Direct Costs (facility, software, reporting)</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$21,200</w:t>
            </w:r>
          </w:p>
        </w:tc>
      </w:tr>
      <w:tr>
        <w:tc>
          <w:tcPr>
            <w:tcW w:type="dxa" w:w="696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Total Direct Costs</w:t>
            </w:r>
          </w:p>
        </w:tc>
        <w:tc>
          <w:tcPr>
            <w:tcW w:type="dxa" w:w="24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$153,740</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G.  Indirect Costs / F&amp;A  (25% of direct labor + fringe = $97,100)</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$24,275</w:t>
            </w:r>
          </w:p>
        </w:tc>
      </w:tr>
      <w:tr>
        <w:tc>
          <w:tcPr>
            <w:tcW w:type="dxa" w:w="696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Subtotal Before Fee</w:t>
            </w:r>
          </w:p>
        </w:tc>
        <w:tc>
          <w:tcPr>
            <w:tcW w:type="dxa" w:w="24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$178,015</w:t>
            </w:r>
          </w:p>
        </w:tc>
      </w:tr>
      <w:tr>
        <w:tc>
          <w:tcPr>
            <w:tcW w:type="dxa" w:w="69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H.  Fee / Profit (7.5%)</w:t>
            </w:r>
          </w:p>
        </w:tc>
        <w:tc>
          <w:tcPr>
            <w:tcW w:type="dxa" w:w="24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$13,351</w:t>
            </w:r>
          </w:p>
        </w:tc>
      </w:tr>
      <w:tr>
        <w:tc>
          <w:tcPr>
            <w:tcW w:type="dxa" w:w="696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TOTAL PROPOSED COST</w:t>
            </w:r>
          </w:p>
        </w:tc>
        <w:tc>
          <w:tcPr>
            <w:tcW w:type="dxa" w:w="24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$191,366</w:t>
            </w:r>
          </w:p>
        </w:tc>
      </w:tr>
    </w:tbl>
    <w:p>
      <w:pPr>
        <w:spacing w:before="200" w:after="0"/>
      </w:pPr>
      <w:r>
        <w:rPr>
          <w:rFonts w:ascii="Arial" w:cs="Arial" w:eastAsia="Arial" w:hAnsi="Arial"/>
          <w:color w:val="000000"/>
          <w:sz w:val="20"/>
          <w:szCs w:val="20"/>
        </w:rPr>
        <w:t xml:space="preserve"/>
      </w:r>
    </w:p>
    <w:p>
      <w:pPr>
        <w:pBdr>
          <w:bottom w:val="single" w:color="1F3864" w:sz="6" w:space="2"/>
        </w:pBdr>
        <w:spacing w:before="240" w:after="80"/>
      </w:pPr>
      <w:r>
        <w:rPr>
          <w:rFonts w:ascii="Arial" w:cs="Arial" w:eastAsia="Arial" w:hAnsi="Arial"/>
          <w:b/>
          <w:bCs/>
          <w:color w:val="1F3864"/>
          <w:sz w:val="20"/>
          <w:szCs w:val="20"/>
        </w:rPr>
        <w:t xml:space="preserve">Budget Detail</w:t>
      </w:r>
    </w:p>
    <w:p>
      <w:pPr>
        <w:shd w:fill="1F3864" w:val="clear"/>
        <w:spacing w:before="200" w:after="160"/>
        <w:ind w:left="120" w:right="120"/>
      </w:pPr>
      <w:r>
        <w:rPr>
          <w:rFonts w:ascii="Arial" w:cs="Arial" w:eastAsia="Arial" w:hAnsi="Arial"/>
          <w:b/>
          <w:bCs/>
          <w:color w:val="FFFFFF"/>
          <w:sz w:val="24"/>
          <w:szCs w:val="24"/>
        </w:rPr>
        <w:t xml:space="preserve">A.  Direct Labor</w:t>
      </w:r>
    </w:p>
    <w:p>
      <w:pPr>
        <w:spacing w:before="6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900"/>
        <w:gridCol w:w="900"/>
        <w:gridCol w:w="2060"/>
        <w:gridCol w:w="1800"/>
      </w:tblGrid>
      <w:tr>
        <w:tc>
          <w:tcPr>
            <w:tcW w:type="dxa" w:w="22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Name</w:t>
            </w:r>
          </w:p>
        </w:tc>
        <w:tc>
          <w:tcPr>
            <w:tcW w:type="dxa" w:w="15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Role</w:t>
            </w:r>
          </w:p>
        </w:tc>
        <w:tc>
          <w:tcPr>
            <w:tcW w:type="dxa" w:w="9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Effort</w:t>
            </w:r>
          </w:p>
        </w:tc>
        <w:tc>
          <w:tcPr>
            <w:tcW w:type="dxa" w:w="9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Months</w:t>
            </w:r>
          </w:p>
        </w:tc>
        <w:tc>
          <w:tcPr>
            <w:tcW w:type="dxa" w:w="20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Annual Salary</w:t>
            </w:r>
          </w:p>
        </w:tc>
        <w:tc>
          <w:tcPr>
            <w:tcW w:type="dxa" w:w="18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w:t>
            </w:r>
          </w:p>
        </w:tc>
      </w:tr>
      <w:tr>
        <w:tc>
          <w:tcPr>
            <w:tcW w:type="dxa" w:w="2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Samuel C. Ryan</w:t>
            </w:r>
          </w:p>
        </w:tc>
        <w:tc>
          <w:tcPr>
            <w:tcW w:type="dxa" w:w="15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Principal Investigator</w:t>
            </w:r>
          </w:p>
        </w:tc>
        <w:tc>
          <w:tcPr>
            <w:tcW w:type="dxa" w:w="9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95%</w:t>
            </w:r>
          </w:p>
        </w:tc>
        <w:tc>
          <w:tcPr>
            <w:tcW w:type="dxa" w:w="9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6</w:t>
            </w:r>
          </w:p>
        </w:tc>
        <w:tc>
          <w:tcPr>
            <w:tcW w:type="dxa" w:w="20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$175,000</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$83,125</w:t>
            </w:r>
          </w:p>
        </w:tc>
      </w:tr>
      <w:tr>
        <w:tc>
          <w:tcPr>
            <w:tcW w:type="dxa" w:w="7560"/>
            <w:gridSpan w:val="5"/>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Section A Total</w:t>
            </w:r>
          </w:p>
        </w:tc>
        <w:tc>
          <w:tcPr>
            <w:tcW w:type="dxa" w:w="18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$83,125</w:t>
            </w:r>
          </w:p>
        </w:tc>
      </w:tr>
    </w:tbl>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PI effort of 95% FTE for 6 months reflects the scope of work as sole technical lead: instrument design, component procurement, bench assembly, optical alignment, measurement execution, field deployment, data analysis, and technical reporting. The remaining 5% accounts for Novel Systems Engineering LLC administrative obligations not allocable to this award, including coordination of the Birthmark Standard Foundation activities conducted outside normal business hours.</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B.  Fringe Benefits</w:t>
      </w:r>
    </w:p>
    <w:p>
      <w:pPr>
        <w:spacing w:before="6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060"/>
        <w:gridCol w:w="1000"/>
        <w:gridCol w:w="1800"/>
      </w:tblGrid>
      <w:tr>
        <w:tc>
          <w:tcPr>
            <w:tcW w:type="dxa" w:w="45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Category</w:t>
            </w:r>
          </w:p>
        </w:tc>
        <w:tc>
          <w:tcPr>
            <w:tcW w:type="dxa" w:w="20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Base</w:t>
            </w:r>
          </w:p>
        </w:tc>
        <w:tc>
          <w:tcPr>
            <w:tcW w:type="dxa" w:w="10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Rate</w:t>
            </w:r>
          </w:p>
        </w:tc>
        <w:tc>
          <w:tcPr>
            <w:tcW w:type="dxa" w:w="18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w:t>
            </w:r>
          </w:p>
        </w:tc>
      </w:tr>
      <w:tr>
        <w:tc>
          <w:tcPr>
            <w:tcW w:type="dxa" w:w="45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FICA / Self-Employment Tax (employer portion)</w:t>
            </w:r>
          </w:p>
        </w:tc>
        <w:tc>
          <w:tcPr>
            <w:tcW w:type="dxa" w:w="20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$83,125</w:t>
            </w:r>
          </w:p>
        </w:tc>
        <w:tc>
          <w:tcPr>
            <w:tcW w:type="dxa" w:w="1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7.65%</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$6,359</w:t>
            </w:r>
          </w:p>
        </w:tc>
      </w:tr>
      <w:tr>
        <w:tc>
          <w:tcPr>
            <w:tcW w:type="dxa" w:w="45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Health Insurance (sole-member LLC)</w:t>
            </w:r>
          </w:p>
        </w:tc>
        <w:tc>
          <w:tcPr>
            <w:tcW w:type="dxa" w:w="20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
            </w:r>
          </w:p>
        </w:tc>
        <w:tc>
          <w:tcPr>
            <w:tcW w:type="dxa" w:w="1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$7,200</w:t>
            </w:r>
          </w:p>
        </w:tc>
      </w:tr>
      <w:tr>
        <w:tc>
          <w:tcPr>
            <w:tcW w:type="dxa" w:w="45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Oregon Workers' Compensation (construction/tech rate)</w:t>
            </w:r>
          </w:p>
        </w:tc>
        <w:tc>
          <w:tcPr>
            <w:tcW w:type="dxa" w:w="20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$83,125</w:t>
            </w:r>
          </w:p>
        </w:tc>
        <w:tc>
          <w:tcPr>
            <w:tcW w:type="dxa" w:w="1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0.50%</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$416</w:t>
            </w:r>
          </w:p>
        </w:tc>
      </w:tr>
      <w:tr>
        <w:tc>
          <w:tcPr>
            <w:tcW w:type="dxa" w:w="7560"/>
            <w:gridSpan w:val="3"/>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Section B Total  (16.8% composite rate on direct labor)</w:t>
            </w:r>
          </w:p>
        </w:tc>
        <w:tc>
          <w:tcPr>
            <w:tcW w:type="dxa" w:w="18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$13,975</w:t>
            </w:r>
          </w:p>
        </w:tc>
      </w:tr>
    </w:tbl>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Fringe costs reflect the sole-member LLC structure of Novel Systems Engineering. Health insurance is the annual premium for individual coverage. Workers' compensation reflects Oregon statutory rates for professional/scientific classification. No pension or retirement contribution is claimed on this award.</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C.  Materials &amp; Supplies</w:t>
      </w:r>
    </w:p>
    <w:p>
      <w:pPr>
        <w:spacing w:before="6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760"/>
        <w:gridCol w:w="1800"/>
      </w:tblGrid>
      <w:tr>
        <w:tc>
          <w:tcPr>
            <w:tcW w:type="dxa" w:w="58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Item</w:t>
            </w:r>
          </w:p>
        </w:tc>
        <w:tc>
          <w:tcPr>
            <w:tcW w:type="dxa" w:w="17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 / Unit</w:t>
            </w:r>
          </w:p>
        </w:tc>
        <w:tc>
          <w:tcPr>
            <w:tcW w:type="dxa" w:w="18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Cost</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1550 nm Laser Sources</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Thorlabs S3FC1550 DFB Laser, PM fiber-coupled, 1.5 mW min, 1550 nm</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2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$3,000</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InGaAs Photodetectors</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Thorlabs PDA20CS2 InGaAs Amplified Detector, 800–1700 nm, switchable gain</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4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$2,880</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Fiber Optic Components</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PM 1550 nm dual-wavelength WDM fiber coupler</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$950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3-port PM fiber optic circulator, 1550 nm</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$850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1550 nm WDM demultiplexer (channel pair)</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2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$1,200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PM fiber patch cables, FC/APC, assorted lengths (10 pcs)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$1,200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FC/APC connectors and termination tooling</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$400</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Free-Space Optics</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Thorlabs AC254-025-C achromatic collimating lens, 25 mm EFL, 1550 nm AR</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$185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Polarizing beam splitter cube, 1550 nm</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$580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Dichroic beam combiner, visible / 1550 nm</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$380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Alignment laser, 650 nm, Class 2, fiber-coupled, &lt;1 mW</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$285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Optical mounts, posts, cage rods, and bases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$1,800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Optical breadboard, 12" × 18", M6 tapped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$750</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Processing &amp; Interface</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Raspberry Pi 5 (8 GB RAM)</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Raspberry Pi official 7" touchscreen display</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$120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Raspberry Pi HQ Camera Module (12.3 MP)</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$75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16-bit quad-channel ADC HAT (ADS1115-based)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$145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DC power regulators, battery pack, charge management</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$380</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Mechanical &amp; Enclosure</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Aluminum alloy instrument enclosure (custom fabricated, ~10" × 6" × 4")</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$1,150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Padded shoulder sling assembly, adjustable</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$145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Horizontal handgrip, ergonomic, aluminum</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$75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Key switch, toggle switches, indicator LEDs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$110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Weatherproofing gaskets and IP54 seals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$185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Assembly hardware: fasteners, standoffs, cable management</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$275</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Safety Equipment</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1550 nm laser safety eyewear, OD 4+, ANSI Z136.1 compliant (2 pairs)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2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$420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Optical power meter, 800–1700 nm measurement range</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$580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Safety interlock relay module (software-controlled)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$195</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Calibration Reference</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Gold-coated flat mirror calibration target</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$285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Kinematic mirror mount for calibration target</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$195</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Target Material Specimens</w:t>
            </w:r>
          </w:p>
        </w:tc>
        <w:tc>
          <w:tcPr>
            <w:tcW w:type="dxa" w:w="180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USCG-approved Type III/V PFD life jacket specimens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3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$285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Cotton, synthetic, and blended fabric swatches (assorted)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$120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Leather specimens, natural and treated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lot</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$95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Marine-grade fiberglass panel, 12" × 12"</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$145</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Bird feather specimens, wood, and seaweed (field-collected)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$0</w:t>
            </w:r>
          </w:p>
        </w:tc>
      </w:tr>
      <w:tr>
        <w:tc>
          <w:tcPr>
            <w:tcW w:type="dxa" w:w="5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USV hull composite panel, carbon fiber / fiberglass construction, 6" × 6"</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ea.</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$150</w:t>
            </w:r>
          </w:p>
        </w:tc>
      </w:tr>
      <w:tr>
        <w:tc>
          <w:tcPr>
            <w:tcW w:type="dxa" w:w="7560"/>
            <w:gridSpan w:val="2"/>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Section C Total</w:t>
            </w:r>
          </w:p>
        </w:tc>
        <w:tc>
          <w:tcPr>
            <w:tcW w:type="dxa" w:w="18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$18,640</w:t>
            </w:r>
          </w:p>
        </w:tc>
      </w:tr>
    </w:tbl>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All items priced from current Thorlabs catalog (laser sources, detectors, optics) and vendor quotes (fiber components, enclosure, processing hardware). No single item exceeds $5,000; all are classified as supplies rather than equipment. Long-lead items (laser sources and InGaAs detectors, 4–8 week lead time) will be ordered immediately upon award notification to protect the Month 2 bench assembly milestone.</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D.  Consultant Services</w:t>
      </w:r>
    </w:p>
    <w:p>
      <w:pPr>
        <w:spacing w:before="6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60"/>
        <w:gridCol w:w="900"/>
        <w:gridCol w:w="1000"/>
        <w:gridCol w:w="2000"/>
      </w:tblGrid>
      <w:tr>
        <w:tc>
          <w:tcPr>
            <w:tcW w:type="dxa" w:w="32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Consultant</w:t>
            </w:r>
          </w:p>
        </w:tc>
        <w:tc>
          <w:tcPr>
            <w:tcW w:type="dxa" w:w="22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Institution</w:t>
            </w:r>
          </w:p>
        </w:tc>
        <w:tc>
          <w:tcPr>
            <w:tcW w:type="dxa" w:w="9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Hours</w:t>
            </w:r>
          </w:p>
        </w:tc>
        <w:tc>
          <w:tcPr>
            <w:tcW w:type="dxa" w:w="10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Rate</w:t>
            </w:r>
          </w:p>
        </w:tc>
        <w:tc>
          <w:tcPr>
            <w:tcW w:type="dxa" w:w="20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Prof. Merrick Haller</w:t>
            </w:r>
          </w:p>
        </w:tc>
        <w:tc>
          <w:tcPr>
            <w:tcW w:type="dxa" w:w="22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Oregon State Univ. (CE/CEOAS)</w:t>
            </w:r>
          </w:p>
        </w:tc>
        <w:tc>
          <w:tcPr>
            <w:tcW w:type="dxa" w:w="9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40</w:t>
            </w:r>
          </w:p>
        </w:tc>
        <w:tc>
          <w:tcPr>
            <w:tcW w:type="dxa" w:w="1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$200</w:t>
            </w:r>
          </w:p>
        </w:tc>
        <w:tc>
          <w:tcPr>
            <w:tcW w:type="dxa" w:w="2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$8,000</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Prof. Alan X. Wang</w:t>
            </w:r>
          </w:p>
        </w:tc>
        <w:tc>
          <w:tcPr>
            <w:tcW w:type="dxa" w:w="22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Oregon State Univ. (EECS)</w:t>
            </w:r>
          </w:p>
        </w:tc>
        <w:tc>
          <w:tcPr>
            <w:tcW w:type="dxa" w:w="9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30</w:t>
            </w:r>
          </w:p>
        </w:tc>
        <w:tc>
          <w:tcPr>
            <w:tcW w:type="dxa" w:w="1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$200</w:t>
            </w:r>
          </w:p>
        </w:tc>
        <w:tc>
          <w:tcPr>
            <w:tcW w:type="dxa" w:w="20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$6,000</w:t>
            </w:r>
          </w:p>
        </w:tc>
      </w:tr>
      <w:tr>
        <w:tc>
          <w:tcPr>
            <w:tcW w:type="dxa" w:w="7360"/>
            <w:gridSpan w:val="4"/>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Section D Total</w:t>
            </w:r>
          </w:p>
        </w:tc>
        <w:tc>
          <w:tcPr>
            <w:tcW w:type="dxa" w:w="20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$14,000</w:t>
            </w:r>
          </w:p>
        </w:tc>
      </w:tr>
    </w:tbl>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Prof. Merrick Haller (OSU, Civil &amp; Construction Engineering / CEOAS) provides 40 hours of advisory support spanning experimental design review, field measurement methodology, and coastal validation site selection. Prof. Alan X. Wang (OSU, Electrical Engineering &amp; Computer Science) provides 30 hours of technical review covering the fiber optic receiver chain architecture and DDR measurement system design. Both consultants hold active federal research appointments; rates are consistent with OSU sponsored research consulting fee schedules.</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E.  Travel</w:t>
      </w:r>
    </w:p>
    <w:p>
      <w:pPr>
        <w:spacing w:before="6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60"/>
        <w:gridCol w:w="1200"/>
        <w:gridCol w:w="1800"/>
      </w:tblGrid>
      <w:tr>
        <w:tc>
          <w:tcPr>
            <w:tcW w:type="dxa" w:w="46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Purpose</w:t>
            </w:r>
          </w:p>
        </w:tc>
        <w:tc>
          <w:tcPr>
            <w:tcW w:type="dxa" w:w="17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Trips × Days</w:t>
            </w:r>
          </w:p>
        </w:tc>
        <w:tc>
          <w:tcPr>
            <w:tcW w:type="dxa" w:w="12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Per Trip</w:t>
            </w:r>
          </w:p>
        </w:tc>
        <w:tc>
          <w:tcPr>
            <w:tcW w:type="dxa" w:w="18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w:t>
            </w:r>
          </w:p>
        </w:tc>
      </w:tr>
      <w:tr>
        <w:tc>
          <w:tcPr>
            <w:tcW w:type="dxa" w:w="46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Coastal field validation (Wilsonville to Cannon Beach/Astoria and return)</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2 × 2 days</w:t>
            </w:r>
          </w:p>
        </w:tc>
        <w:tc>
          <w:tcPr>
            <w:tcW w:type="dxa" w:w="1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$600</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$1,200</w:t>
            </w:r>
          </w:p>
        </w:tc>
      </w:tr>
      <w:tr>
        <w:tc>
          <w:tcPr>
            <w:tcW w:type="dxa" w:w="46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Technical review meetings with advisory consultants (Corvallis)</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2 × 1 day</w:t>
            </w:r>
          </w:p>
        </w:tc>
        <w:tc>
          <w:tcPr>
            <w:tcW w:type="dxa" w:w="1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$350</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$700</w:t>
            </w:r>
          </w:p>
        </w:tc>
      </w:tr>
      <w:tr>
        <w:tc>
          <w:tcPr>
            <w:tcW w:type="dxa" w:w="46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Program management and reporting (if government site visit required)</w:t>
            </w:r>
          </w:p>
        </w:tc>
        <w:tc>
          <w:tcPr>
            <w:tcW w:type="dxa" w:w="17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center"/>
            </w:pPr>
            <w:r>
              <w:rPr>
                <w:rFonts w:ascii="Arial" w:cs="Arial" w:eastAsia="Arial" w:hAnsi="Arial"/>
                <w:color w:val="000000"/>
                <w:sz w:val="18"/>
                <w:szCs w:val="18"/>
              </w:rPr>
              <w:t xml:space="preserve">1 × 2 days</w:t>
            </w:r>
          </w:p>
        </w:tc>
        <w:tc>
          <w:tcPr>
            <w:tcW w:type="dxa" w:w="1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$900</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$900</w:t>
            </w:r>
          </w:p>
        </w:tc>
      </w:tr>
      <w:tr>
        <w:tc>
          <w:tcPr>
            <w:tcW w:type="dxa" w:w="7560"/>
            <w:gridSpan w:val="3"/>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Section E Total</w:t>
            </w:r>
          </w:p>
        </w:tc>
        <w:tc>
          <w:tcPr>
            <w:tcW w:type="dxa" w:w="18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$2,800</w:t>
            </w:r>
          </w:p>
        </w:tc>
      </w:tr>
    </w:tbl>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Coastal field validation trips depart from Wilsonville, OR and target established public access sites at Cannon Beach or the Astoria jetty system (~90 miles one way). Per-trip cost includes mileage at the current federal rate, one night lodging, per diem, and equipment transport. Technical review meetings with advisors in Corvallis (~80 miles from Wilsonville) are single-day trips without lodging. Government site visit travel is included contingently; cost will be adjusted if no site visit is required.</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F.  Other Direct Costs</w:t>
      </w:r>
    </w:p>
    <w:p>
      <w:pPr>
        <w:spacing w:before="60" w:after="0"/>
      </w:pPr>
      <w:r>
        <w:rPr>
          <w:rFonts w:ascii="Arial" w:cs="Arial" w:eastAsia="Arial" w:hAnsi="Arial"/>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Item</w:t>
            </w:r>
          </w:p>
        </w:tc>
        <w:tc>
          <w:tcPr>
            <w:tcW w:type="dxa" w:w="1800"/>
            <w:gridSpan w:val="1"/>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Cost</w:t>
            </w:r>
          </w:p>
        </w:tc>
      </w:tr>
      <w:tr>
        <w:tc>
          <w:tcPr>
            <w:tcW w:type="dxa" w:w="75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Portland State University laboratory facility access fees (6-month period)</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$7,200</w:t>
            </w:r>
          </w:p>
        </w:tc>
      </w:tr>
      <w:tr>
        <w:tc>
          <w:tcPr>
            <w:tcW w:type="dxa" w:w="75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Data acquisition and analysis software licenses</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$600</w:t>
            </w:r>
          </w:p>
        </w:tc>
      </w:tr>
      <w:tr>
        <w:tc>
          <w:tcPr>
            <w:tcW w:type="dxa" w:w="75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Communications and computing infrastructure</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$400</w:t>
            </w:r>
          </w:p>
        </w:tc>
      </w:tr>
      <w:tr>
        <w:tc>
          <w:tcPr>
            <w:tcW w:type="dxa" w:w="75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Final technical report preparation and reproduction</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$1,500</w:t>
            </w:r>
          </w:p>
        </w:tc>
      </w:tr>
      <w:tr>
        <w:tc>
          <w:tcPr>
            <w:tcW w:type="dxa" w:w="75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left"/>
            </w:pPr>
            <w:r>
              <w:rPr>
                <w:rFonts w:ascii="Arial" w:cs="Arial" w:eastAsia="Arial" w:hAnsi="Arial"/>
                <w:color w:val="000000"/>
                <w:sz w:val="18"/>
                <w:szCs w:val="18"/>
              </w:rPr>
              <w:t xml:space="preserve">Patent prosecution — provisional-to-utility conversion of DDR sensor architecture (attorney fees + USPTO filing fees, MGF quoted $11,500)</w:t>
            </w:r>
          </w:p>
        </w:tc>
        <w:tc>
          <w:tcPr>
            <w:tcW w:type="dxa" w:w="18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pPr>
              <w:jc w:val="right"/>
            </w:pPr>
            <w:r>
              <w:rPr>
                <w:rFonts w:ascii="Arial" w:cs="Arial" w:eastAsia="Arial" w:hAnsi="Arial"/>
                <w:color w:val="000000"/>
                <w:sz w:val="18"/>
                <w:szCs w:val="18"/>
              </w:rPr>
              <w:t xml:space="preserve">$11,500</w:t>
            </w:r>
          </w:p>
        </w:tc>
      </w:tr>
      <w:tr>
        <w:tc>
          <w:tcPr>
            <w:tcW w:type="dxa" w:w="7560"/>
            <w:gridSpan w:val="1"/>
            <w:tcBorders>
              <w:top w:val="single" w:color="AAAAAA" w:sz="4"/>
              <w:left w:val="single" w:color="AAAAAA" w:sz="4"/>
              <w:bottom w:val="single" w:color="AAAAAA" w:sz="4"/>
              <w:right w:val="single" w:color="AAAAAA" w:sz="4"/>
            </w:tcBorders>
            <w:shd w:fill="D6E4F0" w:val="clear"/>
            <w:tcMar>
              <w:top w:type="dxa" w:w="60"/>
              <w:left w:type="dxa" w:w="120"/>
              <w:bottom w:type="dxa" w:w="60"/>
              <w:right w:type="dxa" w:w="120"/>
            </w:tcMar>
            <w:vAlign w:val="center"/>
          </w:tcPr>
          <w:p>
            <w:pPr>
              <w:jc w:val="left"/>
            </w:pPr>
            <w:r>
              <w:rPr>
                <w:rFonts w:ascii="Arial" w:cs="Arial" w:eastAsia="Arial" w:hAnsi="Arial"/>
                <w:b/>
                <w:bCs/>
                <w:color w:val="1F3864"/>
                <w:sz w:val="18"/>
                <w:szCs w:val="18"/>
              </w:rPr>
              <w:t xml:space="preserve">Section F Total</w:t>
            </w:r>
          </w:p>
        </w:tc>
        <w:tc>
          <w:tcPr>
            <w:tcW w:type="dxa" w:w="1800"/>
            <w:tcBorders>
              <w:top w:val="single" w:color="AAAAAA" w:sz="4"/>
              <w:left w:val="single" w:color="AAAAAA" w:sz="4"/>
              <w:bottom w:val="single" w:color="AAAAAA" w:sz="4"/>
              <w:right w:val="single" w:color="AAAAAA" w:sz="4"/>
            </w:tcBorders>
            <w:shd w:fill="AED6F1" w:val="clear"/>
            <w:tcMar>
              <w:top w:type="dxa" w:w="60"/>
              <w:left w:type="dxa" w:w="120"/>
              <w:bottom w:type="dxa" w:w="60"/>
              <w:right w:type="dxa" w:w="120"/>
            </w:tcMar>
            <w:vAlign w:val="center"/>
          </w:tcPr>
          <w:p>
            <w:pPr>
              <w:jc w:val="right"/>
            </w:pPr>
            <w:r>
              <w:rPr>
                <w:rFonts w:ascii="Arial" w:cs="Arial" w:eastAsia="Arial" w:hAnsi="Arial"/>
                <w:b/>
                <w:bCs/>
                <w:color w:val="1F3864"/>
                <w:sz w:val="18"/>
                <w:szCs w:val="18"/>
              </w:rPr>
              <w:t xml:space="preserve">$21,200</w:t>
            </w:r>
          </w:p>
        </w:tc>
      </w:tr>
    </w:tbl>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PSU laboratory facility fees cover bench space access arranged through ONAMI for the 6-month period of performance. Software licenses cover LabVIEW or Python-based data acquisition suite and statistical analysis tools. Final report preparation includes formatting, reproduction, and digital submission of the Phase I technical report. Patent prosecution costs reflect the firm quote provided by MGF for conversion of the provisional patent application to a non-provisional utility application, including all attorney fees and USPTO micro-entity filing fees. The provisional-to-utility conversion deadline falls within the Phase I performance period; this cost is directly tied to protecting the intellectual property developed under this award.</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G.  Indirect Costs (Facilities &amp; Administrative)</w:t>
      </w:r>
    </w:p>
    <w:p>
      <w:pPr>
        <w:spacing w:before="60" w:after="0"/>
      </w:pPr>
      <w:r>
        <w:rPr>
          <w:rFonts w:ascii="Arial" w:cs="Arial" w:eastAsia="Arial" w:hAnsi="Arial"/>
          <w:color w:val="000000"/>
          <w:sz w:val="20"/>
          <w:szCs w:val="20"/>
        </w:rPr>
        <w:t xml:space="preserve"/>
      </w:r>
    </w:p>
    <w:p>
      <w:pPr>
        <w:spacing w:before="60" w:after="60"/>
      </w:pPr>
      <w:r>
        <w:rPr>
          <w:rFonts w:ascii="Arial" w:cs="Arial" w:eastAsia="Arial" w:hAnsi="Arial"/>
          <w:b/>
          <w:bCs/>
          <w:color w:val="000000"/>
          <w:sz w:val="20"/>
          <w:szCs w:val="20"/>
        </w:rPr>
        <w:t xml:space="preserve">F&amp;A Rate: </w:t>
      </w:r>
      <w:r>
        <w:rPr>
          <w:rFonts w:ascii="Arial" w:cs="Arial" w:eastAsia="Arial" w:hAnsi="Arial"/>
          <w:color w:val="000000"/>
          <w:sz w:val="20"/>
          <w:szCs w:val="20"/>
        </w:rPr>
        <w:t xml:space="preserve">25.0% applied to direct labor and fringe benefits (Sections A + B).</w:t>
      </w:r>
    </w:p>
    <w:p>
      <w:pPr>
        <w:spacing w:before="60" w:after="60"/>
      </w:pPr>
      <w:r>
        <w:rPr>
          <w:rFonts w:ascii="Arial" w:cs="Arial" w:eastAsia="Arial" w:hAnsi="Arial"/>
          <w:b/>
          <w:bCs/>
          <w:color w:val="000000"/>
          <w:sz w:val="20"/>
          <w:szCs w:val="20"/>
        </w:rPr>
        <w:t xml:space="preserve">F&amp;A Base: </w:t>
      </w:r>
      <w:r>
        <w:rPr>
          <w:rFonts w:ascii="Arial" w:cs="Arial" w:eastAsia="Arial" w:hAnsi="Arial"/>
          <w:color w:val="000000"/>
          <w:sz w:val="20"/>
          <w:szCs w:val="20"/>
        </w:rPr>
        <w:t xml:space="preserve">Section A ($83,125) + Section B ($13,975) = $97,100</w:t>
      </w:r>
    </w:p>
    <w:p>
      <w:pPr>
        <w:spacing w:before="60" w:after="60"/>
      </w:pPr>
      <w:r>
        <w:rPr>
          <w:rFonts w:ascii="Arial" w:cs="Arial" w:eastAsia="Arial" w:hAnsi="Arial"/>
          <w:b/>
          <w:bCs/>
          <w:color w:val="000000"/>
          <w:sz w:val="20"/>
          <w:szCs w:val="20"/>
        </w:rPr>
        <w:t xml:space="preserve">F&amp;A Amount: </w:t>
      </w:r>
      <w:r>
        <w:rPr>
          <w:rFonts w:ascii="Arial" w:cs="Arial" w:eastAsia="Arial" w:hAnsi="Arial"/>
          <w:color w:val="000000"/>
          <w:sz w:val="20"/>
          <w:szCs w:val="20"/>
        </w:rPr>
        <w:t xml:space="preserve">$97,100 × 25.0% = $24,275</w:t>
      </w:r>
    </w:p>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Novel Systems Engineering LLC does not hold a negotiated F&amp;A rate agreement with the federal government. The 25.0% provisional rate is based on actual indirect cost categories: business insurance and liability coverage, legal and accounting services, office and computing infrastructure, and LLC compliance costs attributable to all company activities. A Disclosure Statement and supporting cost data are available upon request. The company will negotiate a predetermined rate with the cognizant federal agency prior to Phase II application if Phase I is awarded.</w:t>
      </w:r>
    </w:p>
    <w:p>
      <w:pPr>
        <w:spacing w:before="160" w:after="0"/>
      </w:pPr>
      <w:r>
        <w:rPr>
          <w:rFonts w:ascii="Arial" w:cs="Arial" w:eastAsia="Arial" w:hAnsi="Arial"/>
          <w:color w:val="000000"/>
          <w:sz w:val="20"/>
          <w:szCs w:val="20"/>
        </w:rPr>
        <w:t xml:space="preserve"/>
      </w:r>
    </w:p>
    <w:p>
      <w:pPr>
        <w:shd w:fill="1F3864" w:val="clear"/>
        <w:spacing w:before="200" w:after="160"/>
        <w:ind w:left="120" w:right="120"/>
      </w:pPr>
      <w:r>
        <w:rPr>
          <w:rFonts w:ascii="Arial" w:cs="Arial" w:eastAsia="Arial" w:hAnsi="Arial"/>
          <w:b/>
          <w:bCs/>
          <w:color w:val="FFFFFF"/>
          <w:sz w:val="24"/>
          <w:szCs w:val="24"/>
        </w:rPr>
        <w:t xml:space="preserve">H.  Fee</w:t>
      </w:r>
    </w:p>
    <w:p>
      <w:pPr>
        <w:spacing w:before="60" w:after="0"/>
      </w:pPr>
      <w:r>
        <w:rPr>
          <w:rFonts w:ascii="Arial" w:cs="Arial" w:eastAsia="Arial" w:hAnsi="Arial"/>
          <w:color w:val="000000"/>
          <w:sz w:val="20"/>
          <w:szCs w:val="20"/>
        </w:rPr>
        <w:t xml:space="preserve"/>
      </w:r>
    </w:p>
    <w:p>
      <w:pPr>
        <w:spacing w:before="60" w:after="60"/>
      </w:pPr>
      <w:r>
        <w:rPr>
          <w:rFonts w:ascii="Arial" w:cs="Arial" w:eastAsia="Arial" w:hAnsi="Arial"/>
          <w:b/>
          <w:bCs/>
          <w:color w:val="000000"/>
          <w:sz w:val="20"/>
          <w:szCs w:val="20"/>
        </w:rPr>
        <w:t xml:space="preserve">Fee Basis: </w:t>
      </w:r>
      <w:r>
        <w:rPr>
          <w:rFonts w:ascii="Arial" w:cs="Arial" w:eastAsia="Arial" w:hAnsi="Arial"/>
          <w:color w:val="000000"/>
          <w:sz w:val="20"/>
          <w:szCs w:val="20"/>
        </w:rPr>
        <w:t xml:space="preserve">7.5% of total costs before fee ($178,015)</w:t>
      </w:r>
    </w:p>
    <w:p>
      <w:pPr>
        <w:spacing w:before="60" w:after="60"/>
      </w:pPr>
      <w:r>
        <w:rPr>
          <w:rFonts w:ascii="Arial" w:cs="Arial" w:eastAsia="Arial" w:hAnsi="Arial"/>
          <w:b/>
          <w:bCs/>
          <w:color w:val="000000"/>
          <w:sz w:val="20"/>
          <w:szCs w:val="20"/>
        </w:rPr>
        <w:t xml:space="preserve">Fee Amount: </w:t>
      </w:r>
      <w:r>
        <w:rPr>
          <w:rFonts w:ascii="Arial" w:cs="Arial" w:eastAsia="Arial" w:hAnsi="Arial"/>
          <w:color w:val="000000"/>
          <w:sz w:val="20"/>
          <w:szCs w:val="20"/>
        </w:rPr>
        <w:t xml:space="preserve">$13,351</w:t>
      </w:r>
    </w:p>
    <w:p>
      <w:pPr>
        <w:spacing w:before="80" w:after="0"/>
      </w:pPr>
      <w:r>
        <w:rPr>
          <w:rFonts w:ascii="Arial" w:cs="Arial" w:eastAsia="Arial" w:hAnsi="Arial"/>
          <w:color w:val="000000"/>
          <w:sz w:val="20"/>
          <w:szCs w:val="20"/>
        </w:rPr>
        <w:t xml:space="preserve"/>
      </w:r>
    </w:p>
    <w:p>
      <w:pPr>
        <w:spacing w:before="60" w:after="60"/>
        <w:ind w:left="300"/>
      </w:pPr>
      <w:r>
        <w:rPr>
          <w:rFonts w:ascii="Arial" w:cs="Arial" w:eastAsia="Arial" w:hAnsi="Arial"/>
          <w:i/>
          <w:iCs/>
          <w:color w:val="444444"/>
          <w:sz w:val="18"/>
          <w:szCs w:val="18"/>
        </w:rPr>
        <w:t xml:space="preserve">Fee reflects the commercial risk assumed by Novel Systems Engineering LLC as a sole-member small business undertaking novel instrumentation development with no guaranteed revenue. The requested fee is within SBIR program guidelines for Phase I awards.</w:t>
      </w:r>
    </w:p>
    <w:p>
      <w:pPr>
        <w:spacing w:before="200" w:after="0"/>
      </w:pPr>
      <w:r>
        <w:rPr>
          <w:rFonts w:ascii="Arial" w:cs="Arial" w:eastAsia="Arial" w:hAnsi="Arial"/>
          <w:color w:val="000000"/>
          <w:sz w:val="20"/>
          <w:szCs w:val="20"/>
        </w:rPr>
        <w:t xml:space="preserve"/>
      </w:r>
    </w:p>
    <w:p>
      <w:pPr>
        <w:pBdr>
          <w:bottom w:val="single" w:color="1F3864" w:sz="6" w:space="2"/>
        </w:pBdr>
        <w:spacing w:before="240" w:after="80"/>
      </w:pPr>
      <w:r>
        <w:rPr>
          <w:rFonts w:ascii="Arial" w:cs="Arial" w:eastAsia="Arial" w:hAnsi="Arial"/>
          <w:b/>
          <w:bCs/>
          <w:color w:val="1F3864"/>
          <w:sz w:val="20"/>
          <w:szCs w:val="20"/>
        </w:rPr>
        <w:t xml:space="preserve">Cost and Pricing Certification</w:t>
      </w:r>
    </w:p>
    <w:p>
      <w:pPr>
        <w:spacing w:before="80" w:after="0"/>
      </w:pPr>
      <w:r>
        <w:rPr>
          <w:rFonts w:ascii="Arial" w:cs="Arial" w:eastAsia="Arial" w:hAnsi="Arial"/>
          <w:color w:val="000000"/>
          <w:sz w:val="20"/>
          <w:szCs w:val="20"/>
        </w:rPr>
        <w:t xml:space="preserve"/>
      </w:r>
    </w:p>
    <w:p>
      <w:pPr>
        <w:spacing w:before="80" w:after="80"/>
      </w:pPr>
      <w:r>
        <w:rPr>
          <w:rFonts w:ascii="Arial" w:cs="Arial" w:eastAsia="Arial" w:hAnsi="Arial"/>
          <w:color w:val="000000"/>
          <w:sz w:val="20"/>
          <w:szCs w:val="20"/>
        </w:rPr>
        <w:t xml:space="preserve">The proposed costs are based on the offeror's best estimates of costs that will be incurred in the performance of this effort. All cost and pricing data are accurate, current, and complete to the best knowledge of the Principal Investigator as of the date of this submission. The proposed budget does not include costs for activities outside the Phase I scope of work, and all consultant arrangements are arm's-length transactions with no financial relationship between Novel Systems Engineering LLC and the named advisors beyond the consulting agreements described herein.</w:t>
      </w:r>
    </w:p>
    <w:p>
      <w:pPr>
        <w:spacing w:before="160" w:after="0"/>
      </w:pPr>
      <w:r>
        <w:rPr>
          <w:rFonts w:ascii="Arial" w:cs="Arial" w:eastAsia="Arial" w:hAnsi="Arial"/>
          <w:color w:val="000000"/>
          <w:sz w:val="20"/>
          <w:szCs w:val="20"/>
        </w:rPr>
        <w:t xml:space="preserve"/>
      </w:r>
    </w:p>
    <w:p>
      <w:pPr>
        <w:spacing w:before="80" w:after="80"/>
      </w:pPr>
      <w:r>
        <w:rPr>
          <w:rFonts w:ascii="Arial" w:cs="Arial" w:eastAsia="Arial" w:hAnsi="Arial"/>
          <w:color w:val="000000"/>
          <w:sz w:val="20"/>
          <w:szCs w:val="20"/>
        </w:rPr>
        <w:t xml:space="preserve">Principal Investigator Signature: </w:t>
      </w:r>
      <w:r>
        <w:rPr>
          <w:rFonts w:ascii="Arial" w:cs="Arial" w:eastAsia="Arial" w:hAnsi="Arial"/>
          <w:color w:val="000000"/>
          <w:sz w:val="20"/>
          <w:szCs w:val="20"/>
        </w:rPr>
        <w:t xml:space="preserve">_________________________________  </w:t>
      </w:r>
      <w:r>
        <w:rPr>
          <w:rFonts w:ascii="Arial" w:cs="Arial" w:eastAsia="Arial" w:hAnsi="Arial"/>
          <w:b/>
          <w:bCs/>
          <w:color w:val="000000"/>
          <w:sz w:val="20"/>
          <w:szCs w:val="20"/>
        </w:rPr>
        <w:t xml:space="preserve">Samuel C. Ryan</w:t>
      </w:r>
    </w:p>
    <w:p>
      <w:pPr>
        <w:spacing w:before="80" w:after="80"/>
      </w:pPr>
      <w:r>
        <w:rPr>
          <w:rFonts w:ascii="Arial" w:cs="Arial" w:eastAsia="Arial" w:hAnsi="Arial"/>
          <w:color w:val="000000"/>
          <w:sz w:val="20"/>
          <w:szCs w:val="20"/>
        </w:rPr>
        <w:t xml:space="preserve">Title: </w:t>
      </w:r>
      <w:r>
        <w:rPr>
          <w:rFonts w:ascii="Arial" w:cs="Arial" w:eastAsia="Arial" w:hAnsi="Arial"/>
          <w:color w:val="000000"/>
          <w:sz w:val="20"/>
          <w:szCs w:val="20"/>
        </w:rPr>
        <w:t xml:space="preserve">Principal Investigator / Managing Member, Novel Systems Engineering LLC</w:t>
      </w:r>
    </w:p>
    <w:p>
      <w:pPr>
        <w:spacing w:before="80" w:after="80"/>
      </w:pPr>
      <w:r>
        <w:rPr>
          <w:rFonts w:ascii="Arial" w:cs="Arial" w:eastAsia="Arial" w:hAnsi="Arial"/>
          <w:color w:val="000000"/>
          <w:sz w:val="20"/>
          <w:szCs w:val="20"/>
        </w:rPr>
        <w:t xml:space="preserve">Date: </w:t>
      </w:r>
      <w:r>
        <w:rPr>
          <w:rFonts w:ascii="Arial" w:cs="Arial" w:eastAsia="Arial" w:hAnsi="Arial"/>
          <w:color w:val="000000"/>
          <w:sz w:val="20"/>
          <w:szCs w:val="20"/>
        </w:rPr>
        <w:t xml:space="preserve">_________________________________</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BBBB" w:sz="4" w:space="2"/>
      </w:pBdr>
      <w:tabs>
        <w:tab w:val="right" w:pos="9026"/>
      </w:tabs>
    </w:pPr>
    <w:r>
      <w:rPr>
        <w:rFonts w:ascii="Arial" w:cs="Arial" w:eastAsia="Arial" w:hAnsi="Arial"/>
        <w:color w:val="888888"/>
        <w:sz w:val="16"/>
        <w:szCs w:val="16"/>
      </w:rPr>
      <w:t xml:space="preserve">Novel Systems Engineering, LLC  •  Wilsonville, OR 97070  •  503-941-0418  •  novelsystems.me</w:t>
    </w:r>
    <w:r>
      <w:rPr>
        <w:rFonts w:ascii="Arial" w:cs="Arial" w:eastAsia="Arial" w:hAnsi="Arial"/>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26"/>
      </w:tabs>
    </w:pPr>
    <w:r>
      <w:rPr>
        <w:rFonts w:ascii="Arial" w:cs="Arial" w:eastAsia="Arial" w:hAnsi="Arial"/>
        <w:b/>
        <w:bCs/>
        <w:color w:val="1F3864"/>
        <w:sz w:val="16"/>
        <w:szCs w:val="16"/>
      </w:rPr>
      <w:t xml:space="preserve">SBIR Phase I — Budget Volume  |  Novel Systems Engineering, LLC</w:t>
    </w:r>
    <w:r>
      <w:rPr>
        <w:rFonts w:ascii="Arial" w:cs="Arial" w:eastAsia="Arial" w:hAnsi="Arial"/>
      </w:rPr>
      <w:t xml:space="preserve">	</w:t>
    </w:r>
    <w:r>
      <w:rPr>
        <w:rFonts w:ascii="Arial" w:cs="Arial" w:eastAsia="Arial" w:hAnsi="Arial"/>
        <w:b/>
        <w:bCs/>
        <w:color w:val="888888"/>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2026-02-21T12:40:03.175Z</dcterms:created>
  <dcterms:modified xsi:type="dcterms:W3CDTF">2026-02-21T12:40:03.176Z</dcterms:modified>
</cp:coreProperties>
</file>

<file path=docProps/custom.xml><?xml version="1.0" encoding="utf-8"?>
<Properties xmlns="http://schemas.openxmlformats.org/officeDocument/2006/custom-properties" xmlns:vt="http://schemas.openxmlformats.org/officeDocument/2006/docPropsVTypes"/>
</file>