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Arial" w:cs="Arial" w:eastAsia="Arial" w:hAnsi="Arial"/>
          <w:b/>
          <w:bCs/>
          <w:color w:val="CC0000"/>
          <w:sz w:val="20"/>
          <w:szCs w:val="20"/>
        </w:rPr>
        <w:t xml:space="preserve">PROVISIONAL PATENT APPLICATION</w:t>
      </w:r>
    </w:p>
    <w:p>
      <w:pPr>
        <w:spacing w:after="280" w:before="0"/>
        <w:jc w:val="center"/>
      </w:pPr>
      <w:r>
        <w:rPr>
          <w:rFonts w:ascii="Arial" w:cs="Arial" w:eastAsia="Arial" w:hAnsi="Arial"/>
          <w:color w:val="888888"/>
          <w:sz w:val="18"/>
          <w:szCs w:val="18"/>
        </w:rPr>
        <w:t xml:space="preserve">CONFIDENTIAL — ATTORNEY/INVENTOR WORK PRODUCT</w:t>
      </w:r>
    </w:p>
    <w:p>
      <w:pPr>
        <w:spacing w:after="120" w:before="0"/>
        <w:jc w:val="center"/>
      </w:pPr>
      <w:r>
        <w:rPr>
          <w:rFonts w:ascii="Arial" w:cs="Arial" w:eastAsia="Arial" w:hAnsi="Arial"/>
          <w:b/>
          <w:bCs/>
          <w:color w:val="1F3C6E"/>
          <w:sz w:val="48"/>
          <w:szCs w:val="48"/>
        </w:rPr>
        <w:t xml:space="preserve">DDR Sensor Portfolio</w:t>
      </w:r>
    </w:p>
    <w:p>
      <w:pPr>
        <w:spacing w:after="200" w:before="0"/>
        <w:jc w:val="center"/>
      </w:pPr>
      <w:r>
        <w:rPr>
          <w:rFonts w:ascii="Arial" w:cs="Arial" w:eastAsia="Arial" w:hAnsi="Arial"/>
          <w:b/>
          <w:bCs/>
          <w:color w:val="2E75B6"/>
          <w:sz w:val="28"/>
          <w:szCs w:val="28"/>
        </w:rPr>
        <w:t xml:space="preserve">Comprehensive Supplemental Provisional Patent Application</w:t>
      </w:r>
    </w:p>
    <w:p>
      <w:pPr>
        <w:spacing w:after="60" w:before="0"/>
        <w:jc w:val="center"/>
      </w:pPr>
      <w:r>
        <w:rPr>
          <w:rFonts w:ascii="Arial" w:cs="Arial" w:eastAsia="Arial" w:hAnsi="Arial"/>
          <w:color w:val="555555"/>
          <w:sz w:val="20"/>
          <w:szCs w:val="20"/>
        </w:rPr>
        <w:t xml:space="preserve">Covering: DDR Core Measurement System  ·  Robust Adaptive Environmental Calibration</w:t>
      </w:r>
    </w:p>
    <w:p>
      <w:pPr>
        <w:spacing w:after="280" w:before="0"/>
        <w:jc w:val="center"/>
      </w:pPr>
      <w:r>
        <w:rPr>
          <w:rFonts w:ascii="Arial" w:cs="Arial" w:eastAsia="Arial" w:hAnsi="Arial"/>
          <w:color w:val="555555"/>
          <w:sz w:val="20"/>
          <w:szCs w:val="20"/>
        </w:rPr>
        <w:t xml:space="preserve">Shared-Aperture Acquisition with Adaptive Field of View  ·  Perimeter Sensor Network with Drift-Predictive Tracking</w:t>
      </w:r>
    </w:p>
    <w:p>
      <w:pPr>
        <w:spacing w:after="60" w:before="0"/>
        <w:jc w:val="center"/>
      </w:pPr>
      <w:r>
        <w:rPr>
          <w:rFonts w:ascii="Arial" w:cs="Arial" w:eastAsia="Arial" w:hAnsi="Arial"/>
          <w:sz w:val="20"/>
          <w:szCs w:val="20"/>
        </w:rPr>
        <w:t xml:space="preserve">Inventor: Samuel C. Ryan  |  Assignee: Novel Systems Engineering, LLC  |  Wilsonville, Oregon</w:t>
      </w:r>
    </w:p>
    <w:p>
      <w:pPr>
        <w:spacing w:after="60" w:before="0"/>
        <w:jc w:val="center"/>
      </w:pPr>
      <w:r>
        <w:rPr>
          <w:rFonts w:ascii="Arial" w:cs="Arial" w:eastAsia="Arial" w:hAnsi="Arial"/>
          <w:sz w:val="20"/>
          <w:szCs w:val="20"/>
        </w:rPr>
        <w:t xml:space="preserve">Related Provisional: U.S. Provisional Application No. 63/984,145, filed February 16, 2026</w:t>
      </w:r>
    </w:p>
    <w:p>
      <w:pPr>
        <w:spacing w:after="800" w:before="0"/>
        <w:jc w:val="center"/>
      </w:pPr>
      <w:r>
        <w:rPr>
          <w:rFonts w:ascii="Arial" w:cs="Arial" w:eastAsia="Arial" w:hAnsi="Arial"/>
          <w:color w:val="CC0000"/>
          <w:sz w:val="19"/>
          <w:szCs w:val="19"/>
        </w:rPr>
        <w:t xml:space="preserve">Filing Date: [TO BE FILED BEFORE FEBRUARY 16, 2027]</w:t>
      </w:r>
    </w:p>
    <w:p>
      <w:r>
        <w:br w:type="page"/>
      </w:r>
    </w:p>
    <w:p>
      <w:pPr>
        <w:pStyle w:val="Heading1"/>
        <w:pBdr>
          <w:bottom w:val="single" w:color="2E75B6" w:sz="6" w:space="1"/>
        </w:pBdr>
        <w:spacing w:after="160" w:before="360"/>
      </w:pPr>
      <w:r>
        <w:rPr>
          <w:rFonts w:ascii="Arial" w:cs="Arial" w:eastAsia="Arial" w:hAnsi="Arial"/>
          <w:b/>
          <w:bCs/>
          <w:sz w:val="28"/>
          <w:szCs w:val="28"/>
        </w:rPr>
        <w:t xml:space="preserve">Cross-Reference to Related Application</w:t>
      </w:r>
    </w:p>
    <w:p>
      <w:pPr>
        <w:spacing w:after="100" w:before="80"/>
        <w:jc w:val="both"/>
      </w:pPr>
      <w:r>
        <w:rPr>
          <w:rFonts w:ascii="Arial" w:cs="Arial" w:eastAsia="Arial" w:hAnsi="Arial"/>
          <w:sz w:val="20"/>
          <w:szCs w:val="20"/>
        </w:rPr>
        <w:t xml:space="preserve">This application is a supplemental provisional patent application supplementing U.S. Provisional Patent Application No. 63/984,145, filed February 16, 2026 ("the First Provisional"), the entire contents of which are incorporated herein by reference. The First Provisional discloses a dual orthogonal one-dimensional polarized photonic phased array architecture for material-discriminating FMCW LiDAR, including the differential depolarization response (DDR) measurement principle, dual 1D silicon photonic array manufacturing architecture, single-laser coherent source with SSB modulator, four-channel polarimetric receiver, FMCW velocity measurement, integrated thermal management, and maritime search and rescue application.</w:t>
      </w:r>
    </w:p>
    <w:p>
      <w:pPr>
        <w:spacing w:after="100" w:before="80"/>
        <w:jc w:val="both"/>
      </w:pPr>
      <w:r>
        <w:rPr>
          <w:rFonts w:ascii="Arial" w:cs="Arial" w:eastAsia="Arial" w:hAnsi="Arial"/>
          <w:sz w:val="20"/>
          <w:szCs w:val="20"/>
        </w:rPr>
        <w:t xml:space="preserve">The present application supplements the First Provisional by providing additional embodiments, refinements, and extensions of the DDR sensor architecture that are disclosed here to establish an earliest possible filing date for all elements of the patent portfolio. Subject matter disclosed in the First Provisional is not repeated here except where needed for context. The two provisional applications together constitute the written description support for the utility patent applications that will be filed before the expiration of the First Provisional on February 16, 2027.</w:t>
      </w:r>
    </w:p>
    <w:p>
      <w:pPr>
        <w:pStyle w:val="Heading1"/>
        <w:pBdr>
          <w:bottom w:val="single" w:color="2E75B6" w:sz="6" w:space="1"/>
        </w:pBdr>
        <w:spacing w:after="160" w:before="360"/>
      </w:pPr>
      <w:r>
        <w:rPr>
          <w:rFonts w:ascii="Arial" w:cs="Arial" w:eastAsia="Arial" w:hAnsi="Arial"/>
          <w:b/>
          <w:bCs/>
          <w:sz w:val="28"/>
          <w:szCs w:val="28"/>
        </w:rPr>
        <w:t xml:space="preserve">Field of the Invention</w:t>
      </w:r>
    </w:p>
    <w:p>
      <w:pPr>
        <w:spacing w:after="100" w:before="80"/>
        <w:jc w:val="both"/>
      </w:pPr>
      <w:r>
        <w:rPr>
          <w:rFonts w:ascii="Arial" w:cs="Arial" w:eastAsia="Arial" w:hAnsi="Arial"/>
          <w:sz w:val="20"/>
          <w:szCs w:val="20"/>
        </w:rPr>
        <w:t xml:space="preserve">The present inventions relate to optical sensing systems and methods for material classification by polarimetric measurement; to calibration methods for such sensors using environmental symmetric scatterers; to autonomous target acquisition systems employing shared-aperture beamsplitter architectures with adaptive field of view; and to distributed sensor networks for material-classifying detection and drift-predictive tracking of floating targets on water surfaces.</w:t>
      </w:r>
    </w:p>
    <w:p>
      <w:pPr>
        <w:pStyle w:val="Heading1"/>
        <w:pBdr>
          <w:bottom w:val="single" w:color="2E75B6" w:sz="6" w:space="1"/>
        </w:pBdr>
        <w:spacing w:after="160" w:before="360"/>
      </w:pPr>
      <w:r>
        <w:rPr>
          <w:rFonts w:ascii="Arial" w:cs="Arial" w:eastAsia="Arial" w:hAnsi="Arial"/>
          <w:b/>
          <w:bCs/>
          <w:sz w:val="28"/>
          <w:szCs w:val="28"/>
        </w:rPr>
        <w:t xml:space="preserve">Background</w:t>
      </w:r>
    </w:p>
    <w:p>
      <w:pPr>
        <w:spacing w:after="100" w:before="80"/>
        <w:jc w:val="both"/>
      </w:pPr>
      <w:r>
        <w:rPr>
          <w:rFonts w:ascii="Arial" w:cs="Arial" w:eastAsia="Arial" w:hAnsi="Arial"/>
          <w:sz w:val="20"/>
          <w:szCs w:val="20"/>
        </w:rPr>
        <w:t xml:space="preserve">The First Provisional describes the core DDR measurement principle, the dual 1D phased array manufacturing architecture, and the FMCW coherent detection approach in detail. That disclosure is incorporated by reference. The present application addresses four areas of additional technical development beyond the First Provisional.</w:t>
      </w:r>
    </w:p>
    <w:p>
      <w:pPr>
        <w:spacing w:after="100" w:before="80"/>
        <w:jc w:val="both"/>
      </w:pPr>
      <w:r>
        <w:rPr>
          <w:rFonts w:ascii="Arial" w:cs="Arial" w:eastAsia="Arial" w:hAnsi="Arial"/>
          <w:sz w:val="20"/>
          <w:szCs w:val="20"/>
        </w:rPr>
        <w:t xml:space="preserve">First, the First Provisional describes simultaneous dual-wavelength transmission as the primary embodiment. Sequential polarization switching—transmitting one polarization state at a time and reusing detection channels across time intervals—is described in the First Provisional only at the level of "time-division multiplexing" as an alternative multiplexing technique. The present application provides a complete description of the sequential embodiment with the specific two-interval architecture, switching element, shared detector reuse, and tradeoffs.</w:t>
      </w:r>
    </w:p>
    <w:p>
      <w:pPr>
        <w:spacing w:after="100" w:before="80"/>
        <w:jc w:val="both"/>
      </w:pPr>
      <w:r>
        <w:rPr>
          <w:rFonts w:ascii="Arial" w:cs="Arial" w:eastAsia="Arial" w:hAnsi="Arial"/>
          <w:sz w:val="20"/>
          <w:szCs w:val="20"/>
        </w:rPr>
        <w:t xml:space="preserve">Second, the First Provisional establishes water as a calibration reference and describes the self-referencing property of DDR measurement. The present application discloses a complete system and method for robust adaptive calibration using environmental symmetric scatterers, including multi-mode calibration triggers, spatial consistency evaluation, quorum gating, rate clamping, fault detection, and startup initialization.</w:t>
      </w:r>
    </w:p>
    <w:p>
      <w:pPr>
        <w:spacing w:after="100" w:before="80"/>
        <w:jc w:val="both"/>
      </w:pPr>
      <w:r>
        <w:rPr>
          <w:rFonts w:ascii="Arial" w:cs="Arial" w:eastAsia="Arial" w:hAnsi="Arial"/>
          <w:sz w:val="20"/>
          <w:szCs w:val="20"/>
        </w:rPr>
        <w:t xml:space="preserve">Third, the First Provisional does not describe closed-loop target acquisition from an external detection sensor such as radar. The present application discloses a shared-aperture beamsplitter architecture that enables closed-loop centroid-based beam pointing using the classification illumination source itself, with adaptive field-of-view transition from wide acquisition mode to narrow classification mode.</w:t>
      </w:r>
    </w:p>
    <w:p>
      <w:pPr>
        <w:spacing w:after="100" w:before="80"/>
        <w:jc w:val="both"/>
      </w:pPr>
      <w:r>
        <w:rPr>
          <w:rFonts w:ascii="Arial" w:cs="Arial" w:eastAsia="Arial" w:hAnsi="Arial"/>
          <w:sz w:val="20"/>
          <w:szCs w:val="20"/>
        </w:rPr>
        <w:t xml:space="preserve">Fourth, the First Provisional describes single-sensor operation. The present application discloses a distributed multi-node sensor network architecture in which geometrically arranged DDR sensor nodes share Doppler velocity measurements with a centralized processor that resolves two-dimensional target velocity vectors and generates drift-predictive focused-scan handoff signals.</w:t>
      </w:r>
    </w:p>
    <w:p>
      <w:r>
        <w:br w:type="page"/>
      </w:r>
    </w:p>
    <w:p>
      <w:pPr>
        <w:pStyle w:val="Heading1"/>
        <w:pBdr>
          <w:bottom w:val="single" w:color="2E75B6" w:sz="6" w:space="1"/>
        </w:pBdr>
        <w:spacing w:after="160" w:before="360"/>
      </w:pPr>
      <w:r>
        <w:rPr>
          <w:rFonts w:ascii="Arial" w:cs="Arial" w:eastAsia="Arial" w:hAnsi="Arial"/>
          <w:b/>
          <w:bCs/>
          <w:sz w:val="28"/>
          <w:szCs w:val="28"/>
        </w:rPr>
        <w:t xml:space="preserve">Part I — DDR Core Measurement System: Additional Embodiments</w:t>
      </w:r>
    </w:p>
    <w:p>
      <w:pPr>
        <w:spacing w:after="100" w:before="80"/>
        <w:jc w:val="both"/>
      </w:pPr>
      <w:r>
        <w:rPr>
          <w:rFonts w:ascii="Arial" w:cs="Arial" w:eastAsia="Arial" w:hAnsi="Arial"/>
          <w:sz w:val="20"/>
          <w:szCs w:val="20"/>
        </w:rPr>
        <w:t xml:space="preserve">The following sections supplement the core DDR measurement system disclosure of the First Provisional with additional embodiments and claim-supporting detail.</w:t>
      </w:r>
    </w:p>
    <w:p>
      <w:pPr>
        <w:pStyle w:val="Heading2"/>
        <w:spacing w:after="120" w:before="280"/>
      </w:pPr>
      <w:r>
        <w:rPr>
          <w:rFonts w:ascii="Arial" w:cs="Arial" w:eastAsia="Arial" w:hAnsi="Arial"/>
          <w:b/>
          <w:bCs/>
          <w:color w:val="1F3C6E"/>
          <w:sz w:val="24"/>
          <w:szCs w:val="24"/>
        </w:rPr>
        <w:t xml:space="preserve">1. Sequential Polarization Switching Embodiment</w:t>
      </w:r>
    </w:p>
    <w:p>
      <w:pPr>
        <w:spacing w:after="100" w:before="80"/>
        <w:jc w:val="both"/>
      </w:pPr>
      <w:r>
        <w:rPr>
          <w:rFonts w:ascii="Arial" w:cs="Arial" w:eastAsia="Arial" w:hAnsi="Arial"/>
          <w:sz w:val="20"/>
          <w:szCs w:val="20"/>
        </w:rPr>
        <w:t xml:space="preserve">In an alternative embodiment, the first and second optical signals are directed toward the target region sequentially rather than simultaneously. A single optical source generates optical energy at a single wavelength. A polarization switching element alternates the polarization state of the transmitted optical signal between a first polarization state and a second polarization state orthogonal to the first. Suitable switching elements include a liquid crystal variable retarder, an electro-optic polarization modulator, a mechanically actuated half-wave plate, or a fiber polarization switch.</w:t>
      </w:r>
    </w:p>
    <w:p>
      <w:pPr>
        <w:spacing w:after="100" w:before="80"/>
        <w:jc w:val="both"/>
      </w:pPr>
      <w:r>
        <w:rPr>
          <w:rFonts w:ascii="Arial" w:cs="Arial" w:eastAsia="Arial" w:hAnsi="Arial"/>
          <w:sz w:val="20"/>
          <w:szCs w:val="20"/>
        </w:rPr>
        <w:t xml:space="preserve">During a first time interval, the system transmits the first optical signal at the first polarization state. The receiver measures co-polarized and cross-polarized return components using a polarization-separating element (e.g., a polarizing beam splitter) to obtain a first co-polarized measurement P11 and a first cross-polarized measurement P12. During a second time interval immediately following the first, the system switches the polarization state and transmits the second optical signal at the second polarization state. The receiver reuses the same two detectors—no wavelength-separating elements are required—to obtain a second co-polarized measurement P22 and a second cross-polarized measurement P21. The first depolarization ratio DR1 = P12/P11 and the second depolarization ratio DR2 = P21/P22 are computed from the respective time intervals. The DDR value is computed as |DR1 − DR2|.</w:t>
      </w:r>
    </w:p>
    <w:p>
      <w:pPr>
        <w:spacing w:after="100" w:before="80"/>
        <w:jc w:val="both"/>
      </w:pPr>
      <w:r>
        <w:rPr>
          <w:rFonts w:ascii="Arial" w:cs="Arial" w:eastAsia="Arial" w:hAnsi="Arial"/>
          <w:sz w:val="20"/>
          <w:szCs w:val="20"/>
        </w:rPr>
        <w:t xml:space="preserve">The sequential embodiment requires only two detection channels rather than four simultaneous channels. The two channels are reused across time intervals. This reduces hardware complexity and cost. The sequential embodiment trades temporal resolution for hardware simplicity: the DDR measurement requires two sequential illumination events rather than one simultaneous event. For stationary or slowly moving targets—including floating persons in water, life-saving equipment, anchored vessels, and fixed perimeter targets—this frame rate reduction is operationally acceptable.</w:t>
      </w:r>
    </w:p>
    <w:p>
      <w:pPr>
        <w:spacing w:after="100" w:before="80"/>
        <w:jc w:val="both"/>
      </w:pPr>
      <w:r>
        <w:rPr>
          <w:rFonts w:ascii="Arial" w:cs="Arial" w:eastAsia="Arial" w:hAnsi="Arial"/>
          <w:sz w:val="20"/>
          <w:szCs w:val="20"/>
        </w:rPr>
        <w:t xml:space="preserve">The sequential embodiment retains all DDR measurement properties: common-mode ambient rejection, symmetric scatterer self-referencing, and orientation independence, provided target scattering properties remain substantially stable between the first and second time intervals. For manufactured objects and biological tissue with stable material properties, this condition is satisfied for sequential intervals of milliseconds or less. The sequential embodiment is compatible with FMCW ranging when both time intervals employ frequency-chirped waveforms: range is determined from beat frequency in each interval independently.</w:t>
      </w:r>
    </w:p>
    <w:p>
      <w:pPr>
        <w:pStyle w:val="Heading2"/>
        <w:spacing w:after="120" w:before="280"/>
      </w:pPr>
      <w:r>
        <w:rPr>
          <w:rFonts w:ascii="Arial" w:cs="Arial" w:eastAsia="Arial" w:hAnsi="Arial"/>
          <w:b/>
          <w:bCs/>
          <w:color w:val="1F3C6E"/>
          <w:sz w:val="24"/>
          <w:szCs w:val="24"/>
        </w:rPr>
        <w:t xml:space="preserve">2. Pulsed Time-of-Flight Ranging</w:t>
      </w:r>
    </w:p>
    <w:p>
      <w:pPr>
        <w:spacing w:after="100" w:before="80"/>
        <w:jc w:val="both"/>
      </w:pPr>
      <w:r>
        <w:rPr>
          <w:rFonts w:ascii="Arial" w:cs="Arial" w:eastAsia="Arial" w:hAnsi="Arial"/>
          <w:sz w:val="20"/>
          <w:szCs w:val="20"/>
        </w:rPr>
        <w:t xml:space="preserve">In one embodiment, range to the target is determined by measuring the time-of-flight (ToF) delay of pulsed optical energy returned from the target, rather than by FMCW frequency analysis. A pulsed optical source generates optical pulses of approximately 10 nanosecond duration. Timing electronics measure the interval between pulse emission and return detection at each of the four detection channels. The time-of-flight delay Δt yields target range R = c·Δt/2, where c is the speed of light in air.</w:t>
      </w:r>
    </w:p>
    <w:p>
      <w:pPr>
        <w:spacing w:after="100" w:before="80"/>
        <w:jc w:val="both"/>
      </w:pPr>
      <w:r>
        <w:rPr>
          <w:rFonts w:ascii="Arial" w:cs="Arial" w:eastAsia="Arial" w:hAnsi="Arial"/>
          <w:sz w:val="20"/>
          <w:szCs w:val="20"/>
        </w:rPr>
        <w:t xml:space="preserve">Pulsed ToF ranging enables high pulse repetition frequency operation. At 10 kHz pulse repetition frequency, 100-pulse averaging at each scan position completes in 10 milliseconds per position, providing classification latency suitable for real-time autonomous operation. An erbium-doped fiber amplifier (EDFA) provides peak pulsed transmit power of approximately 5 W through a 100 mm receive aperture. InGaAs avalanche photodiode (APD) detectors time-gated to the expected return window provide improved sensitivity relative to direct-detection receivers. With these parameters, single-pulse signal-to-noise ratio exceeds 100 at 500-meter range for a carbon-fiber target with reflectance approximately 0.25, and remains viable to 3 to 5 kilometers with 100-pulse averaging.</w:t>
      </w:r>
    </w:p>
    <w:p>
      <w:pPr>
        <w:spacing w:after="100" w:before="80"/>
        <w:jc w:val="both"/>
      </w:pPr>
      <w:r>
        <w:rPr>
          <w:rFonts w:ascii="Arial" w:cs="Arial" w:eastAsia="Arial" w:hAnsi="Arial"/>
          <w:sz w:val="20"/>
          <w:szCs w:val="20"/>
        </w:rPr>
        <w:t xml:space="preserve">Pulsed ToF ranging is well-suited to fixed-infrastructure perimeter surveillance and airport drone-bird discrimination applications where high pulse repetition frequencies enable rapid sequential classification of multiple tracked contacts. Unlike FMCW, pulsed ToF does not provide direct velocity measurement from a single pulse; velocity in pulsed ToF mode is determined from range-differencing across sequential pulses or from external sensor cueing. The DDR measurement channels operate identically in pulsed and CW modes; ranging modality is independent of the polarimetric measurement architecture.</w:t>
      </w:r>
    </w:p>
    <w:p>
      <w:pPr>
        <w:spacing w:after="100" w:before="80"/>
        <w:jc w:val="both"/>
      </w:pPr>
      <w:r>
        <w:rPr>
          <w:rFonts w:ascii="Arial" w:cs="Arial" w:eastAsia="Arial" w:hAnsi="Arial"/>
          <w:sz w:val="20"/>
          <w:szCs w:val="20"/>
        </w:rPr>
        <w:t xml:space="preserve">At nanosecond pulse durations, cumulative optical exposure per measurement event remains far below established ocular hazard thresholds under all recognized photobiological safety standards. The 1550 nm wavelength falls outside the transmission window of standard optical systems and aircraft windshields, reducing risk of interference with co-located instrumentation and aircraft avionics.</w:t>
      </w:r>
    </w:p>
    <w:p>
      <w:pPr>
        <w:pStyle w:val="Heading2"/>
        <w:spacing w:after="120" w:before="280"/>
      </w:pPr>
      <w:r>
        <w:rPr>
          <w:rFonts w:ascii="Arial" w:cs="Arial" w:eastAsia="Arial" w:hAnsi="Arial"/>
          <w:b/>
          <w:bCs/>
          <w:color w:val="1F3C6E"/>
          <w:sz w:val="24"/>
          <w:szCs w:val="24"/>
        </w:rPr>
        <w:t xml:space="preserve">3. External Sensor Interface and Radar Cueing Architecture</w:t>
      </w:r>
    </w:p>
    <w:p>
      <w:pPr>
        <w:spacing w:after="100" w:before="80"/>
        <w:jc w:val="both"/>
      </w:pPr>
      <w:r>
        <w:rPr>
          <w:rFonts w:ascii="Arial" w:cs="Arial" w:eastAsia="Arial" w:hAnsi="Arial"/>
          <w:sz w:val="20"/>
          <w:szCs w:val="20"/>
        </w:rPr>
        <w:t xml:space="preserve">In one embodiment, the DDR sensor system comprises an interface configured to receive target position data from an external detection sensor and to direct the phased arrays or pointing platform toward target regions identified by the external sensor. The external sensor provides contact information comprising at least directional information—azimuth, bearing, or pointing angle—and optionally range, velocity, and a position uncertainty estimate.</w:t>
      </w:r>
    </w:p>
    <w:p>
      <w:pPr>
        <w:spacing w:after="100" w:before="80"/>
        <w:jc w:val="both"/>
      </w:pPr>
      <w:r>
        <w:rPr>
          <w:rFonts w:ascii="Arial" w:cs="Arial" w:eastAsia="Arial" w:hAnsi="Arial"/>
          <w:sz w:val="20"/>
          <w:szCs w:val="20"/>
        </w:rPr>
        <w:t xml:space="preserve">In the primary embodiment, the external detection sensor is a radar system. The radar detects and tracks airborne or surface contacts and transmits track data to the DDR sensor via a standard interface. Compatible interface standards include NMEA 0183 (sentences including $RATTM, $RARSD, and $RAHDT for radar target tracking), NMEA 2000 (parameter group numbers for target tracking), and proprietary track bus protocols. The DDR sensor firmware parses the received track data, extracts bearing, range, and position uncertainty, and commands the phased array steering or pointing platform to the reported bearing. On completion of DDR measurement, the sensor returns a material confidence score and material class identifier to the host radar system or a downstream command-and-control interface.</w:t>
      </w:r>
    </w:p>
    <w:p>
      <w:pPr>
        <w:spacing w:after="100" w:before="80"/>
        <w:jc w:val="both"/>
      </w:pPr>
      <w:r>
        <w:rPr>
          <w:rFonts w:ascii="Arial" w:cs="Arial" w:eastAsia="Arial" w:hAnsi="Arial"/>
          <w:sz w:val="20"/>
          <w:szCs w:val="20"/>
        </w:rPr>
        <w:t xml:space="preserve">The fused output—bearing, range, and velocity from radar; material class and confidence score from DDR—reaches the operator as a prioritized contact list rather than an undifferentiated detection queue. The DDR classification adds material composition information to existing radar track data without modifying radar hardware or operator workflow.</w:t>
      </w:r>
    </w:p>
    <w:p>
      <w:pPr>
        <w:spacing w:after="100" w:before="80"/>
        <w:jc w:val="both"/>
      </w:pPr>
      <w:r>
        <w:rPr>
          <w:rFonts w:ascii="Arial" w:cs="Arial" w:eastAsia="Arial" w:hAnsi="Arial"/>
          <w:sz w:val="20"/>
          <w:szCs w:val="20"/>
        </w:rPr>
        <w:t xml:space="preserve">In alternative embodiments, the external detection sensor may be: an acoustic bearing-and-range system providing contact bearing without range; an Automatic Identification System (AIS) track feed providing vessel position and identity; an electro-optical or thermal imaging detection system providing target bearing; or a direct operator-issued pointing command from a human operator. The interface architecture is sensor-agnostic: the DDR system receives contact position information in whatever format the external sensor provides, steers to the indicated bearing, and returns a classification result. No custom interface development on the external sensor is required when standard protocols are used.</w:t>
      </w:r>
    </w:p>
    <w:p>
      <w:pPr>
        <w:spacing w:after="100" w:before="80"/>
        <w:jc w:val="both"/>
      </w:pPr>
      <w:r>
        <w:rPr>
          <w:rFonts w:ascii="Arial" w:cs="Arial" w:eastAsia="Arial" w:hAnsi="Arial"/>
          <w:sz w:val="20"/>
          <w:szCs w:val="20"/>
        </w:rPr>
        <w:t xml:space="preserve">In radar-cued operation, the radar position uncertainty at handoff—typically a position uncertainty radius of 5 to 15 meters at 100 to 500 meters range—creates a mismatch with the DDR beam footprint required for reliable classification. The present application addresses this mismatch through a variable field-of-view architecture described in Part III. The interface described in this section is the contact receipt mechanism; Part III discloses the acquisition pipeline that resolves the uncertainty mismatch.</w:t>
      </w:r>
    </w:p>
    <w:p>
      <w:pPr>
        <w:pStyle w:val="Heading2"/>
        <w:spacing w:after="120" w:before="280"/>
      </w:pPr>
      <w:r>
        <w:rPr>
          <w:rFonts w:ascii="Arial" w:cs="Arial" w:eastAsia="Arial" w:hAnsi="Arial"/>
          <w:b/>
          <w:bCs/>
          <w:color w:val="1F3C6E"/>
          <w:sz w:val="24"/>
          <w:szCs w:val="24"/>
        </w:rPr>
        <w:t xml:space="preserve">4. DDR Variance, Confidence Scoring, and Anti-Spoofing</w:t>
      </w:r>
    </w:p>
    <w:p>
      <w:pPr>
        <w:spacing w:after="100" w:before="80"/>
        <w:jc w:val="both"/>
      </w:pPr>
      <w:r>
        <w:rPr>
          <w:rFonts w:ascii="Arial" w:cs="Arial" w:eastAsia="Arial" w:hAnsi="Arial"/>
          <w:sz w:val="20"/>
          <w:szCs w:val="20"/>
        </w:rPr>
        <w:t xml:space="preserve">In one embodiment, the processor computes a variance of the DDR value across a plurality of sequential measurements of the same target and generates a classification confidence score based at least in part on the computed variance. The confidence score is expressed as a value between 0.0 and 1.0 and accompanies the material class identifier in the classification output.</w:t>
      </w:r>
    </w:p>
    <w:p>
      <w:pPr>
        <w:spacing w:after="100" w:before="80"/>
        <w:jc w:val="both"/>
      </w:pPr>
      <w:r>
        <w:rPr>
          <w:rFonts w:ascii="Arial" w:cs="Arial" w:eastAsia="Arial" w:hAnsi="Arial"/>
          <w:sz w:val="20"/>
          <w:szCs w:val="20"/>
        </w:rPr>
        <w:t xml:space="preserve">Genuine material signatures produce stable DDR values across sequential measurements. A biological target such as a bird in flight maintains a consistent DDR signature driven by stable keratin microstructure and metabolically regulated moisture content. A manufactured target such as a carbon-fiber drone hull maintains a consistent DDR driven by stable structural anisotropy of the composite weave. For both types of genuine targets, the variance of DDR across 10 to 100 sequential measurements is low, and the confidence score is high.</w:t>
      </w:r>
    </w:p>
    <w:p>
      <w:pPr>
        <w:spacing w:after="100" w:before="80"/>
        <w:jc w:val="both"/>
      </w:pPr>
      <w:r>
        <w:rPr>
          <w:rFonts w:ascii="Arial" w:cs="Arial" w:eastAsia="Arial" w:hAnsi="Arial"/>
          <w:sz w:val="20"/>
          <w:szCs w:val="20"/>
        </w:rPr>
        <w:t xml:space="preserve">In contrast, transient surface conditions—including coatings, contamination, or spoofing materials applied to a target surface—produce elevated DDR variance as the surface condition changes state. High-speed airflow during flight of unmanned aerial vehicles causes rapid evaporative drying of applied surface coatings. As a coating dries, its DDR transitions from the biological-range value of the wet coating toward the underlying composite substrate signature. Classification algorithms tracking DDR variance over consecutive measurement epochs distinguish coating decay from stable biological signatures. A target whose DDR is within the biological range but whose DDR variance exceeds a threshold associated with stable biological signatures receives a reduced confidence score or a flagged classification requiring operator confirmation.</w:t>
      </w:r>
    </w:p>
    <w:p>
      <w:pPr>
        <w:spacing w:after="100" w:before="80"/>
        <w:jc w:val="both"/>
      </w:pPr>
      <w:r>
        <w:rPr>
          <w:rFonts w:ascii="Arial" w:cs="Arial" w:eastAsia="Arial" w:hAnsi="Arial"/>
          <w:sz w:val="20"/>
          <w:szCs w:val="20"/>
        </w:rPr>
        <w:t xml:space="preserve">In one embodiment, the confidence score is computed as a function of the coefficient of variation (standard deviation divided by mean) of the DDR values across N sequential measurements, with higher variation yielding lower confidence. In another embodiment, the confidence score incorporates both variance and the magnitude of the DDR value relative to the classification threshold, providing higher confidence when the DDR is far above threshold and measurements are consistent.</w:t>
      </w:r>
    </w:p>
    <w:p>
      <w:pPr>
        <w:pStyle w:val="Heading2"/>
        <w:spacing w:after="120" w:before="280"/>
      </w:pPr>
      <w:r>
        <w:rPr>
          <w:rFonts w:ascii="Arial" w:cs="Arial" w:eastAsia="Arial" w:hAnsi="Arial"/>
          <w:b/>
          <w:bCs/>
          <w:color w:val="1F3C6E"/>
          <w:sz w:val="24"/>
          <w:szCs w:val="24"/>
        </w:rPr>
        <w:t xml:space="preserve">5. Operator Display of Dual Depolarization Ratios</w:t>
      </w:r>
    </w:p>
    <w:p>
      <w:pPr>
        <w:spacing w:after="100" w:before="80"/>
        <w:jc w:val="both"/>
      </w:pPr>
      <w:r>
        <w:rPr>
          <w:rFonts w:ascii="Arial" w:cs="Arial" w:eastAsia="Arial" w:hAnsi="Arial"/>
          <w:sz w:val="20"/>
          <w:szCs w:val="20"/>
        </w:rPr>
        <w:t xml:space="preserve">In one embodiment, the system presents the first depolarization ratio DR1 and the second depolarization ratio DR2 on a display in a format enabling a human operator to assess the difference between the two ratios without requiring the operator to compute the DDR value. Display formats include numerical readouts of both ratios, a bar graph with both ratios shown side-by-side for visual comparison, a scatter plot of DR1 versus DR2 for a sequence of measurements (with the identity line DR1 = DR2 indicating symmetric scatterers and points above or below indicating surface scatterers), or color-coded indicators. The operator may use the displayed ratios to make material classification decisions independently of the automated DDR computation.</w:t>
      </w:r>
    </w:p>
    <w:p>
      <w:pPr>
        <w:spacing w:after="100" w:before="80"/>
        <w:jc w:val="both"/>
      </w:pPr>
      <w:r>
        <w:rPr>
          <w:rFonts w:ascii="Arial" w:cs="Arial" w:eastAsia="Arial" w:hAnsi="Arial"/>
          <w:sz w:val="20"/>
          <w:szCs w:val="20"/>
        </w:rPr>
        <w:t xml:space="preserve">In another embodiment, the display shows the computed DDR value in addition to the individual ratios, providing both raw data and the derived classification metric. The display may include a confidence indicator, a classification label (e.g., "TARGET" or "BACKGROUND"), and a measurement quality indicator derived from signal-to-noise ratio.</w:t>
      </w:r>
    </w:p>
    <w:p>
      <w:pPr>
        <w:pStyle w:val="Heading2"/>
        <w:spacing w:after="120" w:before="280"/>
      </w:pPr>
      <w:r>
        <w:rPr>
          <w:rFonts w:ascii="Arial" w:cs="Arial" w:eastAsia="Arial" w:hAnsi="Arial"/>
          <w:b/>
          <w:bCs/>
          <w:color w:val="1F3C6E"/>
          <w:sz w:val="24"/>
          <w:szCs w:val="24"/>
        </w:rPr>
        <w:t xml:space="preserve">6. Instrument Fault Detection via Background Medium Measurement</w:t>
      </w:r>
    </w:p>
    <w:p>
      <w:pPr>
        <w:spacing w:after="100" w:before="80"/>
        <w:jc w:val="both"/>
      </w:pPr>
      <w:r>
        <w:rPr>
          <w:rFonts w:ascii="Arial" w:cs="Arial" w:eastAsia="Arial" w:hAnsi="Arial"/>
          <w:sz w:val="20"/>
          <w:szCs w:val="20"/>
        </w:rPr>
        <w:t xml:space="preserve">In one embodiment, the system performs an instrument fault detection method. The system directs the optical signals toward a region known or expected to contain a symmetric scattering medium—in maritime applications, open ocean water; in aerial applications, clear atmosphere. The system measures the DDR value of this background medium and compares the measured value to a predetermined validation threshold. When the measured background DDR exceeds the validation threshold, the system determines an instrument fault condition.</w:t>
      </w:r>
    </w:p>
    <w:p>
      <w:pPr>
        <w:spacing w:after="100" w:before="80"/>
        <w:jc w:val="both"/>
      </w:pPr>
      <w:r>
        <w:rPr>
          <w:rFonts w:ascii="Arial" w:cs="Arial" w:eastAsia="Arial" w:hAnsi="Arial"/>
          <w:sz w:val="20"/>
          <w:szCs w:val="20"/>
        </w:rPr>
        <w:t xml:space="preserve">The instrument fault condition indicates that the measured DDR of a symmetric scatterer is no longer near zero, which may arise from: polarization state degradation in the transmit path (e.g., birefringence accumulation in PM fiber); receiver imbalance between detection channels (e.g., detector responsivity drift, optical path loss change); thermal drift of WDM demultiplexer passband relative to laser wavelength; or mechanical misalignment of optical components. Any of these conditions would cause a symmetric scatterer to produce a nonzero DDR measurement, triggering the fault indication.</w:t>
      </w:r>
    </w:p>
    <w:p>
      <w:pPr>
        <w:spacing w:after="100" w:before="80"/>
        <w:jc w:val="both"/>
      </w:pPr>
      <w:r>
        <w:rPr>
          <w:rFonts w:ascii="Arial" w:cs="Arial" w:eastAsia="Arial" w:hAnsi="Arial"/>
          <w:sz w:val="20"/>
          <w:szCs w:val="20"/>
        </w:rPr>
        <w:t xml:space="preserve">The fault detection method does not require an external calibration reference or calibration target. The environmental background medium serves as a continuous built-in reference. In maritime deployment, ocean water is always present in the sensor field of regard, providing an instrument state check without interrupting operational scanning. The validation threshold is set above the expected water DDR baseline (approximately 0.01 to 0.03) with sufficient margin to avoid false fault indications from sea state variability, while remaining below the minimum expected target DDR (approximately 0.10). A typical validation threshold is DDR = 0.05.</w:t>
      </w:r>
    </w:p>
    <w:p>
      <w:r>
        <w:br w:type="page"/>
      </w:r>
    </w:p>
    <w:p>
      <w:pPr>
        <w:pStyle w:val="Heading1"/>
        <w:pBdr>
          <w:bottom w:val="single" w:color="2E75B6" w:sz="6" w:space="1"/>
        </w:pBdr>
        <w:spacing w:after="160" w:before="360"/>
      </w:pPr>
      <w:r>
        <w:rPr>
          <w:rFonts w:ascii="Arial" w:cs="Arial" w:eastAsia="Arial" w:hAnsi="Arial"/>
          <w:b/>
          <w:bCs/>
          <w:sz w:val="28"/>
          <w:szCs w:val="28"/>
        </w:rPr>
        <w:t xml:space="preserve">Part II — Robust Adaptive Environmental Calibration for DDR Sensors</w:t>
      </w:r>
    </w:p>
    <w:p>
      <w:pPr>
        <w:pStyle w:val="Heading2"/>
        <w:spacing w:after="120" w:before="280"/>
      </w:pPr>
      <w:r>
        <w:rPr>
          <w:rFonts w:ascii="Arial" w:cs="Arial" w:eastAsia="Arial" w:hAnsi="Arial"/>
          <w:b/>
          <w:bCs/>
          <w:color w:val="1F3C6E"/>
          <w:sz w:val="24"/>
          <w:szCs w:val="24"/>
        </w:rPr>
        <w:t xml:space="preserve">1. Overview</w:t>
      </w:r>
    </w:p>
    <w:p>
      <w:pPr>
        <w:spacing w:after="100" w:before="80"/>
        <w:jc w:val="both"/>
      </w:pPr>
      <w:r>
        <w:rPr>
          <w:rFonts w:ascii="Arial" w:cs="Arial" w:eastAsia="Arial" w:hAnsi="Arial"/>
          <w:sz w:val="20"/>
          <w:szCs w:val="20"/>
        </w:rPr>
        <w:t xml:space="preserve">The DDR measurement principle establishes that symmetric scattering media such as ocean surface water produce DDR values near zero. This property enables calibration: a sensor measuring water should read approximately DDR = 0. Deviation from zero indicates either contamination of the calibration measurement or instrument drift. The calibration methods disclosed here exploit this property to maintain accurate classification thresholds during continuous operation without requiring external reference standards or manual operator intervention.</w:t>
      </w:r>
    </w:p>
    <w:p>
      <w:pPr>
        <w:spacing w:after="100" w:before="80"/>
        <w:jc w:val="both"/>
      </w:pPr>
      <w:r>
        <w:rPr>
          <w:rFonts w:ascii="Arial" w:cs="Arial" w:eastAsia="Arial" w:hAnsi="Arial"/>
          <w:sz w:val="20"/>
          <w:szCs w:val="20"/>
        </w:rPr>
        <w:t xml:space="preserve">Three calibration modes are disclosed: periodic automatic, continuous opportunistic, and manual. All three modes apply the same two-stage validation before permitting a baseline update: spatial consistency evaluation and quorum agreement with the existing baseline. These two checks distinguish the three sources of calibration deviation—instrument drift, environmental change, and calibration contamination—and permit adaptation to the first two while resisting the third.</w:t>
      </w:r>
    </w:p>
    <w:p>
      <w:pPr>
        <w:pStyle w:val="Heading2"/>
        <w:spacing w:after="120" w:before="280"/>
      </w:pPr>
      <w:r>
        <w:rPr>
          <w:rFonts w:ascii="Arial" w:cs="Arial" w:eastAsia="Arial" w:hAnsi="Arial"/>
          <w:b/>
          <w:bCs/>
          <w:color w:val="1F3C6E"/>
          <w:sz w:val="24"/>
          <w:szCs w:val="24"/>
        </w:rPr>
        <w:t xml:space="preserve">2. Spatial Consistency Evaluation</w:t>
      </w:r>
    </w:p>
    <w:p>
      <w:pPr>
        <w:spacing w:after="100" w:before="80"/>
        <w:jc w:val="both"/>
      </w:pPr>
      <w:r>
        <w:rPr>
          <w:rFonts w:ascii="Arial" w:cs="Arial" w:eastAsia="Arial" w:hAnsi="Arial"/>
          <w:sz w:val="20"/>
          <w:szCs w:val="20"/>
        </w:rPr>
        <w:t xml:space="preserve">The spatial consistency evaluation computes a dispersion metric across a set of calibration measurements acquired from multiple spatially separated positions. A dispersion metric is selected from the group consisting of variance, standard deviation, interquartile range, and range of the measured calibration DDR values. The dispersion metric is compared to a maximum acceptable dispersion threshold.</w:t>
      </w:r>
    </w:p>
    <w:p>
      <w:pPr>
        <w:spacing w:after="100" w:before="80"/>
        <w:jc w:val="both"/>
      </w:pPr>
      <w:r>
        <w:rPr>
          <w:rFonts w:ascii="Arial" w:cs="Arial" w:eastAsia="Arial" w:hAnsi="Arial"/>
          <w:sz w:val="20"/>
          <w:szCs w:val="20"/>
        </w:rPr>
        <w:t xml:space="preserve">The physical basis for the spatial consistency check is that instrument drift and environmental change affect all measurement positions within a calibration region substantially uniformly: a sensor with a drifted polarization state reads elevated DDR at all positions, not selectively at some positions and not others. In contrast, calibration contamination—a floating object, debris, oil film, or biological material at one or more calibration positions—produces elevated DDR at the contaminated positions while leaving uncontaminated positions at the expected near-zero value. This spatial heterogeneity is detected by the dispersion metric. When the dispersion exceeds the threshold, at least one measurement position is likely contaminated, and the calibration set is rejected without updating the baseline.</w:t>
      </w:r>
    </w:p>
    <w:p>
      <w:pPr>
        <w:pStyle w:val="Heading2"/>
        <w:spacing w:after="120" w:before="280"/>
      </w:pPr>
      <w:r>
        <w:rPr>
          <w:rFonts w:ascii="Arial" w:cs="Arial" w:eastAsia="Arial" w:hAnsi="Arial"/>
          <w:b/>
          <w:bCs/>
          <w:color w:val="1F3C6E"/>
          <w:sz w:val="24"/>
          <w:szCs w:val="24"/>
        </w:rPr>
        <w:t xml:space="preserve">3. Quorum Agreement Check</w:t>
      </w:r>
    </w:p>
    <w:p>
      <w:pPr>
        <w:spacing w:after="100" w:before="80"/>
        <w:jc w:val="both"/>
      </w:pPr>
      <w:r>
        <w:rPr>
          <w:rFonts w:ascii="Arial" w:cs="Arial" w:eastAsia="Arial" w:hAnsi="Arial"/>
          <w:sz w:val="20"/>
          <w:szCs w:val="20"/>
        </w:rPr>
        <w:t xml:space="preserve">The quorum check counts the number of calibration measurements in the current set that fall within a predetermined acceptance range of the stored baseline value. A baseline update is permitted only when at least a predetermined minimum number—the quorum—of calibration measurements fall within the acceptance range. In a preferred embodiment, the quorum is a majority of the total calibration measurements in the set.</w:t>
      </w:r>
    </w:p>
    <w:p>
      <w:pPr>
        <w:spacing w:after="100" w:before="80"/>
        <w:jc w:val="both"/>
      </w:pPr>
      <w:r>
        <w:rPr>
          <w:rFonts w:ascii="Arial" w:cs="Arial" w:eastAsia="Arial" w:hAnsi="Arial"/>
          <w:sz w:val="20"/>
          <w:szCs w:val="20"/>
        </w:rPr>
        <w:t xml:space="preserve">The quorum check addresses scenarios where contamination is spatially uniform—for example, a debris field or algal bloom covering a large fraction of the field of regard. Spatially uniform contamination may pass the spatial consistency check because all positions are similarly elevated. However, contaminated measurements at an elevated DDR disagree with the established near-zero baseline and do not count toward the quorum. If the quorum threshold is not met, the baseline is not updated. The combination of spatial consistency evaluation (detecting localized contamination) and quorum agreement (detecting uniform contamination) provides defense against the full spectrum of contamination scenarios.</w:t>
      </w:r>
    </w:p>
    <w:p>
      <w:pPr>
        <w:pStyle w:val="Heading2"/>
        <w:spacing w:after="120" w:before="280"/>
      </w:pPr>
      <w:r>
        <w:rPr>
          <w:rFonts w:ascii="Arial" w:cs="Arial" w:eastAsia="Arial" w:hAnsi="Arial"/>
          <w:b/>
          <w:bCs/>
          <w:color w:val="1F3C6E"/>
          <w:sz w:val="24"/>
          <w:szCs w:val="24"/>
        </w:rPr>
        <w:t xml:space="preserve">4. Periodic Automatic Calibration Mode</w:t>
      </w:r>
    </w:p>
    <w:p>
      <w:pPr>
        <w:spacing w:after="100" w:before="80"/>
        <w:jc w:val="both"/>
      </w:pPr>
      <w:r>
        <w:rPr>
          <w:rFonts w:ascii="Arial" w:cs="Arial" w:eastAsia="Arial" w:hAnsi="Arial"/>
          <w:sz w:val="20"/>
          <w:szCs w:val="20"/>
        </w:rPr>
        <w:t xml:space="preserve">In the periodic automatic mode, the system autonomously acquires a set of DDR measurements from a plurality of spatially separated positions at a predetermined interval during continuous operational scanning. Calibration positions may be: predefined based on known geometry (for a vessel-mounted sensor, positions below the horizon are known to be directed at water); automatically identified from prior scan data by detecting contiguous spatial regions with DDR values below a calibration region identification threshold and DDR spatial variance below a uniformity threshold; or designated at scan endpoints to minimize impact on scan continuity.</w:t>
      </w:r>
    </w:p>
    <w:p>
      <w:pPr>
        <w:spacing w:after="100" w:before="80"/>
        <w:jc w:val="both"/>
      </w:pPr>
      <w:r>
        <w:rPr>
          <w:rFonts w:ascii="Arial" w:cs="Arial" w:eastAsia="Arial" w:hAnsi="Arial"/>
          <w:sz w:val="20"/>
          <w:szCs w:val="20"/>
        </w:rPr>
        <w:t xml:space="preserve">After acquiring the measurement set, the system applies both the spatial consistency evaluation and the quorum check. If both pass, the stored baseline is updated using an exponentially weighted moving average (EWMA): baseline_new = α × median(accepted_readings) + (1−α) × baseline_old, where α is a weighting factor between 0.05 and 0.20. The use of median rather than mean provides additional robustness against residual outliers within the accepted set. The classification threshold is then derived from the updated baseline.</w:t>
      </w:r>
    </w:p>
    <w:p>
      <w:pPr>
        <w:spacing w:after="100" w:before="80"/>
        <w:jc w:val="both"/>
      </w:pPr>
      <w:r>
        <w:rPr>
          <w:rFonts w:ascii="Arial" w:cs="Arial" w:eastAsia="Arial" w:hAnsi="Arial"/>
          <w:sz w:val="20"/>
          <w:szCs w:val="20"/>
        </w:rPr>
        <w:t xml:space="preserve">Rate clamping limits the per-update change in the baseline to a maximum value corresponding to the maximum physically realistic instrument drift rate, as determined during sensor commissioning characterization. Rate clamping prevents a contaminated calibration event that passes both checks from causing a large sudden baseline shift. Genuine instrument drift is slow and monotonic; a single contaminated calibration event producing a large sudden shift is detected and limited by rate clamping.</w:t>
      </w:r>
    </w:p>
    <w:p>
      <w:pPr>
        <w:pStyle w:val="Heading2"/>
        <w:spacing w:after="120" w:before="280"/>
      </w:pPr>
      <w:r>
        <w:rPr>
          <w:rFonts w:ascii="Arial" w:cs="Arial" w:eastAsia="Arial" w:hAnsi="Arial"/>
          <w:b/>
          <w:bCs/>
          <w:color w:val="1F3C6E"/>
          <w:sz w:val="24"/>
          <w:szCs w:val="24"/>
        </w:rPr>
        <w:t xml:space="preserve">5. Continuous Opportunistic Calibration Mode</w:t>
      </w:r>
    </w:p>
    <w:p>
      <w:pPr>
        <w:spacing w:after="100" w:before="80"/>
        <w:jc w:val="both"/>
      </w:pPr>
      <w:r>
        <w:rPr>
          <w:rFonts w:ascii="Arial" w:cs="Arial" w:eastAsia="Arial" w:hAnsi="Arial"/>
          <w:sz w:val="20"/>
          <w:szCs w:val="20"/>
        </w:rPr>
        <w:t xml:space="preserve">In the continuous opportunistic mode, every DDR measurement in the operational scan is evaluated as a potential calibration candidate without designating calibration positions in advance. For each scan position, the system computes the DDR value and compares it to a baseline proximity threshold derived from the stored calibration baseline. Scan positions with DDR values below the proximity threshold are classified as calibration candidates and accumulated into a calibration pool for the current scan cycle.</w:t>
      </w:r>
    </w:p>
    <w:p>
      <w:pPr>
        <w:spacing w:after="100" w:before="80"/>
        <w:jc w:val="both"/>
      </w:pPr>
      <w:r>
        <w:rPr>
          <w:rFonts w:ascii="Arial" w:cs="Arial" w:eastAsia="Arial" w:hAnsi="Arial"/>
          <w:sz w:val="20"/>
          <w:szCs w:val="20"/>
        </w:rPr>
        <w:t xml:space="preserve">In a preferred embodiment, the baseline proximity threshold is derived as the stored baseline plus a predetermined multiple of the running standard deviation of previously accepted calibration measurements—for example, baseline + 2σ. This adaptive threshold contracts as the baseline measurement precision improves through accumulated calibration history, and expands if measurement variance increases (indicating possible instrument state change). The baseline proximity threshold itself adapts as the baseline adapts.</w:t>
      </w:r>
    </w:p>
    <w:p>
      <w:pPr>
        <w:spacing w:after="100" w:before="80"/>
        <w:jc w:val="both"/>
      </w:pPr>
      <w:r>
        <w:rPr>
          <w:rFonts w:ascii="Arial" w:cs="Arial" w:eastAsia="Arial" w:hAnsi="Arial"/>
          <w:sz w:val="20"/>
          <w:szCs w:val="20"/>
        </w:rPr>
        <w:t xml:space="preserve">At the end of each scan cycle, the system applies the spatial consistency evaluation and quorum check to the accumulated calibration pool. The spatial distribution requirement—that calibration candidates must be distributed across a minimum number of spatially distinct regions—prevents a spatially concentrated cluster of candidates from satisfying the quorum. In maritime applications where approximately 80% of scan positions return ocean surface water, a 256 × 256 scan produces approximately 52,000 calibration candidates per cycle, providing high statistical confidence for baseline estimation.</w:t>
      </w:r>
    </w:p>
    <w:p>
      <w:pPr>
        <w:spacing w:after="100" w:before="80"/>
        <w:jc w:val="both"/>
      </w:pPr>
      <w:r>
        <w:rPr>
          <w:rFonts w:ascii="Arial" w:cs="Arial" w:eastAsia="Arial" w:hAnsi="Arial"/>
          <w:sz w:val="20"/>
          <w:szCs w:val="20"/>
        </w:rPr>
        <w:t xml:space="preserve">The continuous opportunistic mode generates a dual output for each scan position: a material classification (target or background) and a calibration quality indicator (calibration candidate or non-candidate). This enables post-processing separation of calibration data from target data. A time-weighted confidence indicator for each target classification reflects the ratio of calibration candidates to total scan positions in the most recent cycle, providing higher classification confidence when calibration data density is high.</w:t>
      </w:r>
    </w:p>
    <w:p>
      <w:pPr>
        <w:spacing w:after="100" w:before="80"/>
        <w:jc w:val="both"/>
      </w:pPr>
      <w:r>
        <w:rPr>
          <w:rFonts w:ascii="Arial" w:cs="Arial" w:eastAsia="Arial" w:hAnsi="Arial"/>
          <w:sz w:val="20"/>
          <w:szCs w:val="20"/>
        </w:rPr>
        <w:t xml:space="preserve">A timestamped calibration state is recorded for each scan cycle, comprising the calibration baseline value, the number of calibration candidates identified, the spatial consistency metric, whether the baseline was updated or maintained, and any fault indications. This log supports maintenance, post-event analysis, and regulatory audit.</w:t>
      </w:r>
    </w:p>
    <w:p>
      <w:pPr>
        <w:pStyle w:val="Heading2"/>
        <w:spacing w:after="120" w:before="280"/>
      </w:pPr>
      <w:r>
        <w:rPr>
          <w:rFonts w:ascii="Arial" w:cs="Arial" w:eastAsia="Arial" w:hAnsi="Arial"/>
          <w:b/>
          <w:bCs/>
          <w:color w:val="1F3C6E"/>
          <w:sz w:val="24"/>
          <w:szCs w:val="24"/>
        </w:rPr>
        <w:t xml:space="preserve">6. Manual Calibration and Startup Initialization</w:t>
      </w:r>
    </w:p>
    <w:p>
      <w:pPr>
        <w:spacing w:after="100" w:before="80"/>
        <w:jc w:val="both"/>
      </w:pPr>
      <w:r>
        <w:rPr>
          <w:rFonts w:ascii="Arial" w:cs="Arial" w:eastAsia="Arial" w:hAnsi="Arial"/>
          <w:sz w:val="20"/>
          <w:szCs w:val="20"/>
        </w:rPr>
        <w:t xml:space="preserve">A manual calibration event is triggered by an operator input through the system interface or by an automated startup initialization routine. On receiving a manual calibration command, the system acquires a calibration measurement set using the same spatial consistency and quorum checks as automatic modes. In one embodiment, the manual calibration set employs increased measurement averaging—for example, 10 measurements per position rather than the normal 1 to 3—for improved precision. The system reports whether the calibration succeeded or failed with an indication of which check failed.</w:t>
      </w:r>
    </w:p>
    <w:p>
      <w:pPr>
        <w:spacing w:after="100" w:before="80"/>
        <w:jc w:val="both"/>
      </w:pPr>
      <w:r>
        <w:rPr>
          <w:rFonts w:ascii="Arial" w:cs="Arial" w:eastAsia="Arial" w:hAnsi="Arial"/>
          <w:sz w:val="20"/>
          <w:szCs w:val="20"/>
        </w:rPr>
        <w:t xml:space="preserve">At initial power-on, the startup initialization procedure executes as follows. The system loads a factory-default baseline value (DDR = 0.0) and a conservative factory-default classification threshold. The system acquires an initial calibration measurement set with increased averaging. Because no operational baseline history exists, the quorum check uses the factory-default baseline (DDR = 0.0) as the reference. If the initial calibration set passes both checks, the system replaces the factory-default baseline with an operationally derived baseline and transitions from the conservative factory threshold to the operationally derived threshold. If either check fails—indicating the sensor is not pointed at a suitable calibration environment at power-on—the system retains the conservative factory default and repeats the initialization attempt at the next scan cycle. Startup initialization typically completes within one scan cycle.</w:t>
      </w:r>
    </w:p>
    <w:p>
      <w:pPr>
        <w:pStyle w:val="Heading2"/>
        <w:spacing w:after="120" w:before="280"/>
      </w:pPr>
      <w:r>
        <w:rPr>
          <w:rFonts w:ascii="Arial" w:cs="Arial" w:eastAsia="Arial" w:hAnsi="Arial"/>
          <w:b/>
          <w:bCs/>
          <w:color w:val="1F3C6E"/>
          <w:sz w:val="24"/>
          <w:szCs w:val="24"/>
        </w:rPr>
        <w:t xml:space="preserve">7. Fault Detection and Predictive Maintenance</w:t>
      </w:r>
    </w:p>
    <w:p>
      <w:pPr>
        <w:spacing w:after="100" w:before="80"/>
        <w:jc w:val="both"/>
      </w:pPr>
      <w:r>
        <w:rPr>
          <w:rFonts w:ascii="Arial" w:cs="Arial" w:eastAsia="Arial" w:hAnsi="Arial"/>
          <w:sz w:val="20"/>
          <w:szCs w:val="20"/>
        </w:rPr>
        <w:t xml:space="preserve">The fault monitor tracks the running calibration baseline continuously. In a preferred embodiment, two severity levels of fault indication are generated: a warning indication when the running baseline exceeds a first threshold (e.g., DDR = 0.03) indicating elevated but not yet critical instrument state, and a critical fault indication when the running baseline exceeds a second, higher threshold (e.g., DDR = 0.05) indicating that automated classification should be suspended pending maintenance.</w:t>
      </w:r>
    </w:p>
    <w:p>
      <w:pPr>
        <w:spacing w:after="100" w:before="80"/>
        <w:jc w:val="both"/>
      </w:pPr>
      <w:r>
        <w:rPr>
          <w:rFonts w:ascii="Arial" w:cs="Arial" w:eastAsia="Arial" w:hAnsi="Arial"/>
          <w:sz w:val="20"/>
          <w:szCs w:val="20"/>
        </w:rPr>
        <w:t xml:space="preserve">When the system maintains separate running baseline values for physically independent calibration regions within the field of regard—for example, water surface below the horizon and clear atmosphere above the horizon—the fault monitor cross-validates the separate baselines. Divergence of the separate baselines by more than a cross-validation tolerance indicates localized contamination at one calibration region rather than instrument-wide drift, because instrument drift affects all calibration regions equally.</w:t>
      </w:r>
    </w:p>
    <w:p>
      <w:pPr>
        <w:spacing w:after="100" w:before="80"/>
        <w:jc w:val="both"/>
      </w:pPr>
      <w:r>
        <w:rPr>
          <w:rFonts w:ascii="Arial" w:cs="Arial" w:eastAsia="Arial" w:hAnsi="Arial"/>
          <w:sz w:val="20"/>
          <w:szCs w:val="20"/>
        </w:rPr>
        <w:t xml:space="preserve">A trend analyzer computes a linear or polynomial trend of the calibration baseline over a sliding window of calibration cycles. When the trend projects the baseline to exceed the critical fault threshold within a predetermined future time interval, the system generates a predictive maintenance indication with an estimated time-to-fault. This advance indication enables scheduled maintenance before fault conditions degrade classification performance.</w:t>
      </w:r>
    </w:p>
    <w:p>
      <w:pPr>
        <w:spacing w:after="100" w:before="80"/>
        <w:jc w:val="both"/>
      </w:pPr>
      <w:r>
        <w:rPr>
          <w:rFonts w:ascii="Arial" w:cs="Arial" w:eastAsia="Arial" w:hAnsi="Arial"/>
          <w:sz w:val="20"/>
          <w:szCs w:val="20"/>
        </w:rPr>
        <w:t xml:space="preserve">The calibration and fault detection methods are distinct from Constant False Alarm Rate (CFAR) adaptive thresholding in the following respects. CFAR estimates an unknown background level from reference cells adjacent to the cell under test. The present invention validates instrument state against a physics-derived predicted value—the DDR of a symmetric scatterer is predicted by Mie theory and Rayleigh scattering to be approximately zero independent of scattering intensity or particle size distribution. CFAR adapts to background changes as the desired behavior; the present invention treats baseline changes as potentially indicating fault and applies spatial consistency and quorum checks before permitting adaptation. CFAR operates on power measurements in a single channel; the present invention operates on a differential ratio from four channels. These four distinctions establish that the present invention is not obvious from CFAR techniques.</w:t>
      </w:r>
    </w:p>
    <w:p>
      <w:r>
        <w:br w:type="page"/>
      </w:r>
    </w:p>
    <w:p>
      <w:pPr>
        <w:pStyle w:val="Heading1"/>
        <w:pBdr>
          <w:bottom w:val="single" w:color="2E75B6" w:sz="6" w:space="1"/>
        </w:pBdr>
        <w:spacing w:after="160" w:before="360"/>
      </w:pPr>
      <w:r>
        <w:rPr>
          <w:rFonts w:ascii="Arial" w:cs="Arial" w:eastAsia="Arial" w:hAnsi="Arial"/>
          <w:b/>
          <w:bCs/>
          <w:sz w:val="28"/>
          <w:szCs w:val="28"/>
        </w:rPr>
        <w:t xml:space="preserve">Part III — Shared-Aperture Autonomous Target Acquisition with Adaptive Field of View</w:t>
      </w:r>
    </w:p>
    <w:p>
      <w:pPr>
        <w:pStyle w:val="Heading2"/>
        <w:spacing w:after="120" w:before="280"/>
      </w:pPr>
      <w:r>
        <w:rPr>
          <w:rFonts w:ascii="Arial" w:cs="Arial" w:eastAsia="Arial" w:hAnsi="Arial"/>
          <w:b/>
          <w:bCs/>
          <w:color w:val="1F3C6E"/>
          <w:sz w:val="24"/>
          <w:szCs w:val="24"/>
        </w:rPr>
        <w:t xml:space="preserve">1. System Architecture Overview</w:t>
      </w:r>
    </w:p>
    <w:p>
      <w:pPr>
        <w:spacing w:after="100" w:before="80"/>
        <w:jc w:val="both"/>
      </w:pPr>
      <w:r>
        <w:rPr>
          <w:rFonts w:ascii="Arial" w:cs="Arial" w:eastAsia="Arial" w:hAnsi="Arial"/>
          <w:sz w:val="20"/>
          <w:szCs w:val="20"/>
        </w:rPr>
        <w:t xml:space="preserve">The system disclosed in this Part III provides an autonomous pipeline for acquiring a detected contact from an external detection sensor, centering the illumination beam on the contact, and completing a material classification measurement using the DDR method. The key architectural elements are: a coherent illumination source operable in both continuous-wave acquisition mode and pulsed classification mode; a shared receive aperture through which both transmit and receive optical energy travel; a non-polarizing beamsplitter within the shared aperture routing a first portion of returned optical energy to a short-wave infrared (SWIR) focal plane array and a second portion to a DDR receiver; a variable beam expander providing selectable beam divergence; and a pointing platform providing azimuth and elevation steering.</w:t>
      </w:r>
    </w:p>
    <w:p>
      <w:pPr>
        <w:spacing w:after="100" w:before="80"/>
        <w:jc w:val="both"/>
      </w:pPr>
      <w:r>
        <w:rPr>
          <w:rFonts w:ascii="Arial" w:cs="Arial" w:eastAsia="Arial" w:hAnsi="Arial"/>
          <w:sz w:val="20"/>
          <w:szCs w:val="20"/>
        </w:rPr>
        <w:t xml:space="preserve">The coherent illumination source in a preferred embodiment comprises dual distributed feedback laser sources at wavelengths lambda-1 and lambda-2 approximately 50 GHz apart, corresponding to the two orthogonally polarized illumination states of the DDR measurement. The single-source SSB modulator architecture described in the First Provisional is the preferred source implementation, providing thermal stability and phase coherence. The same source serves both pipeline phases—CW acquisition and pulsed classification—through firmware-controlled modulation state change requiring no hardware reconfiguration.</w:t>
      </w:r>
    </w:p>
    <w:p>
      <w:pPr>
        <w:spacing w:after="100" w:before="80"/>
        <w:jc w:val="both"/>
      </w:pPr>
      <w:r>
        <w:rPr>
          <w:rFonts w:ascii="Arial" w:cs="Arial" w:eastAsia="Arial" w:hAnsi="Arial"/>
          <w:sz w:val="20"/>
          <w:szCs w:val="20"/>
        </w:rPr>
        <w:t xml:space="preserve">The SWIR focal plane array is a two-dimensional imaging sensor responsive to wavelengths in the 900 to 1700 nm range. In a preferred embodiment, the focal plane array is an InGaAs or InGaAs/InP sensor with a 320 × 256 pixel format. The array provides a two-dimensional intensity image of the region illuminated by the coherent source. The centroid of the illumination return in this image—computed as the intensity-weighted mean pixel coordinates—represents the angular offset of the illumination beam axis from the target center.</w:t>
      </w:r>
    </w:p>
    <w:p>
      <w:pPr>
        <w:pStyle w:val="Heading2"/>
        <w:spacing w:after="120" w:before="280"/>
      </w:pPr>
      <w:r>
        <w:rPr>
          <w:rFonts w:ascii="Arial" w:cs="Arial" w:eastAsia="Arial" w:hAnsi="Arial"/>
          <w:b/>
          <w:bCs/>
          <w:color w:val="1F3C6E"/>
          <w:sz w:val="24"/>
          <w:szCs w:val="24"/>
        </w:rPr>
        <w:t xml:space="preserve">2. Shared-Aperture Geometric Boresight Maintenance</w:t>
      </w:r>
    </w:p>
    <w:p>
      <w:pPr>
        <w:spacing w:after="100" w:before="80"/>
        <w:jc w:val="both"/>
      </w:pPr>
      <w:r>
        <w:rPr>
          <w:rFonts w:ascii="Arial" w:cs="Arial" w:eastAsia="Arial" w:hAnsi="Arial"/>
          <w:sz w:val="20"/>
          <w:szCs w:val="20"/>
        </w:rPr>
        <w:t xml:space="preserve">The non-polarizing beamsplitter is positioned within the shared receive aperture such that both the SWIR focal plane array and the DDR receiver receive returned optical energy through the same aperture through which the coherent illumination source transmits. This shared-aperture arrangement geometrically constrains the illumination beam axis, the SWIR imaging axis, and the DDR receive axis to be co-aligned by the aperture optics.</w:t>
      </w:r>
    </w:p>
    <w:p>
      <w:pPr>
        <w:spacing w:after="100" w:before="80"/>
        <w:jc w:val="both"/>
      </w:pPr>
      <w:r>
        <w:rPr>
          <w:rFonts w:ascii="Arial" w:cs="Arial" w:eastAsia="Arial" w:hAnsi="Arial"/>
          <w:sz w:val="20"/>
          <w:szCs w:val="20"/>
        </w:rPr>
        <w:t xml:space="preserve">The centroid of the illumination return in the SWIR focal plane array is therefore geometrically coincident with the transmit beam axis. The offset of the measured centroid from the optical center of the focal plane array represents the pointing error of the beam axis relative to the target position directly, without residual alignment error. No boresight calibration procedure is required because no independent inter-instrument alignment parameter exists—the alignment is enforced by the shared aperture optics. This property is maintained under thermal cycling, vibration, and mechanical shock because there are no independent optical axes to misalign relative to each other.</w:t>
      </w:r>
    </w:p>
    <w:p>
      <w:pPr>
        <w:spacing w:after="100" w:before="80"/>
        <w:jc w:val="both"/>
      </w:pPr>
      <w:r>
        <w:rPr>
          <w:rFonts w:ascii="Arial" w:cs="Arial" w:eastAsia="Arial" w:hAnsi="Arial"/>
          <w:sz w:val="20"/>
          <w:szCs w:val="20"/>
        </w:rPr>
        <w:t xml:space="preserve">The non-polarizing beamsplitter is positioned in the receive optical path before the polarizing beam splitter of the DDR receiver, such that the beamsplitter tap is polarization-independent. This positioning ensures that the beamsplitter tap does not perturb the polarization state separation required for accurate DDR measurement. The SWIR imaging path receives unpolarized returned energy; the DDR receiver path receives the remainder and performs its own polarization separation downstream.</w:t>
      </w:r>
    </w:p>
    <w:p>
      <w:pPr>
        <w:pStyle w:val="Heading2"/>
        <w:spacing w:after="120" w:before="280"/>
      </w:pPr>
      <w:r>
        <w:rPr>
          <w:rFonts w:ascii="Arial" w:cs="Arial" w:eastAsia="Arial" w:hAnsi="Arial"/>
          <w:b/>
          <w:bCs/>
          <w:color w:val="1F3C6E"/>
          <w:sz w:val="24"/>
          <w:szCs w:val="24"/>
        </w:rPr>
        <w:t xml:space="preserve">3. Net Signal Improvement: Tap Loss vs. Beam-Narrowing Gain</w:t>
      </w:r>
    </w:p>
    <w:p>
      <w:pPr>
        <w:spacing w:after="100" w:before="80"/>
        <w:jc w:val="both"/>
      </w:pPr>
      <w:r>
        <w:rPr>
          <w:rFonts w:ascii="Arial" w:cs="Arial" w:eastAsia="Arial" w:hAnsi="Arial"/>
          <w:sz w:val="20"/>
          <w:szCs w:val="20"/>
        </w:rPr>
        <w:t xml:space="preserve">The non-polarizing beamsplitter reduces the optical power delivered to the DDR receiver relative to a system without the tap. For a 90:10 split ratio (90% to DDR receiver, 10% to SWIR array), the DDR receiver receives 90% of the returned power, a reduction of approximately 0.46 dB. This reduction is the tap loss.</w:t>
      </w:r>
    </w:p>
    <w:p>
      <w:pPr>
        <w:spacing w:after="100" w:before="80"/>
        <w:jc w:val="both"/>
      </w:pPr>
      <w:r>
        <w:rPr>
          <w:rFonts w:ascii="Arial" w:cs="Arial" w:eastAsia="Arial" w:hAnsi="Arial"/>
          <w:sz w:val="20"/>
          <w:szCs w:val="20"/>
        </w:rPr>
        <w:t xml:space="preserve">However, the beamsplitter tap enables closed-loop centroid confirmation, which authorizes transition from wide-mode to narrow-mode beam expander operation. The narrow-mode footprint has reduced area compared to the wide-mode footprint by the square of the divergence angle ratio. For a wide-mode half-angle of 0.8 degrees and a narrow-mode half-angle of 0.13 degrees, the footprint area ratio is (0.8/0.13)², approximately 37.9. Assuming Lambertian reflectance, the narrow-mode classification pulse delivers approximately 37.9 times more received power—approximately 15.8 dB—compared to a wide-mode pulse of equal total transmitted energy. The beam-narrowing gain of approximately 15.8 dB substantially exceeds the tap loss of approximately 0.46 dB.</w:t>
      </w:r>
    </w:p>
    <w:p>
      <w:pPr>
        <w:spacing w:after="100" w:before="80"/>
        <w:jc w:val="both"/>
      </w:pPr>
      <w:r>
        <w:rPr>
          <w:rFonts w:ascii="Arial" w:cs="Arial" w:eastAsia="Arial" w:hAnsi="Arial"/>
          <w:sz w:val="20"/>
          <w:szCs w:val="20"/>
        </w:rPr>
        <w:t xml:space="preserve">The net classification signal improvement is approximately 15.3 dB compared to a system that classifies in wide mode without centroid confirmation. The net improvement is quantified as the difference in dB between the beam-narrowing gain (10 × log10 of the ratio of wide-mode footprint area to narrow-mode footprint area) and the tap loss (10 × log10 of the fraction of returned power directed to the DDR receiver). For any beamsplitter split ratio and beam expander divergence ratio such that the beam-narrowing gain exceeds the tap loss, the net classification signal is improved relative to a wide-mode-only system. This non-obvious net improvement relationship holds for all practical divergence ratios achievable with a variable beam expander, meaning the shared-aperture imaging subsystem is a classification performance improvement mechanism, not a signal overhead component.</w:t>
      </w:r>
    </w:p>
    <w:p>
      <w:pPr>
        <w:pStyle w:val="Heading2"/>
        <w:spacing w:after="120" w:before="280"/>
      </w:pPr>
      <w:r>
        <w:rPr>
          <w:rFonts w:ascii="Arial" w:cs="Arial" w:eastAsia="Arial" w:hAnsi="Arial"/>
          <w:b/>
          <w:bCs/>
          <w:color w:val="1F3C6E"/>
          <w:sz w:val="24"/>
          <w:szCs w:val="24"/>
        </w:rPr>
        <w:t xml:space="preserve">4. Autonomous Pipeline Phases</w:t>
      </w:r>
    </w:p>
    <w:p>
      <w:pPr>
        <w:pStyle w:val="Heading3"/>
        <w:spacing w:after="80" w:before="200"/>
      </w:pPr>
      <w:r>
        <w:rPr>
          <w:rFonts w:ascii="Arial" w:cs="Arial" w:eastAsia="Arial" w:hAnsi="Arial"/>
          <w:b/>
          <w:bCs/>
          <w:sz w:val="21"/>
          <w:szCs w:val="21"/>
        </w:rPr>
        <w:t xml:space="preserve">Phase 1 — Contact Receipt</w:t>
      </w:r>
    </w:p>
    <w:p>
      <w:pPr>
        <w:spacing w:after="100" w:before="80"/>
        <w:jc w:val="both"/>
      </w:pPr>
      <w:r>
        <w:rPr>
          <w:rFonts w:ascii="Arial" w:cs="Arial" w:eastAsia="Arial" w:hAnsi="Arial"/>
          <w:sz w:val="20"/>
          <w:szCs w:val="20"/>
        </w:rPr>
        <w:t xml:space="preserve">The system processor receives a contact signal from the external detection sensor. The contact signal comprises at minimum directional information—azimuth and elevation—and optionally range, velocity, and a position uncertainty estimate. In the preferred radar-cued embodiment, the external detection sensor is a surveillance radar providing azimuth, elevation, range, and track position uncertainty on a standard NMEA interface. Alternative embodiments accept contact information in acoustic bearing-and-range format, Automatic Identification System vessel track format, or operator-commanded pointing angle. The pipeline architecture is not limited to any specific external sensor type.</w:t>
      </w:r>
    </w:p>
    <w:p>
      <w:pPr>
        <w:pStyle w:val="Heading3"/>
        <w:spacing w:after="80" w:before="200"/>
      </w:pPr>
      <w:r>
        <w:rPr>
          <w:rFonts w:ascii="Arial" w:cs="Arial" w:eastAsia="Arial" w:hAnsi="Arial"/>
          <w:b/>
          <w:bCs/>
          <w:sz w:val="21"/>
          <w:szCs w:val="21"/>
        </w:rPr>
        <w:t xml:space="preserve">Phase 2 — Platform Slew</w:t>
      </w:r>
    </w:p>
    <w:p>
      <w:pPr>
        <w:spacing w:after="100" w:before="80"/>
        <w:jc w:val="both"/>
      </w:pPr>
      <w:r>
        <w:rPr>
          <w:rFonts w:ascii="Arial" w:cs="Arial" w:eastAsia="Arial" w:hAnsi="Arial"/>
          <w:sz w:val="20"/>
          <w:szCs w:val="20"/>
        </w:rPr>
        <w:t xml:space="preserve">The processor commands the pointing platform to the azimuth and elevation centroid of the reported contact position. No illumination source activity occurs during slew.</w:t>
      </w:r>
    </w:p>
    <w:p>
      <w:pPr>
        <w:pStyle w:val="Heading3"/>
        <w:spacing w:after="80" w:before="200"/>
      </w:pPr>
      <w:r>
        <w:rPr>
          <w:rFonts w:ascii="Arial" w:cs="Arial" w:eastAsia="Arial" w:hAnsi="Arial"/>
          <w:b/>
          <w:bCs/>
          <w:sz w:val="21"/>
          <w:szCs w:val="21"/>
        </w:rPr>
        <w:t xml:space="preserve">Phase 3 — CW Wide-Mode Acquisition</w:t>
      </w:r>
    </w:p>
    <w:p>
      <w:pPr>
        <w:spacing w:after="100" w:before="80"/>
        <w:jc w:val="both"/>
      </w:pPr>
      <w:r>
        <w:rPr>
          <w:rFonts w:ascii="Arial" w:cs="Arial" w:eastAsia="Arial" w:hAnsi="Arial"/>
          <w:sz w:val="20"/>
          <w:szCs w:val="20"/>
        </w:rPr>
        <w:t xml:space="preserve">The processor activates the coherent illumination source in continuous-wave mode and commands the variable beam expander to the first (wide) divergence state. The illuminated footprint in wide mode is sized to encompass the position uncertainty region reported by the external detection sensor at the reported range. In the preferred embodiment, the wide-mode half-angle of approximately 0.8 degrees produces a footprint of approximately 2.8 meters diameter at 100 meters range, sufficient to encompass a position uncertainty radius of up to 15 meters at perimeter ranges.</w:t>
      </w:r>
    </w:p>
    <w:p>
      <w:pPr>
        <w:pStyle w:val="Heading3"/>
        <w:spacing w:after="80" w:before="200"/>
      </w:pPr>
      <w:r>
        <w:rPr>
          <w:rFonts w:ascii="Arial" w:cs="Arial" w:eastAsia="Arial" w:hAnsi="Arial"/>
          <w:b/>
          <w:bCs/>
          <w:sz w:val="21"/>
          <w:szCs w:val="21"/>
        </w:rPr>
        <w:t xml:space="preserve">Phase 4 — Centroid Detection and Closed-Loop Pointing</w:t>
      </w:r>
    </w:p>
    <w:p>
      <w:pPr>
        <w:spacing w:after="100" w:before="80"/>
        <w:jc w:val="both"/>
      </w:pPr>
      <w:r>
        <w:rPr>
          <w:rFonts w:ascii="Arial" w:cs="Arial" w:eastAsia="Arial" w:hAnsi="Arial"/>
          <w:sz w:val="20"/>
          <w:szCs w:val="20"/>
        </w:rPr>
        <w:t xml:space="preserve">The SWIR focal plane array integrates returned illumination through the shared aperture. The processor computes the centroid of the detected illumination return image and computes the centroid offset—the distance in pixels between the computed centroid and the focal plane array optical center. If the centroid offset exceeds the pointing correction threshold, the processor issues a correction command to the pointing platform and re-evaluates the centroid. This closed-loop iteration continues until the centroid offset is within the confirmation threshold or a maximum iteration count is reached.</w:t>
      </w:r>
    </w:p>
    <w:p>
      <w:pPr>
        <w:pStyle w:val="Heading3"/>
        <w:spacing w:after="80" w:before="200"/>
      </w:pPr>
      <w:r>
        <w:rPr>
          <w:rFonts w:ascii="Arial" w:cs="Arial" w:eastAsia="Arial" w:hAnsi="Arial"/>
          <w:b/>
          <w:bCs/>
          <w:sz w:val="21"/>
          <w:szCs w:val="21"/>
        </w:rPr>
        <w:t xml:space="preserve">Phase 5 — Centering Confirmation</w:t>
      </w:r>
    </w:p>
    <w:p>
      <w:pPr>
        <w:spacing w:after="100" w:before="80"/>
        <w:jc w:val="both"/>
      </w:pPr>
      <w:r>
        <w:rPr>
          <w:rFonts w:ascii="Arial" w:cs="Arial" w:eastAsia="Arial" w:hAnsi="Arial"/>
          <w:sz w:val="20"/>
          <w:szCs w:val="20"/>
        </w:rPr>
        <w:t xml:space="preserve">When the centroid offset falls within the confirmation threshold, the processor generates a centering confirmation signal. The centering confirmation signal is a digital event indicating that the illumination beam axis is centered on the target within the required angular tolerance. If the threshold is not reached within the maximum iteration budget, the processor logs an acquisition failure event and returns to a configurable fallback state.</w:t>
      </w:r>
    </w:p>
    <w:p>
      <w:pPr>
        <w:pStyle w:val="Heading3"/>
        <w:spacing w:after="80" w:before="200"/>
      </w:pPr>
      <w:r>
        <w:rPr>
          <w:rFonts w:ascii="Arial" w:cs="Arial" w:eastAsia="Arial" w:hAnsi="Arial"/>
          <w:b/>
          <w:bCs/>
          <w:sz w:val="21"/>
          <w:szCs w:val="21"/>
        </w:rPr>
        <w:t xml:space="preserve">Phase 6 — Narrow-Mode Pulsed Classification</w:t>
      </w:r>
    </w:p>
    <w:p>
      <w:pPr>
        <w:spacing w:after="100" w:before="80"/>
        <w:jc w:val="both"/>
      </w:pPr>
      <w:r>
        <w:rPr>
          <w:rFonts w:ascii="Arial" w:cs="Arial" w:eastAsia="Arial" w:hAnsi="Arial"/>
          <w:sz w:val="20"/>
          <w:szCs w:val="20"/>
        </w:rPr>
        <w:t xml:space="preserve">Upon centering confirmation, the processor commands the variable beam expander to the second (narrow) divergence state and switches the coherent illumination source from continuous-wave to pulsed mode. The DDR receiver gates its detection windows to the pulsed timing. DDR measurement proceeds as described in the First Provisional: four-channel separation by polarization state and wavelength, computation of two depolarization ratios, DDR value as the absolute difference, and threshold comparison for material class determination.</w:t>
      </w:r>
    </w:p>
    <w:p>
      <w:pPr>
        <w:pStyle w:val="Heading3"/>
        <w:spacing w:after="80" w:before="200"/>
      </w:pPr>
      <w:r>
        <w:rPr>
          <w:rFonts w:ascii="Arial" w:cs="Arial" w:eastAsia="Arial" w:hAnsi="Arial"/>
          <w:b/>
          <w:bCs/>
          <w:sz w:val="21"/>
          <w:szCs w:val="21"/>
        </w:rPr>
        <w:t xml:space="preserve">Phase 7 — Classification Output and Suppression List</w:t>
      </w:r>
    </w:p>
    <w:p>
      <w:pPr>
        <w:spacing w:after="100" w:before="80"/>
        <w:jc w:val="both"/>
      </w:pPr>
      <w:r>
        <w:rPr>
          <w:rFonts w:ascii="Arial" w:cs="Arial" w:eastAsia="Arial" w:hAnsi="Arial"/>
          <w:sz w:val="20"/>
          <w:szCs w:val="20"/>
        </w:rPr>
        <w:t xml:space="preserve">The processor generates a material classification output comprising DDR value, confidence score, and material class identifier. The processor maintains a contact suppression list of contacts previously classified as a known-safe material class. When the pointing platform is directed toward a contact on the suppression list, the processor inhibits illumination source activation. This prevents unnecessary illumination of contacts already identified as non-threats and reduces system duty cycle in contact-dense environments.</w:t>
      </w:r>
    </w:p>
    <w:p>
      <w:pPr>
        <w:pStyle w:val="Heading2"/>
        <w:spacing w:after="120" w:before="280"/>
      </w:pPr>
      <w:r>
        <w:rPr>
          <w:rFonts w:ascii="Arial" w:cs="Arial" w:eastAsia="Arial" w:hAnsi="Arial"/>
          <w:b/>
          <w:bCs/>
          <w:color w:val="1F3C6E"/>
          <w:sz w:val="24"/>
          <w:szCs w:val="24"/>
        </w:rPr>
        <w:t xml:space="preserve">5. Variable Beam Expander: Galilean Architecture with Worm-Gear Drive</w:t>
      </w:r>
    </w:p>
    <w:p>
      <w:pPr>
        <w:spacing w:after="100" w:before="80"/>
        <w:jc w:val="both"/>
      </w:pPr>
      <w:r>
        <w:rPr>
          <w:rFonts w:ascii="Arial" w:cs="Arial" w:eastAsia="Arial" w:hAnsi="Arial"/>
          <w:sz w:val="20"/>
          <w:szCs w:val="20"/>
        </w:rPr>
        <w:t xml:space="preserve">The variable beam expander in a preferred embodiment is a Galilean beam expander comprising a fixed negative lens positioned at the fiber output of the coherent illumination source, and a positive lens on a motorized translation stage. The separation between the negative and positive lenses determines the beam divergence state. Increasing the separation produces a narrower beam (higher collimation); decreasing the separation produces a wider beam. The Galilean geometry has no internal focal point, eliminating the risk of optical damage at the internal focus that would occur with a Keplerian (positive-positive) expander design at the operating power levels of the classification phase.</w:t>
      </w:r>
    </w:p>
    <w:p>
      <w:pPr>
        <w:spacing w:after="100" w:before="80"/>
        <w:jc w:val="both"/>
      </w:pPr>
      <w:r>
        <w:rPr>
          <w:rFonts w:ascii="Arial" w:cs="Arial" w:eastAsia="Arial" w:hAnsi="Arial"/>
          <w:sz w:val="20"/>
          <w:szCs w:val="20"/>
        </w:rPr>
        <w:t xml:space="preserve">The motorized translation stage is driven by a worm gear assembly. The worm gear assembly is selected such that the worm lead angle is less than the arctangent of the static coefficient of friction between worm and wheel. This geometric condition produces static self-locking: the lens position is maintained after a commanded transition without motor holding current. The self-locking property provides lens position stability under vibration from wind, vessel motion, or vehicle dynamics without continuous power consumption. Lens position is tracked by step count from a calibrated hard stop, eliminating the requirement for a position encoder or optical limit switch. Transition from wide mode to narrow mode is commanded by the processor upon receipt of the centering confirmation signal and completes automatically, transparent to the operator.</w:t>
      </w:r>
    </w:p>
    <w:p>
      <w:pPr>
        <w:pStyle w:val="Heading2"/>
        <w:spacing w:after="120" w:before="280"/>
      </w:pPr>
      <w:r>
        <w:rPr>
          <w:rFonts w:ascii="Arial" w:cs="Arial" w:eastAsia="Arial" w:hAnsi="Arial"/>
          <w:b/>
          <w:bCs/>
          <w:color w:val="1F3C6E"/>
          <w:sz w:val="24"/>
          <w:szCs w:val="24"/>
        </w:rPr>
        <w:t xml:space="preserve">6. Sky Target Illumination</w:t>
      </w:r>
    </w:p>
    <w:p>
      <w:pPr>
        <w:spacing w:after="100" w:before="80"/>
        <w:jc w:val="both"/>
      </w:pPr>
      <w:r>
        <w:rPr>
          <w:rFonts w:ascii="Arial" w:cs="Arial" w:eastAsia="Arial" w:hAnsi="Arial"/>
          <w:sz w:val="20"/>
          <w:szCs w:val="20"/>
        </w:rPr>
        <w:t xml:space="preserve">Aerial targets with low passive reflectance contrast and negligible thermal emission at 1550 nm—including small unmanned aerial vehicles, birds, and lighter-than-air platforms—are detectable by the SWIR focal plane array when the coherent illumination source operates in CW acquisition mode. At 1550 nm, sky background contributes essentially no passive spectral radiance under most atmospheric conditions, providing a low-background channel against which the target-reflected illumination return is detectable at useful signal-to-noise ratio even at low CW power levels. This active illumination approach enables centroid detection of aerial targets that would be invisible to passive SWIR imaging.</w:t>
      </w:r>
    </w:p>
    <w:p>
      <w:r>
        <w:br w:type="page"/>
      </w:r>
    </w:p>
    <w:p>
      <w:pPr>
        <w:pStyle w:val="Heading1"/>
        <w:pBdr>
          <w:bottom w:val="single" w:color="2E75B6" w:sz="6" w:space="1"/>
        </w:pBdr>
        <w:spacing w:after="160" w:before="360"/>
      </w:pPr>
      <w:r>
        <w:rPr>
          <w:rFonts w:ascii="Arial" w:cs="Arial" w:eastAsia="Arial" w:hAnsi="Arial"/>
          <w:b/>
          <w:bCs/>
          <w:sz w:val="28"/>
          <w:szCs w:val="28"/>
        </w:rPr>
        <w:t xml:space="preserve">Part IV — Perimeter Sensor Network for Material-Classifying Detection and Drift-Predictive Tracking</w:t>
      </w:r>
    </w:p>
    <w:p>
      <w:pPr>
        <w:pStyle w:val="Heading2"/>
        <w:spacing w:after="120" w:before="280"/>
      </w:pPr>
      <w:r>
        <w:rPr>
          <w:rFonts w:ascii="Arial" w:cs="Arial" w:eastAsia="Arial" w:hAnsi="Arial"/>
          <w:b/>
          <w:bCs/>
          <w:color w:val="1F3C6E"/>
          <w:sz w:val="24"/>
          <w:szCs w:val="24"/>
        </w:rPr>
        <w:t xml:space="preserve">1. Overview and Motivation</w:t>
      </w:r>
    </w:p>
    <w:p>
      <w:pPr>
        <w:spacing w:after="100" w:before="80"/>
        <w:jc w:val="both"/>
      </w:pPr>
      <w:r>
        <w:rPr>
          <w:rFonts w:ascii="Arial" w:cs="Arial" w:eastAsia="Arial" w:hAnsi="Arial"/>
          <w:sz w:val="20"/>
          <w:szCs w:val="20"/>
        </w:rPr>
        <w:t xml:space="preserve">A single DDR sensor node classifies floating targets within its monitoring zone but cannot maintain target persistence when the target drifts beyond the zone boundary, and measures only the radial component of target velocity—the component along the sensor optical axis. Two-dimensional target velocity vector resolution, required for accurate drift prediction, requires at least two Doppler measurements at non-parallel look angles.</w:t>
      </w:r>
    </w:p>
    <w:p>
      <w:pPr>
        <w:spacing w:after="100" w:before="80"/>
        <w:jc w:val="both"/>
      </w:pPr>
      <w:r>
        <w:rPr>
          <w:rFonts w:ascii="Arial" w:cs="Arial" w:eastAsia="Arial" w:hAnsi="Arial"/>
          <w:sz w:val="20"/>
          <w:szCs w:val="20"/>
        </w:rPr>
        <w:t xml:space="preserve">The perimeter sensor network disclosed in this Part IV comprises a plurality of DDR sensor nodes arranged such that at least two nodes have non-parallel optical axes directed toward a common water surface area, and a centralized network processor that performs two-dimensional velocity vector resolution from the per-node radial Doppler measurements, computes drift-predicted future target positions, and generates focused-scan signals directing adjacent nodes to concentrate scan resources on predicted target positions.</w:t>
      </w:r>
    </w:p>
    <w:p>
      <w:pPr>
        <w:spacing w:after="100" w:before="80"/>
        <w:jc w:val="both"/>
      </w:pPr>
      <w:r>
        <w:rPr>
          <w:rFonts w:ascii="Arial" w:cs="Arial" w:eastAsia="Arial" w:hAnsi="Arial"/>
          <w:sz w:val="20"/>
          <w:szCs w:val="20"/>
        </w:rPr>
        <w:t xml:space="preserve">Applications include: person-in-water detection for crew overboard recovery and maritime search and rescue; perimeter security at harbors, offshore platforms, and maritime critical infrastructure against unauthorized surface swimmers, unmanned surface vessels, or improvised watercraft; and continuous monitoring of vessel approaches and restricted waterways.</w:t>
      </w:r>
    </w:p>
    <w:p>
      <w:pPr>
        <w:pStyle w:val="Heading2"/>
        <w:spacing w:after="120" w:before="280"/>
      </w:pPr>
      <w:r>
        <w:rPr>
          <w:rFonts w:ascii="Arial" w:cs="Arial" w:eastAsia="Arial" w:hAnsi="Arial"/>
          <w:b/>
          <w:bCs/>
          <w:color w:val="1F3C6E"/>
          <w:sz w:val="24"/>
          <w:szCs w:val="24"/>
        </w:rPr>
        <w:t xml:space="preserve">2. Per-Node DDR and Doppler Measurement</w:t>
      </w:r>
    </w:p>
    <w:p>
      <w:pPr>
        <w:spacing w:after="100" w:before="80"/>
        <w:jc w:val="both"/>
      </w:pPr>
      <w:r>
        <w:rPr>
          <w:rFonts w:ascii="Arial" w:cs="Arial" w:eastAsia="Arial" w:hAnsi="Arial"/>
          <w:sz w:val="20"/>
          <w:szCs w:val="20"/>
        </w:rPr>
        <w:t xml:space="preserve">Each sensor node implements the DDR measurement architecture described in the First Provisional and Part I: simultaneous orthogonally polarized FMCW illumination at two wavelengths, four-channel polarimetric receiver, DDR computation yielding material classification output, and FMCW coherent detection. The FMCW architecture provides both range and Doppler frequency shift from a single observation epoch without separate operating modes. The Doppler frequency shift f_D for a target with radial velocity v_r along the node optical axis is f_D = 2·v_r/λ, giving radial velocity v_r = f_D·λ/2.</w:t>
      </w:r>
    </w:p>
    <w:p>
      <w:pPr>
        <w:spacing w:after="100" w:before="80"/>
        <w:jc w:val="both"/>
      </w:pPr>
      <w:r>
        <w:rPr>
          <w:rFonts w:ascii="Arial" w:cs="Arial" w:eastAsia="Arial" w:hAnsi="Arial"/>
          <w:sz w:val="20"/>
          <w:szCs w:val="20"/>
        </w:rPr>
        <w:t xml:space="preserve">Each node independently computes a material classification output (DDR value and threshold comparison result) and a Doppler frequency shift measurement for each detected target. These outputs are transmitted to the centralized network processor over the node communication bus. The node communication bus may be a wired Ethernet network, a fiber optic serial bus, or a wireless mesh network depending on installation topology.</w:t>
      </w:r>
    </w:p>
    <w:p>
      <w:pPr>
        <w:pStyle w:val="Heading2"/>
        <w:spacing w:after="120" w:before="280"/>
      </w:pPr>
      <w:r>
        <w:rPr>
          <w:rFonts w:ascii="Arial" w:cs="Arial" w:eastAsia="Arial" w:hAnsi="Arial"/>
          <w:b/>
          <w:bCs/>
          <w:color w:val="1F3C6E"/>
          <w:sz w:val="24"/>
          <w:szCs w:val="24"/>
        </w:rPr>
        <w:t xml:space="preserve">3. Node Arrangement: Non-Parallel Optical Axes</w:t>
      </w:r>
    </w:p>
    <w:p>
      <w:pPr>
        <w:spacing w:after="100" w:before="80"/>
        <w:jc w:val="both"/>
      </w:pPr>
      <w:r>
        <w:rPr>
          <w:rFonts w:ascii="Arial" w:cs="Arial" w:eastAsia="Arial" w:hAnsi="Arial"/>
          <w:sz w:val="20"/>
          <w:szCs w:val="20"/>
        </w:rPr>
        <w:t xml:space="preserve">The nodes are arranged such that at least two nodes have non-parallel optical axes directed toward a common water surface area. The angular separation between contributing nodes optical axes at the target location determines the conditioning of the linear system for velocity vector resolution. Angular separations approaching zero make the coefficient matrix nearly singular, amplifying Doppler measurement noise in the resolved velocity vector—a condition known as geometric dilution of precision (GDOP). The system designer selects node spacing and orientation for the required GDOP given deployment-specific range, velocity, and uncertainty requirements.</w:t>
      </w:r>
    </w:p>
    <w:p>
      <w:pPr>
        <w:spacing w:after="100" w:before="80"/>
        <w:jc w:val="both"/>
      </w:pPr>
      <w:r>
        <w:rPr>
          <w:rFonts w:ascii="Arial" w:cs="Arial" w:eastAsia="Arial" w:hAnsi="Arial"/>
          <w:sz w:val="20"/>
          <w:szCs w:val="20"/>
        </w:rPr>
        <w:t xml:space="preserve">In a preferred vessel hull perimeter embodiment, nodes mounted on a hull rail with 2 to 5 meter spacing at 1.5 to 2.5 meters above water provide angular separations exceeding 30 degrees for targets within 10 meters of the hull, yielding well-conditioned velocity vector resolution. In a preferred shore installation embodiment, nodes with 5 to 20 meters horizontal spacing over a harbor approach zone provide angular separations of 20 to 60 degrees for targets at 10 to 100 meters range.</w:t>
      </w:r>
    </w:p>
    <w:p>
      <w:pPr>
        <w:spacing w:after="100" w:before="80"/>
        <w:jc w:val="both"/>
      </w:pPr>
      <w:r>
        <w:rPr>
          <w:rFonts w:ascii="Arial" w:cs="Arial" w:eastAsia="Arial" w:hAnsi="Arial"/>
          <w:sz w:val="20"/>
          <w:szCs w:val="20"/>
        </w:rPr>
        <w:t xml:space="preserve">The plurality of nodes may be mounted on a common mounting structure that positions the nodes in a fixed spatial relationship to one another. The common mounting structure maintains the non-parallel optical axis orientations required for two-dimensional velocity vector resolution and may take the form of a linear hull rail, an arc-shaped bracket, a fixed post array, or any other rigid structure providing defined node positions and orientations.</w:t>
      </w:r>
    </w:p>
    <w:p>
      <w:pPr>
        <w:pStyle w:val="Heading2"/>
        <w:spacing w:after="120" w:before="280"/>
      </w:pPr>
      <w:r>
        <w:rPr>
          <w:rFonts w:ascii="Arial" w:cs="Arial" w:eastAsia="Arial" w:hAnsi="Arial"/>
          <w:b/>
          <w:bCs/>
          <w:color w:val="1F3C6E"/>
          <w:sz w:val="24"/>
          <w:szCs w:val="24"/>
        </w:rPr>
        <w:t xml:space="preserve">4. Two-Dimensional Velocity Vector Resolution</w:t>
      </w:r>
    </w:p>
    <w:p>
      <w:pPr>
        <w:spacing w:after="100" w:before="80"/>
        <w:jc w:val="both"/>
      </w:pPr>
      <w:r>
        <w:rPr>
          <w:rFonts w:ascii="Arial" w:cs="Arial" w:eastAsia="Arial" w:hAnsi="Arial"/>
          <w:sz w:val="20"/>
          <w:szCs w:val="20"/>
        </w:rPr>
        <w:t xml:space="preserve">A target moving with velocity vector v = (v_x, v_y) produces a radial velocity at node i of v_{r,i} = v_x·cos(θ_i) + v_y·sin(θ_i), where θ_i is the azimuth angle of node i optical axis relative to a reference direction. With Doppler measurements from at least two nodes with non-parallel optical axes (θ_1 ≠ θ_2), the centralized network processor forms the linear system:</w:t>
      </w:r>
    </w:p>
    <w:p>
      <w:pPr>
        <w:spacing w:after="20" w:before="60"/>
        <w:ind w:left="720"/>
      </w:pPr>
      <w:r>
        <w:rPr>
          <w:rFonts w:ascii="Courier New" w:cs="Courier New" w:eastAsia="Courier New" w:hAnsi="Courier New"/>
          <w:sz w:val="18"/>
          <w:szCs w:val="18"/>
        </w:rPr>
        <w:t xml:space="preserve">[ cos(θ₁)  sin(θ₁) ] [ v_x ]   [ v_{r,1} ]</w:t>
      </w:r>
    </w:p>
    <w:p>
      <w:pPr>
        <w:spacing w:after="80" w:before="20"/>
        <w:ind w:left="720"/>
      </w:pPr>
      <w:r>
        <w:rPr>
          <w:rFonts w:ascii="Courier New" w:cs="Courier New" w:eastAsia="Courier New" w:hAnsi="Courier New"/>
          <w:sz w:val="18"/>
          <w:szCs w:val="18"/>
        </w:rPr>
        <w:t xml:space="preserve">[ cos(θ₂)  sin(θ₂) ] [ v_y ] = [ v_{r,2} ]</w:t>
      </w:r>
    </w:p>
    <w:p>
      <w:pPr>
        <w:spacing w:after="100" w:before="80"/>
        <w:jc w:val="both"/>
      </w:pPr>
      <w:r>
        <w:rPr>
          <w:rFonts w:ascii="Arial" w:cs="Arial" w:eastAsia="Arial" w:hAnsi="Arial"/>
          <w:sz w:val="20"/>
          <w:szCs w:val="20"/>
        </w:rPr>
        <w:t xml:space="preserve">Solving this system yields the 2D velocity vector components (v_x, v_y). With three or more contributing nodes, the system is overdetermined and a least-squares solution improves velocity vector accuracy and robustness to individual node measurement errors. The processor stores optical axis orientation angles θ_i for each node as configuration parameters established at installation time.</w:t>
      </w:r>
    </w:p>
    <w:p>
      <w:pPr>
        <w:spacing w:after="100" w:before="80"/>
        <w:jc w:val="both"/>
      </w:pPr>
      <w:r>
        <w:rPr>
          <w:rFonts w:ascii="Arial" w:cs="Arial" w:eastAsia="Arial" w:hAnsi="Arial"/>
          <w:sz w:val="20"/>
          <w:szCs w:val="20"/>
        </w:rPr>
        <w:t xml:space="preserve">The radial velocity formula v_r = f_D·λ/2 is applied at each contributing node to convert Doppler frequency shift measurements to physical velocity units before forming the linear system. The processor executes this computation in firmware upon receipt of Doppler measurements from the contributing nodes.</w:t>
      </w:r>
    </w:p>
    <w:p>
      <w:pPr>
        <w:pStyle w:val="Heading2"/>
        <w:spacing w:after="120" w:before="280"/>
      </w:pPr>
      <w:r>
        <w:rPr>
          <w:rFonts w:ascii="Arial" w:cs="Arial" w:eastAsia="Arial" w:hAnsi="Arial"/>
          <w:b/>
          <w:bCs/>
          <w:color w:val="1F3C6E"/>
          <w:sz w:val="24"/>
          <w:szCs w:val="24"/>
        </w:rPr>
        <w:t xml:space="preserve">5. Drift-Predictive Focused Scan Handoff</w:t>
      </w:r>
    </w:p>
    <w:p>
      <w:pPr>
        <w:spacing w:after="100" w:before="80"/>
        <w:jc w:val="both"/>
      </w:pPr>
      <w:r>
        <w:rPr>
          <w:rFonts w:ascii="Arial" w:cs="Arial" w:eastAsia="Arial" w:hAnsi="Arial"/>
          <w:sz w:val="20"/>
          <w:szCs w:val="20"/>
        </w:rPr>
        <w:t xml:space="preserve">Upon detection of a classification event—defined as at least one node generating a DDR material classification output exceeding the classification threshold—the network processor records the detection position and timestamp, then resolves the 2D velocity vector as described above.</w:t>
      </w:r>
    </w:p>
    <w:p>
      <w:pPr>
        <w:spacing w:after="100" w:before="80"/>
        <w:jc w:val="both"/>
      </w:pPr>
      <w:r>
        <w:rPr>
          <w:rFonts w:ascii="Arial" w:cs="Arial" w:eastAsia="Arial" w:hAnsi="Arial"/>
          <w:sz w:val="20"/>
          <w:szCs w:val="20"/>
        </w:rPr>
        <w:t xml:space="preserve">The processor computes the predicted target position at a future time using r(T+Δt) = r(T) + v·Δt. In a preferred embodiment, the projection time interval Δt is set equal to the ratio of the distance between adjacent monitoring zone centers and the magnitude of the resolved velocity vector, estimating the time at which the target will reach the adjacent monitoring zone boundary. This adaptive projection interval ensures the focused scan is directed to the zone transition region at approximately the time the target arrives.</w:t>
      </w:r>
    </w:p>
    <w:p>
      <w:pPr>
        <w:spacing w:after="100" w:before="80"/>
        <w:jc w:val="both"/>
      </w:pPr>
      <w:r>
        <w:rPr>
          <w:rFonts w:ascii="Arial" w:cs="Arial" w:eastAsia="Arial" w:hAnsi="Arial"/>
          <w:sz w:val="20"/>
          <w:szCs w:val="20"/>
        </w:rPr>
        <w:t xml:space="preserve">The processor generates a focused scan signal directing at least one node whose monitoring zone encompasses the predicted target position to allocate a predetermined fraction of its scan cycle to repeated observations of the predicted position zone. In a preferred embodiment, the predetermined fraction is not less than 50% of the total scan cycle duration, ensuring that the predicted zone receives at least half of all available scan time while broad-area surveillance continues on the remaining scan capacity.</w:t>
      </w:r>
    </w:p>
    <w:p>
      <w:pPr>
        <w:spacing w:after="100" w:before="80"/>
        <w:jc w:val="both"/>
      </w:pPr>
      <w:r>
        <w:rPr>
          <w:rFonts w:ascii="Arial" w:cs="Arial" w:eastAsia="Arial" w:hAnsi="Arial"/>
          <w:sz w:val="20"/>
          <w:szCs w:val="20"/>
        </w:rPr>
        <w:t xml:space="preserve">The processor maintains a latched alert state upon detection of the classification event. The alert state persists until the target is confirmed recovered, the target transitions beyond the coverage boundary of all network nodes, or a manual alert-clear command is received from an authorized operator. The latched alert ensures that the focused scan handoff mechanism continues operating as the target drifts across multiple zone boundaries without requiring a new classification event at each boundary.</w:t>
      </w:r>
    </w:p>
    <w:p>
      <w:pPr>
        <w:pStyle w:val="Heading2"/>
        <w:spacing w:after="120" w:before="280"/>
      </w:pPr>
      <w:r>
        <w:rPr>
          <w:rFonts w:ascii="Arial" w:cs="Arial" w:eastAsia="Arial" w:hAnsi="Arial"/>
          <w:b/>
          <w:bCs/>
          <w:color w:val="1F3C6E"/>
          <w:sz w:val="24"/>
          <w:szCs w:val="24"/>
        </w:rPr>
        <w:t xml:space="preserve">6. Zero-Velocity Graceful Degradation</w:t>
      </w:r>
    </w:p>
    <w:p>
      <w:pPr>
        <w:spacing w:after="100" w:before="80"/>
        <w:jc w:val="both"/>
      </w:pPr>
      <w:r>
        <w:rPr>
          <w:rFonts w:ascii="Arial" w:cs="Arial" w:eastAsia="Arial" w:hAnsi="Arial"/>
          <w:sz w:val="20"/>
          <w:szCs w:val="20"/>
        </w:rPr>
        <w:t xml:space="preserve">When the magnitude of the resolved two-dimensional target velocity vector is below a predetermined minimum velocity threshold—a typical value is 0.05 m/s for FMCW chirp parameters described in the First Provisional—the drift prediction is undefined because the target is stationary or moving too slowly for reliable Doppler velocity measurement. In this condition, the predicted target position defaults to the current detected target position, and the focused scan signal directs the monitoring nodes to concentrate scan time on the zone encompassing the current detected position. This graceful degradation ensures correct network behavior for stationary targets, including unconscious or exhausted person-in-water targets in calm conditions.</w:t>
      </w:r>
    </w:p>
    <w:p>
      <w:pPr>
        <w:pStyle w:val="Heading2"/>
        <w:spacing w:after="120" w:before="280"/>
      </w:pPr>
      <w:r>
        <w:rPr>
          <w:rFonts w:ascii="Arial" w:cs="Arial" w:eastAsia="Arial" w:hAnsi="Arial"/>
          <w:b/>
          <w:bCs/>
          <w:color w:val="1F3C6E"/>
          <w:sz w:val="24"/>
          <w:szCs w:val="24"/>
        </w:rPr>
        <w:t xml:space="preserve">7. Vessel Motion Compensation and Absolute Position</w:t>
      </w:r>
    </w:p>
    <w:p>
      <w:pPr>
        <w:spacing w:after="100" w:before="80"/>
        <w:jc w:val="both"/>
      </w:pPr>
      <w:r>
        <w:rPr>
          <w:rFonts w:ascii="Arial" w:cs="Arial" w:eastAsia="Arial" w:hAnsi="Arial"/>
          <w:sz w:val="20"/>
          <w:szCs w:val="20"/>
        </w:rPr>
        <w:t xml:space="preserve">In vessel-deployed configurations, each sensor node measures target velocity relative to the vessel. The centralized processor receives vessel velocity and heading data from a navigation system communicatively coupled to the processor—for example, a GPS receiver providing NMEA position and velocity data, or a vessel navigation bus interface. The processor computes the target absolute velocity vector as v_abs = v_relative + v_vessel, where v_relative is the resolved velocity vector in the vessel frame and v_vessel is the vessel velocity vector. The predicted target position is expressed in absolute geographic coordinates, accounting for vessel displacement during the projection interval.</w:t>
      </w:r>
    </w:p>
    <w:p>
      <w:pPr>
        <w:pStyle w:val="Heading2"/>
        <w:spacing w:after="120" w:before="280"/>
      </w:pPr>
      <w:r>
        <w:rPr>
          <w:rFonts w:ascii="Arial" w:cs="Arial" w:eastAsia="Arial" w:hAnsi="Arial"/>
          <w:b/>
          <w:bCs/>
          <w:color w:val="1F3C6E"/>
          <w:sz w:val="24"/>
          <w:szCs w:val="24"/>
        </w:rPr>
        <w:t xml:space="preserve">8. Node Synchronization</w:t>
      </w:r>
    </w:p>
    <w:p>
      <w:pPr>
        <w:spacing w:after="100" w:before="80"/>
        <w:jc w:val="both"/>
      </w:pPr>
      <w:r>
        <w:rPr>
          <w:rFonts w:ascii="Arial" w:cs="Arial" w:eastAsia="Arial" w:hAnsi="Arial"/>
          <w:sz w:val="20"/>
          <w:szCs w:val="20"/>
        </w:rPr>
        <w:t xml:space="preserve">Doppler frequency shift measurements from contributing nodes must represent substantially contemporaneous observations of the target velocity state for the linear system solution to be valid. The processor tags each received Doppler measurement with an acquisition timestamp. Measurement pairs whose timestamps differ by more than a predetermined synchronization interval are rejected from the velocity vector resolution computation. In one embodiment, the synchronization interval equals one FMCW chirp period. Nodes are synchronized to a common time reference distributed over the node communication bus—for example, a GPS 1PPS signal.</w:t>
      </w:r>
    </w:p>
    <w:p>
      <w:pPr>
        <w:pStyle w:val="Heading2"/>
        <w:spacing w:after="120" w:before="280"/>
      </w:pPr>
      <w:r>
        <w:rPr>
          <w:rFonts w:ascii="Arial" w:cs="Arial" w:eastAsia="Arial" w:hAnsi="Arial"/>
          <w:b/>
          <w:bCs/>
          <w:color w:val="1F3C6E"/>
          <w:sz w:val="24"/>
          <w:szCs w:val="24"/>
        </w:rPr>
        <w:t xml:space="preserve">9. Confidence-Weighted Classification Event</w:t>
      </w:r>
    </w:p>
    <w:p>
      <w:pPr>
        <w:spacing w:after="100" w:before="80"/>
        <w:jc w:val="both"/>
      </w:pPr>
      <w:r>
        <w:rPr>
          <w:rFonts w:ascii="Arial" w:cs="Arial" w:eastAsia="Arial" w:hAnsi="Arial"/>
          <w:sz w:val="20"/>
          <w:szCs w:val="20"/>
        </w:rPr>
        <w:t xml:space="preserve">In one embodiment, the network processor requires material classification outputs from at least two nodes to simultaneously exceed the classification threshold within a predetermined time window before declaring a classification event. This multi-node confirmation requirement reduces false positive detections from transient surface reflections, debris, or localized whitecaps that may cause a single node to produce a false positive DDR spike while adjacent nodes see no elevated DDR. Requiring coincident classification from two or more nodes substantially reduces the false alarm rate without significantly reducing detection probability for genuine targets, which produce persistent DDR elevation across multiple observation epochs.</w:t>
      </w:r>
    </w:p>
    <w:p>
      <w:pPr>
        <w:pStyle w:val="Heading2"/>
        <w:spacing w:after="120" w:before="280"/>
      </w:pPr>
      <w:r>
        <w:rPr>
          <w:rFonts w:ascii="Arial" w:cs="Arial" w:eastAsia="Arial" w:hAnsi="Arial"/>
          <w:b/>
          <w:bCs/>
          <w:color w:val="1F3C6E"/>
          <w:sz w:val="24"/>
          <w:szCs w:val="24"/>
        </w:rPr>
        <w:t xml:space="preserve">10. Pre-Alert Sub-Threshold Track Maintenance</w:t>
      </w:r>
    </w:p>
    <w:p>
      <w:pPr>
        <w:spacing w:after="100" w:before="80"/>
        <w:jc w:val="both"/>
      </w:pPr>
      <w:r>
        <w:rPr>
          <w:rFonts w:ascii="Arial" w:cs="Arial" w:eastAsia="Arial" w:hAnsi="Arial"/>
          <w:sz w:val="20"/>
          <w:szCs w:val="20"/>
        </w:rPr>
        <w:t xml:space="preserve">The network processor maintains continuous target tracks for all detected contacts producing a DDR value above a sub-threshold monitoring level that is below the full classification threshold. When a contact transitions from sub-threshold to above-threshold DDR and a classification event is declared, a track history and velocity estimate are already available at the detection time. This reduces the latency of the initial velocity vector resolution and predicted position computation because the processor does not need to wait for post-detection Doppler measurements before computing the first drift prediction.</w:t>
      </w:r>
    </w:p>
    <w:p>
      <w:pPr>
        <w:pStyle w:val="Heading2"/>
        <w:spacing w:after="120" w:before="280"/>
      </w:pPr>
      <w:r>
        <w:rPr>
          <w:rFonts w:ascii="Arial" w:cs="Arial" w:eastAsia="Arial" w:hAnsi="Arial"/>
          <w:b/>
          <w:bCs/>
          <w:color w:val="1F3C6E"/>
          <w:sz w:val="24"/>
          <w:szCs w:val="24"/>
        </w:rPr>
        <w:t xml:space="preserve">11. Node Health Monitoring via Network DDR Consensus</w:t>
      </w:r>
    </w:p>
    <w:p>
      <w:pPr>
        <w:spacing w:after="100" w:before="80"/>
        <w:jc w:val="both"/>
      </w:pPr>
      <w:r>
        <w:rPr>
          <w:rFonts w:ascii="Arial" w:cs="Arial" w:eastAsia="Arial" w:hAnsi="Arial"/>
          <w:sz w:val="20"/>
          <w:szCs w:val="20"/>
        </w:rPr>
        <w:t xml:space="preserve">The network processor monitors the water surface DDR values reported by each node continuously. In a healthy network of nominally identical nodes directed at ocean surface water, the water surface DDR should be consistent across all nodes—approximately 0.01 under calm conditions, slightly elevated but bounded under active sea states. Divergence of a single node's reported water surface DDR from the network consensus indicates a calibration fault, optical contamination (salt spray adhesion, biofouling of the aperture), or component degradation at that node.</w:t>
      </w:r>
    </w:p>
    <w:p>
      <w:pPr>
        <w:spacing w:after="100" w:before="80"/>
        <w:jc w:val="both"/>
      </w:pPr>
      <w:r>
        <w:rPr>
          <w:rFonts w:ascii="Arial" w:cs="Arial" w:eastAsia="Arial" w:hAnsi="Arial"/>
          <w:sz w:val="20"/>
          <w:szCs w:val="20"/>
        </w:rPr>
        <w:t xml:space="preserve">This cross-node health monitoring is architecturally distinct from the single-sensor calibration method of Part II. Part II detects drift within a single sensor by comparing its current readings to its own historical baseline over time. The network health monitoring method of this section detects divergence of one node from its peers at a point in time. A failure mode where a single node's baseline drifts gradually—in a way that its own historical baseline tracks the drift and does not flag a fault—is detectable by the network consensus method because the drifted node's readings diverge from the consensus of healthy peer nodes.</w:t>
      </w:r>
    </w:p>
    <w:p>
      <w:pPr>
        <w:pStyle w:val="Heading2"/>
        <w:spacing w:after="120" w:before="280"/>
      </w:pPr>
      <w:r>
        <w:rPr>
          <w:rFonts w:ascii="Arial" w:cs="Arial" w:eastAsia="Arial" w:hAnsi="Arial"/>
          <w:b/>
          <w:bCs/>
          <w:color w:val="1F3C6E"/>
          <w:sz w:val="24"/>
          <w:szCs w:val="24"/>
        </w:rPr>
        <w:t xml:space="preserve">12. Overlapping Zone Geometry</w:t>
      </w:r>
    </w:p>
    <w:p>
      <w:pPr>
        <w:spacing w:after="100" w:before="80"/>
        <w:jc w:val="both"/>
      </w:pPr>
      <w:r>
        <w:rPr>
          <w:rFonts w:ascii="Arial" w:cs="Arial" w:eastAsia="Arial" w:hAnsi="Arial"/>
          <w:sz w:val="20"/>
          <w:szCs w:val="20"/>
        </w:rPr>
        <w:t xml:space="preserve">In a preferred embodiment, each node's monitoring zone overlaps at least one adjacent node's monitoring zone such that a target in the overlapping region is simultaneously detectable by at least two nodes. Overlapping zones eliminate coverage gaps at zone boundaries and enable continuous target track maintenance during zone transitions: a target drifting from one zone to an adjacent zone remains visible to at least one node throughout the transition. The overlap width is selected to be at least the width of the uncertainty in the target position, typically 1 to 3 meters for the FMCW DDR sensor parameters described in the First Provisional.</w:t>
      </w:r>
    </w:p>
    <w:p>
      <w:pPr>
        <w:pStyle w:val="Heading2"/>
        <w:spacing w:after="120" w:before="280"/>
      </w:pPr>
      <w:r>
        <w:rPr>
          <w:rFonts w:ascii="Arial" w:cs="Arial" w:eastAsia="Arial" w:hAnsi="Arial"/>
          <w:b/>
          <w:bCs/>
          <w:color w:val="1F3C6E"/>
          <w:sz w:val="24"/>
          <w:szCs w:val="24"/>
        </w:rPr>
        <w:t xml:space="preserve">13. Velocity Vector Uncertainty Propagation</w:t>
      </w:r>
    </w:p>
    <w:p>
      <w:pPr>
        <w:spacing w:after="100" w:before="80"/>
        <w:jc w:val="both"/>
      </w:pPr>
      <w:r>
        <w:rPr>
          <w:rFonts w:ascii="Arial" w:cs="Arial" w:eastAsia="Arial" w:hAnsi="Arial"/>
          <w:sz w:val="20"/>
          <w:szCs w:val="20"/>
        </w:rPr>
        <w:t xml:space="preserve">The network processor computes an uncertainty in the two-dimensional target velocity vector based on the signal-to-noise ratio of the Doppler frequency shift measurements and the geometric configuration of the contributing nodes. The velocity vector uncertainty is propagated through the predicted target position computation to generate a predicted position uncertainty region—a zone centered on the predicted position with width proportional to velocity uncertainty times projection interval. The focused scan signal directs all nodes whose monitoring zones intersect the predicted position uncertainty region, ensuring complete coverage of the plausible target position range.</w:t>
      </w:r>
    </w:p>
    <w:p>
      <w:r>
        <w:br w:type="page"/>
      </w:r>
    </w:p>
    <w:p>
      <w:pPr>
        <w:pStyle w:val="Heading1"/>
        <w:pBdr>
          <w:bottom w:val="single" w:color="2E75B6" w:sz="6" w:space="1"/>
        </w:pBdr>
        <w:spacing w:after="160" w:before="360"/>
      </w:pPr>
      <w:r>
        <w:rPr>
          <w:rFonts w:ascii="Arial" w:cs="Arial" w:eastAsia="Arial" w:hAnsi="Arial"/>
          <w:b/>
          <w:bCs/>
          <w:sz w:val="28"/>
          <w:szCs w:val="28"/>
        </w:rPr>
        <w:t xml:space="preserve">Part V — Representative Applications</w:t>
      </w:r>
    </w:p>
    <w:p>
      <w:pPr>
        <w:pStyle w:val="Heading2"/>
        <w:spacing w:after="120" w:before="280"/>
      </w:pPr>
      <w:r>
        <w:rPr>
          <w:rFonts w:ascii="Arial" w:cs="Arial" w:eastAsia="Arial" w:hAnsi="Arial"/>
          <w:b/>
          <w:bCs/>
          <w:color w:val="1F3C6E"/>
          <w:sz w:val="24"/>
          <w:szCs w:val="24"/>
        </w:rPr>
        <w:t xml:space="preserve">1. Maritime Search and Rescue (Single-Node and Perimeter Network)</w:t>
      </w:r>
    </w:p>
    <w:p>
      <w:pPr>
        <w:spacing w:after="100" w:before="80"/>
        <w:jc w:val="both"/>
      </w:pPr>
      <w:r>
        <w:rPr>
          <w:rFonts w:ascii="Arial" w:cs="Arial" w:eastAsia="Arial" w:hAnsi="Arial"/>
          <w:sz w:val="20"/>
          <w:szCs w:val="20"/>
        </w:rPr>
        <w:t xml:space="preserve">Vessel-mounted or shore-fixed DDR sensors classify floating objects in maritime search and rescue operations. Ocean surface water provides a near-zero DDR background against which persons in water (through clothing and skin), life-saving equipment (life jackets, life rafts, survival suits), and vessel debris produce elevated DDR signatures. Automated flagging of high-priority search contacts reduces operator workload and accelerates target-to-contact time during critical survival windows.</w:t>
      </w:r>
    </w:p>
    <w:p>
      <w:pPr>
        <w:spacing w:after="100" w:before="80"/>
        <w:jc w:val="both"/>
      </w:pPr>
      <w:r>
        <w:rPr>
          <w:rFonts w:ascii="Arial" w:cs="Arial" w:eastAsia="Arial" w:hAnsi="Arial"/>
          <w:sz w:val="20"/>
          <w:szCs w:val="20"/>
        </w:rPr>
        <w:t xml:space="preserve">In single-node operation, FMCW velocity measurement provides drift pattern analysis. Persons in water, life jackets, and vessel debris exhibit distinct drift behaviors under identical current and wind conditions, enabling classification by drift signature and prediction of future positions to optimize search patterns. In perimeter network operation, multi-node 2D velocity vector resolution provides more accurate drift prediction and maintains contact persistence across zone boundaries as the target drifts.</w:t>
      </w:r>
    </w:p>
    <w:p>
      <w:pPr>
        <w:pStyle w:val="Heading2"/>
        <w:spacing w:after="120" w:before="280"/>
      </w:pPr>
      <w:r>
        <w:rPr>
          <w:rFonts w:ascii="Arial" w:cs="Arial" w:eastAsia="Arial" w:hAnsi="Arial"/>
          <w:b/>
          <w:bCs/>
          <w:color w:val="1F3C6E"/>
          <w:sz w:val="24"/>
          <w:szCs w:val="24"/>
        </w:rPr>
        <w:t xml:space="preserve">2. Airport Perimeter Drone-Bird Discrimination</w:t>
      </w:r>
    </w:p>
    <w:p>
      <w:pPr>
        <w:spacing w:after="100" w:before="80"/>
        <w:jc w:val="both"/>
      </w:pPr>
      <w:r>
        <w:rPr>
          <w:rFonts w:ascii="Arial" w:cs="Arial" w:eastAsia="Arial" w:hAnsi="Arial"/>
          <w:sz w:val="20"/>
          <w:szCs w:val="20"/>
        </w:rPr>
        <w:t xml:space="preserve">Airport perimeter radar detects and tracks airborne contacts but cannot classify material composition, requiring human review of every drone and bird contact. Carbon fiber composite UAV hulls, fiberglass and plastic drone bodies, and biological targets produce distinct DDR signatures against a near-zero atmospheric background. The DDR sensor integrates with existing radar track output via standard NMEA interfaces. The shared-aperture acquisition architecture of Part III resolves the radar position uncertainty mismatch through closed-loop centroiding before committing to the narrow-beam classification pulse. The contact suppression list mechanism of Phase 7 prevents repeated unnecessary illumination of contacts previously classified as biological.</w:t>
      </w:r>
    </w:p>
    <w:p>
      <w:pPr>
        <w:spacing w:after="100" w:before="80"/>
        <w:jc w:val="both"/>
      </w:pPr>
      <w:r>
        <w:rPr>
          <w:rFonts w:ascii="Arial" w:cs="Arial" w:eastAsia="Arial" w:hAnsi="Arial"/>
          <w:sz w:val="20"/>
          <w:szCs w:val="20"/>
        </w:rPr>
        <w:t xml:space="preserve">Spoofing resistance through DDR variance monitoring addresses the adversarial scenario of biological coating applied to drone surfaces. High-speed airflow during flight causes rapid evaporative drying of surface coatings, transitioning DDR values from the biological coating range toward the underlying composite substrate within approximately 60 seconds. Confidence scoring based on DDR variance over consecutive measurement epochs distinguishes stable biological signatures from decaying coating signatures.</w:t>
      </w:r>
    </w:p>
    <w:p>
      <w:pPr>
        <w:pStyle w:val="Heading2"/>
        <w:spacing w:after="120" w:before="280"/>
      </w:pPr>
      <w:r>
        <w:rPr>
          <w:rFonts w:ascii="Arial" w:cs="Arial" w:eastAsia="Arial" w:hAnsi="Arial"/>
          <w:b/>
          <w:bCs/>
          <w:color w:val="1F3C6E"/>
          <w:sz w:val="24"/>
          <w:szCs w:val="24"/>
        </w:rPr>
        <w:t xml:space="preserve">3. Port Authority and Maritime Critical Infrastructure Perimeter Security</w:t>
      </w:r>
    </w:p>
    <w:p>
      <w:pPr>
        <w:spacing w:after="100" w:before="80"/>
        <w:jc w:val="both"/>
      </w:pPr>
      <w:r>
        <w:rPr>
          <w:rFonts w:ascii="Arial" w:cs="Arial" w:eastAsia="Arial" w:hAnsi="Arial"/>
          <w:sz w:val="20"/>
          <w:szCs w:val="20"/>
        </w:rPr>
        <w:t xml:space="preserve">The perimeter sensor network of Part IV provides continuous automated monitoring of harbor approaches, vessel berths, offshore platform perimeters, and restricted waterways. DDR material classification discriminates synthetic materials—wetsuit neoprene, inflatable hull fabric, fiberglass—from natural floating debris, reducing false alarm rates from marine debris and wildlife. The fixed infrastructure deployment embodiment—nodes mounted at fixed elevated positions—provides unobstructed coverage of the protected water surface area without vessel motion compensation requirements. Multi-node Doppler velocity resolution enables early warning of approaching threats with accurate intercept trajectory prediction.</w:t>
      </w:r>
    </w:p>
    <w:p>
      <w:pPr>
        <w:pStyle w:val="Heading2"/>
        <w:spacing w:after="120" w:before="280"/>
      </w:pPr>
      <w:r>
        <w:rPr>
          <w:rFonts w:ascii="Arial" w:cs="Arial" w:eastAsia="Arial" w:hAnsi="Arial"/>
          <w:b/>
          <w:bCs/>
          <w:color w:val="1F3C6E"/>
          <w:sz w:val="24"/>
          <w:szCs w:val="24"/>
        </w:rPr>
        <w:t xml:space="preserve">4. Radar Augmentation for Drone Classification</w:t>
      </w:r>
    </w:p>
    <w:p>
      <w:pPr>
        <w:spacing w:after="100" w:before="80"/>
        <w:jc w:val="both"/>
      </w:pPr>
      <w:r>
        <w:rPr>
          <w:rFonts w:ascii="Arial" w:cs="Arial" w:eastAsia="Arial" w:hAnsi="Arial"/>
          <w:sz w:val="20"/>
          <w:szCs w:val="20"/>
        </w:rPr>
        <w:t xml:space="preserve">The DDR sensor integrates with existing radar systems as a secondary material classification layer across a range of fixed and mobile platforms. The radar detects and tracks contacts; the DDR sensor classifies material composition on cued contacts. The pulsed ToF ranging embodiment is well-suited to this application: high pulse repetition frequency enables rapid sequential classification of a dense contact queue. The integration adds material classification capability to installed radar infrastructure without modifying radar hardware, operator workflow, or command-and-control interfaces.</w:t>
      </w:r>
    </w:p>
    <w:p>
      <w:pPr>
        <w:pStyle w:val="Heading2"/>
        <w:spacing w:after="120" w:before="280"/>
      </w:pPr>
      <w:r>
        <w:rPr>
          <w:rFonts w:ascii="Arial" w:cs="Arial" w:eastAsia="Arial" w:hAnsi="Arial"/>
          <w:b/>
          <w:bCs/>
          <w:color w:val="1F3C6E"/>
          <w:sz w:val="24"/>
          <w:szCs w:val="24"/>
        </w:rPr>
        <w:t xml:space="preserve">5. Autonomous Vehicle Sensing</w:t>
      </w:r>
    </w:p>
    <w:p>
      <w:pPr>
        <w:spacing w:after="100" w:before="80"/>
        <w:jc w:val="both"/>
      </w:pPr>
      <w:r>
        <w:rPr>
          <w:rFonts w:ascii="Arial" w:cs="Arial" w:eastAsia="Arial" w:hAnsi="Arial"/>
          <w:sz w:val="20"/>
          <w:szCs w:val="20"/>
        </w:rPr>
        <w:t xml:space="preserve">DDR material classification enhances autonomous vehicle sensor suites for object classification by material composition. Applications include autonomous maritime vessels (USVs), autonomous ground vehicles, and autonomous aerial systems. Material classification provides information complementary to geometric and kinematic sensing: a DDR reading distinguishes a fiberglass buoy from a biological debris cluster at the same geometric size and range, enabling the autonomous vehicle navigation controller to apply material-appropriate collision avoidance or investigation behaviors.</w:t>
      </w:r>
    </w:p>
    <w:p>
      <w:r>
        <w:br w:type="page"/>
      </w:r>
    </w:p>
    <w:p>
      <w:pPr>
        <w:pStyle w:val="Heading1"/>
        <w:pBdr>
          <w:bottom w:val="single" w:color="2E75B6" w:sz="6" w:space="1"/>
        </w:pBdr>
        <w:spacing w:after="160" w:before="360"/>
      </w:pPr>
      <w:r>
        <w:rPr>
          <w:rFonts w:ascii="Arial" w:cs="Arial" w:eastAsia="Arial" w:hAnsi="Arial"/>
          <w:b/>
          <w:bCs/>
          <w:sz w:val="28"/>
          <w:szCs w:val="28"/>
        </w:rPr>
        <w:t xml:space="preserve">Part VI — Summary of Written Description Support</w:t>
      </w:r>
    </w:p>
    <w:p>
      <w:pPr>
        <w:spacing w:after="100" w:before="80"/>
        <w:jc w:val="both"/>
      </w:pPr>
      <w:r>
        <w:rPr>
          <w:rFonts w:ascii="Arial" w:cs="Arial" w:eastAsia="Arial" w:hAnsi="Arial"/>
          <w:sz w:val="20"/>
          <w:szCs w:val="20"/>
        </w:rPr>
        <w:t xml:space="preserve">This supplemental provisional application, together with U.S. Provisional Application No. 63/984,145 (incorporated herein by reference), provides written description support for the following subject matter:</w:t>
      </w:r>
    </w:p>
    <w:p>
      <w:pPr>
        <w:spacing w:after="100" w:before="80"/>
        <w:jc w:val="both"/>
      </w:pPr>
      <w:r>
        <w:rPr>
          <w:rFonts w:ascii="Arial" w:cs="Arial" w:eastAsia="Arial" w:hAnsi="Arial"/>
          <w:b/>
          <w:bCs/>
          <w:sz w:val="20"/>
          <w:szCs w:val="20"/>
        </w:rPr>
        <w:t xml:space="preserve">DDR Core: </w:t>
      </w:r>
      <w:r>
        <w:rPr>
          <w:rFonts w:ascii="Arial" w:cs="Arial" w:eastAsia="Arial" w:hAnsi="Arial"/>
          <w:sz w:val="20"/>
          <w:szCs w:val="20"/>
        </w:rPr>
        <w:t xml:space="preserve">DDR measurement method (4-channel, simultaneous and sequential); pulsed ToF and FMCW ranging; water-referenced threshold; ambient rejection; symmetric scatterer self-referencing; sequential polarization switching; operator display; instrument fault detection; external sensor interface with NMEA; DDR variance and confidence scoring; Galilean beam expander with worm-gear drive; tunable FOV; dual 1D phased array; post-test pairing; single-source SSB architecture; thermal aperture purge.</w:t>
      </w:r>
    </w:p>
    <w:p>
      <w:pPr>
        <w:spacing w:after="100" w:before="80"/>
        <w:jc w:val="both"/>
      </w:pPr>
      <w:r>
        <w:rPr>
          <w:rFonts w:ascii="Arial" w:cs="Arial" w:eastAsia="Arial" w:hAnsi="Arial"/>
          <w:b/>
          <w:bCs/>
          <w:sz w:val="20"/>
          <w:szCs w:val="20"/>
        </w:rPr>
        <w:t xml:space="preserve">Water Calibration: </w:t>
      </w:r>
      <w:r>
        <w:rPr>
          <w:rFonts w:ascii="Arial" w:cs="Arial" w:eastAsia="Arial" w:hAnsi="Arial"/>
          <w:sz w:val="20"/>
          <w:szCs w:val="20"/>
        </w:rPr>
        <w:t xml:space="preserve">Periodic automatic, continuous opportunistic, and manual calibration modes; spatial consistency evaluation; quorum agreement check; EWMA baseline update; rate clamping; adaptive proximity threshold; spatial distribution requirement; dual classification output; startup initialization; tiered fault severity; multi-region cross-validation; predictive maintenance trend analysis; calibration state logging; time-weighted confidence; distinction from CFAR.</w:t>
      </w:r>
    </w:p>
    <w:p>
      <w:pPr>
        <w:spacing w:after="100" w:before="80"/>
        <w:jc w:val="both"/>
      </w:pPr>
      <w:r>
        <w:rPr>
          <w:rFonts w:ascii="Arial" w:cs="Arial" w:eastAsia="Arial" w:hAnsi="Arial"/>
          <w:b/>
          <w:bCs/>
          <w:sz w:val="20"/>
          <w:szCs w:val="20"/>
        </w:rPr>
        <w:t xml:space="preserve">Dynamic FOV: </w:t>
      </w:r>
      <w:r>
        <w:rPr>
          <w:rFonts w:ascii="Arial" w:cs="Arial" w:eastAsia="Arial" w:hAnsi="Arial"/>
          <w:sz w:val="20"/>
          <w:szCs w:val="20"/>
        </w:rPr>
        <w:t xml:space="preserve">Shared-aperture non-polarizing beamsplitter architecture; CW wide-mode acquisition; SWIR focal plane array centroiding; closed-loop pointing iteration; centering confirmation signal; pulsed narrow-mode classification transition; net signal gain relationship (tap loss vs. beam-narrowing gain); inherent geometric boresight maintenance; Galilean beam expander; worm-gear self-locking drive; suppression list; sky target illumination; dual-use source; NBS positioned before PBS.</w:t>
      </w:r>
    </w:p>
    <w:p>
      <w:pPr>
        <w:spacing w:after="100" w:before="80"/>
        <w:jc w:val="both"/>
      </w:pPr>
      <w:r>
        <w:rPr>
          <w:rFonts w:ascii="Arial" w:cs="Arial" w:eastAsia="Arial" w:hAnsi="Arial"/>
          <w:b/>
          <w:bCs/>
          <w:sz w:val="20"/>
          <w:szCs w:val="20"/>
        </w:rPr>
        <w:t xml:space="preserve">Perimeter Grid: </w:t>
      </w:r>
      <w:r>
        <w:rPr>
          <w:rFonts w:ascii="Arial" w:cs="Arial" w:eastAsia="Arial" w:hAnsi="Arial"/>
          <w:sz w:val="20"/>
          <w:szCs w:val="20"/>
        </w:rPr>
        <w:t xml:space="preserve">Multi-node topology with non-parallel optical axes; per-node FMCW DDR and Doppler; centralized network processor; linear system for 2D velocity vector resolution; radial velocity decomposition; drift-predictive focused scan handoff; adaptive projection interval; hull rail and shore/fixed mounting; overlapping zone geometry; GPS-integrated absolute velocity; alert latch; confidence-weighted multi-node classification event; node synchronization with timestamps; zero-velocity graceful degradation; scan cycle allocation floor; velocity vector uncertainty propagation; pre-alert sub-threshold track maintenance; node health via network DDR consensus.</w:t>
      </w:r>
    </w:p>
    <w:p>
      <w:r>
        <w:br w:type="page"/>
      </w:r>
    </w:p>
    <w:p>
      <w:pPr>
        <w:pStyle w:val="Heading1"/>
        <w:pBdr>
          <w:bottom w:val="single" w:color="2E75B6" w:sz="6" w:space="1"/>
        </w:pBdr>
        <w:spacing w:after="160" w:before="360"/>
      </w:pPr>
      <w:r>
        <w:rPr>
          <w:rFonts w:ascii="Arial" w:cs="Arial" w:eastAsia="Arial" w:hAnsi="Arial"/>
          <w:b/>
          <w:bCs/>
          <w:sz w:val="28"/>
          <w:szCs w:val="28"/>
        </w:rPr>
        <w:t xml:space="preserve">Abstract</w:t>
      </w:r>
    </w:p>
    <w:p>
      <w:pPr>
        <w:spacing w:after="100" w:before="80"/>
        <w:jc w:val="both"/>
      </w:pPr>
      <w:r>
        <w:rPr>
          <w:rFonts w:ascii="Arial" w:cs="Arial" w:eastAsia="Arial" w:hAnsi="Arial"/>
          <w:sz w:val="20"/>
          <w:szCs w:val="20"/>
        </w:rPr>
        <w:t xml:space="preserve">A supplemental provisional patent application disclosing four coordinated inventions extending a dual orthogonal one-dimensional differential depolarization response (DDR) LiDAR sensor architecture. First, additional DDR core embodiments are disclosed including pulsed time-of-flight ranging, sequential polarization switching, external sensor cueing via standard NMEA interfaces, DDR variance-based confidence scoring with anti-spoofing analysis, operator display of dual depolarization ratios, and formal instrument fault detection by background medium measurement. Second, a robust adaptive environmental calibration system exploits symmetric scattering media as continuous calibration references, applying spatial consistency evaluation and quorum agreement checks to distinguish instrument drift and environmental change from calibration contamination before permitting baseline updates. Three calibration modes are disclosed: periodic automatic, continuous opportunistic, and manual with startup initialization. Third, a shared-aperture beamsplitter architecture enables autonomous closed-loop target acquisition from external detection sensor contacts, routing returned optical energy to both a short-wave infrared focal plane array for beam-axis centroiding and a DDR receiver for material classification, with an adaptive Galilean beam expander providing a wide acquisition footprint and a narrow classification footprint such that the net classification signal improvement from beam narrowing exceeds the signal reduction from the beamsplitter tap. Fourth, a perimeter sensor network arranges multiple FMCW DDR sensor nodes with non-parallel optical axes and employs a centralized network processor to resolve two-dimensional target velocity vectors from per-node radial Doppler measurements through geometric linear system decomposition, generating drift-predictive focused-scan handoff signals to adjacent nodes and maintaining target persistence across zone boundaries.</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60" w:before="360"/>
      <w:outlineLvl w:val="0"/>
    </w:pPr>
    <w:rPr>
      <w:rFonts w:ascii="Arial" w:cs="Arial" w:eastAsia="Arial" w:hAnsi="Arial"/>
      <w:b/>
      <w:bCs/>
      <w:color w:val="1F3C6E"/>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200"/>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2026-02-26T01:12:38.970Z</dcterms:created>
  <dcterms:modified xsi:type="dcterms:W3CDTF">2026-02-26T01:12:38.972Z</dcterms:modified>
</cp:coreProperties>
</file>

<file path=docProps/custom.xml><?xml version="1.0" encoding="utf-8"?>
<Properties xmlns="http://schemas.openxmlformats.org/officeDocument/2006/custom-properties" xmlns:vt="http://schemas.openxmlformats.org/officeDocument/2006/docPropsVTypes"/>
</file>