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1F3864"/>
        <w:spacing w:before="0" w:after="0"/>
        <w:ind w:start="0" w:end="0"/>
        <w:jc w:val="center"/>
        <w:rPr/>
      </w:pPr>
      <w:r>
        <w:rPr>
          <w:rFonts w:eastAsia="Arial" w:cs="Arial"/>
          <w:b/>
          <w:bCs/>
          <w:color w:val="FFFFFF"/>
          <w:sz w:val="28"/>
          <w:szCs w:val="28"/>
        </w:rPr>
        <w:t>SBIR PHASE I — BUDGET VOLUME</w:t>
      </w:r>
    </w:p>
    <w:p>
      <w:pPr>
        <w:pStyle w:val="Normal"/>
        <w:spacing w:before="160" w:after="80"/>
        <w:jc w:val="center"/>
        <w:rPr/>
      </w:pPr>
      <w:r>
        <w:rPr>
          <w:rFonts w:eastAsia="Arial" w:cs="Arial"/>
          <w:b/>
          <w:bCs/>
          <w:color w:val="1F3864"/>
          <w:sz w:val="22"/>
          <w:szCs w:val="22"/>
        </w:rPr>
        <w:t>Differential Depolarization Response Sensor for Maritime SAR Material Discrimination</w:t>
      </w:r>
    </w:p>
    <w:p>
      <w:pPr>
        <w:pStyle w:val="Normal"/>
        <w:spacing w:before="0" w:after="200"/>
        <w:jc w:val="center"/>
        <w:rPr/>
      </w:pPr>
      <w:r>
        <w:rPr>
          <w:rFonts w:eastAsia="Arial" w:cs="Arial"/>
          <w:b/>
          <w:bCs/>
          <w:color w:val="000000"/>
          <w:sz w:val="20"/>
          <w:szCs w:val="20"/>
        </w:rPr>
        <w:t xml:space="preserve">Principal Investigator: </w:t>
      </w:r>
      <w:r>
        <w:rPr>
          <w:rFonts w:eastAsia="Arial" w:cs="Arial"/>
          <w:color w:val="000000"/>
          <w:sz w:val="20"/>
          <w:szCs w:val="20"/>
        </w:rPr>
        <w:t xml:space="preserve">Samuel C. Ryan  </w:t>
      </w:r>
      <w:r>
        <w:rPr>
          <w:rFonts w:eastAsia="Arial" w:cs="Arial"/>
          <w:b/>
          <w:bCs/>
          <w:color w:val="000000"/>
          <w:sz w:val="20"/>
          <w:szCs w:val="20"/>
        </w:rPr>
        <w:t xml:space="preserve">  |  Period of Performance: </w:t>
      </w:r>
      <w:r>
        <w:rPr>
          <w:rFonts w:eastAsia="Arial" w:cs="Arial"/>
          <w:color w:val="000000"/>
          <w:sz w:val="20"/>
          <w:szCs w:val="20"/>
        </w:rPr>
        <w:t xml:space="preserve">6 Months  </w:t>
      </w:r>
      <w:r>
        <w:rPr>
          <w:rFonts w:eastAsia="Arial" w:cs="Arial"/>
          <w:b/>
          <w:bCs/>
          <w:color w:val="000000"/>
          <w:sz w:val="20"/>
          <w:szCs w:val="20"/>
        </w:rPr>
        <w:t xml:space="preserve">  |  Patent Pending</w:t>
      </w:r>
    </w:p>
    <w:p>
      <w:pPr>
        <w:pStyle w:val="Normal"/>
        <w:pBdr>
          <w:left w:val="single" w:sz="12" w:space="8" w:color="1F3864"/>
        </w:pBdr>
        <w:spacing w:before="0" w:after="160"/>
        <w:ind w:start="240"/>
        <w:rPr/>
      </w:pPr>
      <w:r>
        <w:rPr>
          <w:rFonts w:eastAsia="Arial" w:cs="Arial"/>
          <w:i/>
          <w:iCs/>
          <w:color w:val="444444"/>
          <w:sz w:val="18"/>
          <w:szCs w:val="18"/>
        </w:rPr>
        <w:t>This Budget Volume is the companion document to the Phase I Technical Volume submitted by Novel Systems Engineering, LLC for the same solicitation. All milestone references correspond to Section 4 of the Technical Volume; all component specifications correspond to Section 3.2; all target material references correspond to Section 3.4.</w:t>
      </w:r>
    </w:p>
    <w:p>
      <w:pPr>
        <w:pStyle w:val="Normal"/>
        <w:pBdr>
          <w:bottom w:val="single" w:sz="6" w:space="2" w:color="1F3864"/>
        </w:pBdr>
        <w:spacing w:before="240" w:after="80"/>
        <w:rPr/>
      </w:pPr>
      <w:r>
        <w:rPr>
          <w:rFonts w:eastAsia="Arial" w:cs="Arial"/>
          <w:b/>
          <w:bCs/>
          <w:color w:val="1F3864"/>
          <w:sz w:val="20"/>
          <w:szCs w:val="20"/>
        </w:rPr>
        <w:t>Budget Summary</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6960"/>
        <w:gridCol w:w="2400"/>
      </w:tblGrid>
      <w:tr>
        <w:trPr/>
        <w:tc>
          <w:tcPr>
            <w:tcW w:w="696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Budget Category</w:t>
            </w:r>
          </w:p>
        </w:tc>
        <w:tc>
          <w:tcPr>
            <w:tcW w:w="24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Amount</w:t>
            </w:r>
          </w:p>
        </w:tc>
      </w:tr>
      <w:tr>
        <w:trPr/>
        <w:tc>
          <w:tcPr>
            <w:tcW w:w="69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A.  Direct Labor — Principal Investigator (6 months, 95% FTE)</w:t>
            </w:r>
          </w:p>
        </w:tc>
        <w:tc>
          <w:tcPr>
            <w:tcW w:w="24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$83,125</w:t>
            </w:r>
          </w:p>
        </w:tc>
      </w:tr>
      <w:tr>
        <w:trPr/>
        <w:tc>
          <w:tcPr>
            <w:tcW w:w="69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B.  Fringe Benefits (16.8% composite rate)</w:t>
            </w:r>
          </w:p>
        </w:tc>
        <w:tc>
          <w:tcPr>
            <w:tcW w:w="24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$13,975</w:t>
            </w:r>
          </w:p>
        </w:tc>
      </w:tr>
      <w:tr>
        <w:trPr/>
        <w:tc>
          <w:tcPr>
            <w:tcW w:w="69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C.  Materials &amp; Supplies (optical components, enclosure, samples)</w:t>
            </w:r>
          </w:p>
        </w:tc>
        <w:tc>
          <w:tcPr>
            <w:tcW w:w="24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$19,840</w:t>
            </w:r>
          </w:p>
        </w:tc>
      </w:tr>
      <w:tr>
        <w:trPr/>
        <w:tc>
          <w:tcPr>
            <w:tcW w:w="69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D.  Consultant Services (Prof. Haller, Prof. Wang)</w:t>
            </w:r>
          </w:p>
        </w:tc>
        <w:tc>
          <w:tcPr>
            <w:tcW w:w="24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$14,000</w:t>
            </w:r>
          </w:p>
        </w:tc>
      </w:tr>
      <w:tr>
        <w:trPr/>
        <w:tc>
          <w:tcPr>
            <w:tcW w:w="69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E.  Travel (field validation, technical review, program management)</w:t>
            </w:r>
          </w:p>
        </w:tc>
        <w:tc>
          <w:tcPr>
            <w:tcW w:w="24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$2,800</w:t>
            </w:r>
          </w:p>
        </w:tc>
      </w:tr>
      <w:tr>
        <w:trPr/>
        <w:tc>
          <w:tcPr>
            <w:tcW w:w="69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F.  Other Direct Costs (facility, software, reporting)</w:t>
            </w:r>
          </w:p>
        </w:tc>
        <w:tc>
          <w:tcPr>
            <w:tcW w:w="24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$21,200</w:t>
            </w:r>
          </w:p>
        </w:tc>
      </w:tr>
      <w:tr>
        <w:trPr/>
        <w:tc>
          <w:tcPr>
            <w:tcW w:w="6960" w:type="dxa"/>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Fonts w:eastAsia="Arial" w:cs="Arial"/>
                <w:b/>
                <w:bCs/>
                <w:color w:val="1F3864"/>
                <w:sz w:val="18"/>
                <w:szCs w:val="18"/>
              </w:rPr>
              <w:t>Total Direct Costs</w:t>
            </w:r>
          </w:p>
        </w:tc>
        <w:tc>
          <w:tcPr>
            <w:tcW w:w="2400" w:type="dxa"/>
            <w:tcBorders>
              <w:top w:val="single" w:sz="4" w:space="0" w:color="AAAAAA"/>
              <w:start w:val="single" w:sz="4" w:space="0" w:color="AAAAAA"/>
              <w:bottom w:val="single" w:sz="4" w:space="0" w:color="AAAAAA"/>
              <w:end w:val="single" w:sz="4" w:space="0" w:color="AAAAAA"/>
            </w:tcBorders>
            <w:shd w:fill="AED6F1" w:val="clear"/>
            <w:tcMar>
              <w:top w:w="60" w:type="dxa"/>
              <w:bottom w:w="60" w:type="dxa"/>
            </w:tcMar>
            <w:vAlign w:val="center"/>
          </w:tcPr>
          <w:p>
            <w:pPr>
              <w:pStyle w:val="Normal"/>
              <w:jc w:val="end"/>
              <w:rPr/>
            </w:pPr>
            <w:r>
              <w:rPr>
                <w:rFonts w:eastAsia="Arial" w:cs="Arial"/>
                <w:b/>
                <w:bCs/>
                <w:color w:val="1F3864"/>
                <w:sz w:val="18"/>
                <w:szCs w:val="18"/>
              </w:rPr>
              <w:t>$154,940</w:t>
            </w:r>
          </w:p>
        </w:tc>
      </w:tr>
      <w:tr>
        <w:trPr/>
        <w:tc>
          <w:tcPr>
            <w:tcW w:w="69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G.  Indirect Costs / F&amp;A  (25% of direct labor + fringe = $97,100)</w:t>
            </w:r>
          </w:p>
        </w:tc>
        <w:tc>
          <w:tcPr>
            <w:tcW w:w="24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$24,275</w:t>
            </w:r>
          </w:p>
        </w:tc>
      </w:tr>
      <w:tr>
        <w:trPr/>
        <w:tc>
          <w:tcPr>
            <w:tcW w:w="6960" w:type="dxa"/>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Fonts w:eastAsia="Arial" w:cs="Arial"/>
                <w:b/>
                <w:bCs/>
                <w:color w:val="1F3864"/>
                <w:sz w:val="18"/>
                <w:szCs w:val="18"/>
              </w:rPr>
              <w:t>Subtotal Before Fee</w:t>
            </w:r>
          </w:p>
        </w:tc>
        <w:tc>
          <w:tcPr>
            <w:tcW w:w="2400" w:type="dxa"/>
            <w:tcBorders>
              <w:top w:val="single" w:sz="4" w:space="0" w:color="AAAAAA"/>
              <w:start w:val="single" w:sz="4" w:space="0" w:color="AAAAAA"/>
              <w:bottom w:val="single" w:sz="4" w:space="0" w:color="AAAAAA"/>
              <w:end w:val="single" w:sz="4" w:space="0" w:color="AAAAAA"/>
            </w:tcBorders>
            <w:shd w:fill="AED6F1" w:val="clear"/>
            <w:tcMar>
              <w:top w:w="60" w:type="dxa"/>
              <w:bottom w:w="60" w:type="dxa"/>
            </w:tcMar>
            <w:vAlign w:val="center"/>
          </w:tcPr>
          <w:p>
            <w:pPr>
              <w:pStyle w:val="Normal"/>
              <w:jc w:val="end"/>
              <w:rPr/>
            </w:pPr>
            <w:r>
              <w:rPr>
                <w:rFonts w:eastAsia="Arial" w:cs="Arial"/>
                <w:b/>
                <w:bCs/>
                <w:color w:val="1F3864"/>
                <w:sz w:val="18"/>
                <w:szCs w:val="18"/>
              </w:rPr>
              <w:t>$179,215</w:t>
            </w:r>
          </w:p>
        </w:tc>
      </w:tr>
      <w:tr>
        <w:trPr/>
        <w:tc>
          <w:tcPr>
            <w:tcW w:w="69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H.  Fee / Profit (7.5%)</w:t>
            </w:r>
          </w:p>
        </w:tc>
        <w:tc>
          <w:tcPr>
            <w:tcW w:w="24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$13,441</w:t>
            </w:r>
          </w:p>
        </w:tc>
      </w:tr>
      <w:tr>
        <w:trPr/>
        <w:tc>
          <w:tcPr>
            <w:tcW w:w="6960" w:type="dxa"/>
            <w:tcBorders>
              <w:top w:val="single" w:sz="4" w:space="0" w:color="AAAAAA"/>
              <w:start w:val="single" w:sz="4" w:space="0" w:color="AAAAAA"/>
              <w:bottom w:val="single" w:sz="4" w:space="0" w:color="AAAAAA"/>
              <w:end w:val="single" w:sz="4" w:space="0" w:color="AAAAAA"/>
            </w:tcBorders>
            <w:shd w:fill="AED6F1" w:val="clear"/>
            <w:tcMar>
              <w:top w:w="60" w:type="dxa"/>
              <w:bottom w:w="60" w:type="dxa"/>
            </w:tcMar>
            <w:vAlign w:val="center"/>
          </w:tcPr>
          <w:p>
            <w:pPr>
              <w:pStyle w:val="Normal"/>
              <w:jc w:val="end"/>
              <w:rPr/>
            </w:pPr>
            <w:r>
              <w:rPr>
                <w:rFonts w:eastAsia="Arial" w:cs="Arial"/>
                <w:b/>
                <w:bCs/>
                <w:color w:val="1F3864"/>
                <w:sz w:val="18"/>
                <w:szCs w:val="18"/>
              </w:rPr>
              <w:t>TOTAL PROPOSED COST</w:t>
            </w:r>
          </w:p>
        </w:tc>
        <w:tc>
          <w:tcPr>
            <w:tcW w:w="2400" w:type="dxa"/>
            <w:tcBorders>
              <w:top w:val="single" w:sz="4" w:space="0" w:color="AAAAAA"/>
              <w:start w:val="single" w:sz="4" w:space="0" w:color="AAAAAA"/>
              <w:bottom w:val="single" w:sz="4" w:space="0" w:color="AAAAAA"/>
              <w:end w:val="single" w:sz="4" w:space="0" w:color="AAAAAA"/>
            </w:tcBorders>
            <w:shd w:fill="AED6F1" w:val="clear"/>
            <w:tcMar>
              <w:top w:w="60" w:type="dxa"/>
              <w:bottom w:w="60" w:type="dxa"/>
            </w:tcMar>
            <w:vAlign w:val="center"/>
          </w:tcPr>
          <w:p>
            <w:pPr>
              <w:pStyle w:val="Normal"/>
              <w:jc w:val="end"/>
              <w:rPr/>
            </w:pPr>
            <w:r>
              <w:rPr>
                <w:rFonts w:eastAsia="Arial" w:cs="Arial"/>
                <w:b/>
                <w:bCs/>
                <w:color w:val="1F3864"/>
                <w:sz w:val="18"/>
                <w:szCs w:val="18"/>
              </w:rPr>
              <w:t>$192,656</w:t>
            </w:r>
          </w:p>
        </w:tc>
      </w:tr>
    </w:tbl>
    <w:p>
      <w:pPr>
        <w:pStyle w:val="Normal"/>
        <w:spacing w:before="200" w:after="0"/>
        <w:rPr/>
      </w:pPr>
      <w:r>
        <w:rPr/>
      </w:r>
    </w:p>
    <w:p>
      <w:pPr>
        <w:pStyle w:val="Normal"/>
        <w:pBdr>
          <w:bottom w:val="single" w:sz="6" w:space="2" w:color="1F3864"/>
        </w:pBdr>
        <w:spacing w:before="240" w:after="80"/>
        <w:rPr/>
      </w:pPr>
      <w:r>
        <w:rPr>
          <w:rFonts w:eastAsia="Arial" w:cs="Arial"/>
          <w:b/>
          <w:bCs/>
          <w:color w:val="1F3864"/>
          <w:sz w:val="20"/>
          <w:szCs w:val="20"/>
        </w:rPr>
        <w:t>Budget Detail</w:t>
      </w:r>
    </w:p>
    <w:p>
      <w:pPr>
        <w:pStyle w:val="Normal"/>
        <w:shd w:val="clear" w:fill="1F3864"/>
        <w:spacing w:before="200" w:after="160"/>
        <w:ind w:start="120" w:end="120"/>
        <w:rPr/>
      </w:pPr>
      <w:r>
        <w:rPr>
          <w:rFonts w:eastAsia="Arial" w:cs="Arial"/>
          <w:b/>
          <w:bCs/>
          <w:color w:val="FFFFFF"/>
          <w:sz w:val="24"/>
          <w:szCs w:val="24"/>
        </w:rPr>
        <w:t>A.  Direct Labor</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2199"/>
        <w:gridCol w:w="1501"/>
        <w:gridCol w:w="900"/>
        <w:gridCol w:w="899"/>
        <w:gridCol w:w="2061"/>
        <w:gridCol w:w="1800"/>
      </w:tblGrid>
      <w:tr>
        <w:trPr/>
        <w:tc>
          <w:tcPr>
            <w:tcW w:w="2199"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Name</w:t>
            </w:r>
          </w:p>
        </w:tc>
        <w:tc>
          <w:tcPr>
            <w:tcW w:w="1501"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Role</w:t>
            </w:r>
          </w:p>
        </w:tc>
        <w:tc>
          <w:tcPr>
            <w:tcW w:w="9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Effort</w:t>
            </w:r>
          </w:p>
        </w:tc>
        <w:tc>
          <w:tcPr>
            <w:tcW w:w="899"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Months</w:t>
            </w:r>
          </w:p>
        </w:tc>
        <w:tc>
          <w:tcPr>
            <w:tcW w:w="2061"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Annual Salary</w:t>
            </w:r>
          </w:p>
        </w:tc>
        <w:tc>
          <w:tcPr>
            <w:tcW w:w="18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Total</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Samuel C. Ryan</w:t>
            </w:r>
          </w:p>
        </w:tc>
        <w:tc>
          <w:tcPr>
            <w:tcW w:w="1501"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Principal Investigator</w:t>
            </w:r>
          </w:p>
        </w:tc>
        <w:tc>
          <w:tcPr>
            <w:tcW w:w="9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95%</w:t>
            </w:r>
          </w:p>
        </w:tc>
        <w:tc>
          <w:tcPr>
            <w:tcW w:w="899"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6</w:t>
            </w:r>
          </w:p>
        </w:tc>
        <w:tc>
          <w:tcPr>
            <w:tcW w:w="2061"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$175,000</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$83,125</w:t>
            </w:r>
          </w:p>
        </w:tc>
      </w:tr>
      <w:tr>
        <w:trPr/>
        <w:tc>
          <w:tcPr>
            <w:tcW w:w="7560" w:type="dxa"/>
            <w:gridSpan w:val="5"/>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Fonts w:eastAsia="Arial" w:cs="Arial"/>
                <w:b/>
                <w:bCs/>
                <w:color w:val="1F3864"/>
                <w:sz w:val="18"/>
                <w:szCs w:val="18"/>
              </w:rPr>
              <w:t>Section A Total</w:t>
            </w:r>
          </w:p>
        </w:tc>
        <w:tc>
          <w:tcPr>
            <w:tcW w:w="1800" w:type="dxa"/>
            <w:tcBorders>
              <w:top w:val="single" w:sz="4" w:space="0" w:color="AAAAAA"/>
              <w:start w:val="single" w:sz="4" w:space="0" w:color="AAAAAA"/>
              <w:bottom w:val="single" w:sz="4" w:space="0" w:color="AAAAAA"/>
              <w:end w:val="single" w:sz="4" w:space="0" w:color="AAAAAA"/>
            </w:tcBorders>
            <w:shd w:fill="AED6F1" w:val="clear"/>
            <w:tcMar>
              <w:top w:w="60" w:type="dxa"/>
              <w:bottom w:w="60" w:type="dxa"/>
            </w:tcMar>
            <w:vAlign w:val="center"/>
          </w:tcPr>
          <w:p>
            <w:pPr>
              <w:pStyle w:val="Normal"/>
              <w:jc w:val="end"/>
              <w:rPr/>
            </w:pPr>
            <w:r>
              <w:rPr>
                <w:rFonts w:eastAsia="Arial" w:cs="Arial"/>
                <w:b/>
                <w:bCs/>
                <w:color w:val="1F3864"/>
                <w:sz w:val="18"/>
                <w:szCs w:val="18"/>
              </w:rPr>
              <w:t>$83,125</w:t>
            </w:r>
          </w:p>
        </w:tc>
      </w:tr>
    </w:tbl>
    <w:p>
      <w:pPr>
        <w:pStyle w:val="Normal"/>
        <w:spacing w:before="80" w:after="0"/>
        <w:rPr/>
      </w:pPr>
      <w:r>
        <w:rPr/>
      </w:r>
    </w:p>
    <w:p>
      <w:pPr>
        <w:pStyle w:val="Normal"/>
        <w:spacing w:before="60" w:after="60"/>
        <w:ind w:start="300"/>
        <w:rPr/>
      </w:pPr>
      <w:r>
        <w:rPr>
          <w:rFonts w:eastAsia="Arial" w:cs="Arial"/>
          <w:i/>
          <w:iCs/>
          <w:color w:val="444444"/>
          <w:sz w:val="18"/>
          <w:szCs w:val="18"/>
        </w:rPr>
        <w:t>PI effort of 95% FTE for 6 months reflects the scope of work as sole technical lead: instrument design, component procurement, bench assembly, optical alignment, measurement execution, field deployment, data analysis, and technical reporting. The remaining 5% accounts for Novel Systems Engineering LLC administrative obligations not allocable to this award, including coordination of the Birthmark Standard Foundation activities conducted outside normal business hours.</w:t>
      </w:r>
    </w:p>
    <w:p>
      <w:pPr>
        <w:pStyle w:val="Normal"/>
        <w:spacing w:before="160" w:after="0"/>
        <w:rPr/>
      </w:pPr>
      <w:r>
        <w:rPr/>
      </w:r>
    </w:p>
    <w:p>
      <w:pPr>
        <w:pStyle w:val="Normal"/>
        <w:shd w:val="clear" w:fill="1F3864"/>
        <w:spacing w:before="200" w:after="160"/>
        <w:ind w:start="120" w:end="120"/>
        <w:rPr/>
      </w:pPr>
      <w:r>
        <w:rPr>
          <w:rFonts w:eastAsia="Arial" w:cs="Arial"/>
          <w:b/>
          <w:bCs/>
          <w:color w:val="FFFFFF"/>
          <w:sz w:val="24"/>
          <w:szCs w:val="24"/>
        </w:rPr>
        <w:t>B.  Fringe Benefits</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4500"/>
        <w:gridCol w:w="2060"/>
        <w:gridCol w:w="1000"/>
        <w:gridCol w:w="1800"/>
      </w:tblGrid>
      <w:tr>
        <w:trPr/>
        <w:tc>
          <w:tcPr>
            <w:tcW w:w="45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Category</w:t>
            </w:r>
          </w:p>
        </w:tc>
        <w:tc>
          <w:tcPr>
            <w:tcW w:w="206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Base</w:t>
            </w:r>
          </w:p>
        </w:tc>
        <w:tc>
          <w:tcPr>
            <w:tcW w:w="10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Rate</w:t>
            </w:r>
          </w:p>
        </w:tc>
        <w:tc>
          <w:tcPr>
            <w:tcW w:w="18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Total</w:t>
            </w:r>
          </w:p>
        </w:tc>
      </w:tr>
      <w:tr>
        <w:trPr/>
        <w:tc>
          <w:tcPr>
            <w:tcW w:w="45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FICA / Self-Employment Tax (employer portion)</w:t>
            </w:r>
          </w:p>
        </w:tc>
        <w:tc>
          <w:tcPr>
            <w:tcW w:w="20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$83,125</w:t>
            </w:r>
          </w:p>
        </w:tc>
        <w:tc>
          <w:tcPr>
            <w:tcW w:w="10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7.65%</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$6,359</w:t>
            </w:r>
          </w:p>
        </w:tc>
      </w:tr>
      <w:tr>
        <w:trPr/>
        <w:tc>
          <w:tcPr>
            <w:tcW w:w="45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Health Insurance (sole-member LLC)</w:t>
            </w:r>
          </w:p>
        </w:tc>
        <w:tc>
          <w:tcPr>
            <w:tcW w:w="20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
          </w:p>
        </w:tc>
        <w:tc>
          <w:tcPr>
            <w:tcW w:w="10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$7,200</w:t>
            </w:r>
          </w:p>
        </w:tc>
      </w:tr>
      <w:tr>
        <w:trPr/>
        <w:tc>
          <w:tcPr>
            <w:tcW w:w="45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Oregon Workers' Compensation (construction/tech rate)</w:t>
            </w:r>
          </w:p>
        </w:tc>
        <w:tc>
          <w:tcPr>
            <w:tcW w:w="20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$83,125</w:t>
            </w:r>
          </w:p>
        </w:tc>
        <w:tc>
          <w:tcPr>
            <w:tcW w:w="10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0.50%</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$416</w:t>
            </w:r>
          </w:p>
        </w:tc>
      </w:tr>
      <w:tr>
        <w:trPr/>
        <w:tc>
          <w:tcPr>
            <w:tcW w:w="7560" w:type="dxa"/>
            <w:gridSpan w:val="3"/>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Fonts w:eastAsia="Arial" w:cs="Arial"/>
                <w:b/>
                <w:bCs/>
                <w:color w:val="1F3864"/>
                <w:sz w:val="18"/>
                <w:szCs w:val="18"/>
              </w:rPr>
              <w:t>Section B Total  (16.8% composite rate on direct labor)</w:t>
            </w:r>
          </w:p>
        </w:tc>
        <w:tc>
          <w:tcPr>
            <w:tcW w:w="1800" w:type="dxa"/>
            <w:tcBorders>
              <w:top w:val="single" w:sz="4" w:space="0" w:color="AAAAAA"/>
              <w:start w:val="single" w:sz="4" w:space="0" w:color="AAAAAA"/>
              <w:bottom w:val="single" w:sz="4" w:space="0" w:color="AAAAAA"/>
              <w:end w:val="single" w:sz="4" w:space="0" w:color="AAAAAA"/>
            </w:tcBorders>
            <w:shd w:fill="AED6F1" w:val="clear"/>
            <w:tcMar>
              <w:top w:w="60" w:type="dxa"/>
              <w:bottom w:w="60" w:type="dxa"/>
            </w:tcMar>
            <w:vAlign w:val="center"/>
          </w:tcPr>
          <w:p>
            <w:pPr>
              <w:pStyle w:val="Normal"/>
              <w:jc w:val="end"/>
              <w:rPr/>
            </w:pPr>
            <w:r>
              <w:rPr>
                <w:rFonts w:eastAsia="Arial" w:cs="Arial"/>
                <w:b/>
                <w:bCs/>
                <w:color w:val="1F3864"/>
                <w:sz w:val="18"/>
                <w:szCs w:val="18"/>
              </w:rPr>
              <w:t>$13,975</w:t>
            </w:r>
          </w:p>
        </w:tc>
      </w:tr>
    </w:tbl>
    <w:p>
      <w:pPr>
        <w:pStyle w:val="Normal"/>
        <w:spacing w:before="80" w:after="0"/>
        <w:rPr/>
      </w:pPr>
      <w:r>
        <w:rPr/>
      </w:r>
    </w:p>
    <w:p>
      <w:pPr>
        <w:pStyle w:val="Normal"/>
        <w:spacing w:before="60" w:after="60"/>
        <w:ind w:start="300"/>
        <w:rPr/>
      </w:pPr>
      <w:r>
        <w:rPr>
          <w:rFonts w:eastAsia="Arial" w:cs="Arial"/>
          <w:i/>
          <w:iCs/>
          <w:color w:val="444444"/>
          <w:sz w:val="18"/>
          <w:szCs w:val="18"/>
        </w:rPr>
        <w:t>Fringe costs reflect the sole-member LLC structure of Novel Systems Engineering. Health insurance is the annual premium for individual coverage. Workers' compensation reflects Oregon statutory rates for professional/scientific classification. No pension or retirement contribution is claimed on this award.</w:t>
      </w:r>
    </w:p>
    <w:p>
      <w:pPr>
        <w:pStyle w:val="Normal"/>
        <w:spacing w:before="160" w:after="0"/>
        <w:rPr/>
      </w:pPr>
      <w:r>
        <w:rPr/>
      </w:r>
    </w:p>
    <w:p>
      <w:pPr>
        <w:pStyle w:val="Normal"/>
        <w:shd w:val="clear" w:fill="1F3864"/>
        <w:spacing w:before="200" w:after="160"/>
        <w:ind w:start="120" w:end="120"/>
        <w:rPr/>
      </w:pPr>
      <w:r>
        <w:rPr>
          <w:rFonts w:eastAsia="Arial" w:cs="Arial"/>
          <w:b/>
          <w:bCs/>
          <w:color w:val="FFFFFF"/>
          <w:sz w:val="24"/>
          <w:szCs w:val="24"/>
        </w:rPr>
        <w:t>C.  Materials &amp; Supplies</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5800"/>
        <w:gridCol w:w="1760"/>
        <w:gridCol w:w="1800"/>
      </w:tblGrid>
      <w:tr>
        <w:trPr/>
        <w:tc>
          <w:tcPr>
            <w:tcW w:w="58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Item</w:t>
            </w:r>
          </w:p>
        </w:tc>
        <w:tc>
          <w:tcPr>
            <w:tcW w:w="176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Qty / Unit</w:t>
            </w:r>
          </w:p>
        </w:tc>
        <w:tc>
          <w:tcPr>
            <w:tcW w:w="18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Cost</w:t>
            </w:r>
          </w:p>
        </w:tc>
      </w:tr>
      <w:tr>
        <w:trPr/>
        <w:tc>
          <w:tcPr>
            <w:tcW w:w="7560" w:type="dxa"/>
            <w:gridSpan w:val="2"/>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Fonts w:eastAsia="Arial" w:cs="Arial"/>
                <w:b/>
                <w:bCs/>
                <w:color w:val="1F3864"/>
                <w:sz w:val="18"/>
                <w:szCs w:val="18"/>
              </w:rPr>
              <w:t>1550 nm Laser Sources</w:t>
            </w:r>
          </w:p>
        </w:tc>
        <w:tc>
          <w:tcPr>
            <w:tcW w:w="1800" w:type="dxa"/>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Thorlabs S3FC1550 DFB Laser, PM fiber-coupled, 1.5 mW min, 1550 nm</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2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$3,000</w:t>
            </w:r>
          </w:p>
        </w:tc>
      </w:tr>
      <w:tr>
        <w:trPr/>
        <w:tc>
          <w:tcPr>
            <w:tcW w:w="7560" w:type="dxa"/>
            <w:gridSpan w:val="2"/>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Fonts w:eastAsia="Arial" w:cs="Arial"/>
                <w:b/>
                <w:bCs/>
                <w:color w:val="1F3864"/>
                <w:sz w:val="18"/>
                <w:szCs w:val="18"/>
              </w:rPr>
              <w:t>InGaAs Photodetectors</w:t>
            </w:r>
          </w:p>
        </w:tc>
        <w:tc>
          <w:tcPr>
            <w:tcW w:w="1800" w:type="dxa"/>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Thorlabs PDA20CS2 InGaAs Amplified Detector, 800–1700 nm, switchable gain</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4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$2,880</w:t>
            </w:r>
          </w:p>
        </w:tc>
      </w:tr>
      <w:tr>
        <w:trPr/>
        <w:tc>
          <w:tcPr>
            <w:tcW w:w="7560" w:type="dxa"/>
            <w:gridSpan w:val="2"/>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Fonts w:eastAsia="Arial" w:cs="Arial"/>
                <w:b/>
                <w:bCs/>
                <w:color w:val="1F3864"/>
                <w:sz w:val="18"/>
                <w:szCs w:val="18"/>
              </w:rPr>
              <w:t>Fiber Optic Components</w:t>
            </w:r>
          </w:p>
        </w:tc>
        <w:tc>
          <w:tcPr>
            <w:tcW w:w="1800" w:type="dxa"/>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PM 1550 nm dual-wavelength WDM fiber coupler</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$950</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3-port PM fiber optic circulator, 1550 nm</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$850</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1550 nm WDM demultiplexer (channel pair)</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2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$1,200</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PM fiber patch cables, FC/APC, assorted lengths (10 pcs)</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lot</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$1,200</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FC/APC connectors and termination tooling</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lot</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$400</w:t>
            </w:r>
          </w:p>
        </w:tc>
      </w:tr>
      <w:tr>
        <w:trPr/>
        <w:tc>
          <w:tcPr>
            <w:tcW w:w="7560" w:type="dxa"/>
            <w:gridSpan w:val="2"/>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Fonts w:eastAsia="Arial" w:cs="Arial"/>
                <w:b/>
                <w:bCs/>
                <w:color w:val="1F3864"/>
                <w:sz w:val="18"/>
                <w:szCs w:val="18"/>
              </w:rPr>
              <w:t>Free-Space Optics</w:t>
            </w:r>
          </w:p>
        </w:tc>
        <w:tc>
          <w:tcPr>
            <w:tcW w:w="1800" w:type="dxa"/>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Thorlabs AC254-025-C achromatic collimating lens, 25 mm EFL, 1550 nm AR</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$185</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Polarizing beam splitter cube, 1550 nm</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$580</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Dichroic beam combiner, visible / 1550 nm</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$380</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Alignment laser, 650 nm, Class 2, fiber-coupled, &lt;1 mW</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$285</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Optical mounts, posts, cage rods, and bases</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lot</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$1,800</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Optical breadboard, 12" × 18", M6 tapped</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$750</w:t>
            </w:r>
          </w:p>
        </w:tc>
      </w:tr>
      <w:tr>
        <w:trPr/>
        <w:tc>
          <w:tcPr>
            <w:tcW w:w="7560" w:type="dxa"/>
            <w:gridSpan w:val="2"/>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Fonts w:eastAsia="Arial" w:cs="Arial"/>
                <w:b/>
                <w:bCs/>
                <w:color w:val="1F3864"/>
                <w:sz w:val="18"/>
                <w:szCs w:val="18"/>
              </w:rPr>
              <w:t>Processing &amp; Interface</w:t>
            </w:r>
          </w:p>
        </w:tc>
        <w:tc>
          <w:tcPr>
            <w:tcW w:w="1800" w:type="dxa"/>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Raspberry Pi 5 (8 GB RAM)</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$80</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Raspberry Pi official 7" touchscreen display</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$120</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Raspberry Pi HQ Camera Module (12.3 MP)</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$75</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16-bit quad-channel ADC HAT (ADS1115-based)</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$145</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DC power regulators, battery pack, charge management</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lot</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$380</w:t>
            </w:r>
          </w:p>
        </w:tc>
      </w:tr>
      <w:tr>
        <w:trPr/>
        <w:tc>
          <w:tcPr>
            <w:tcW w:w="7560" w:type="dxa"/>
            <w:gridSpan w:val="2"/>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Fonts w:eastAsia="Arial" w:cs="Arial"/>
                <w:b/>
                <w:bCs/>
                <w:color w:val="1F3864"/>
                <w:sz w:val="18"/>
                <w:szCs w:val="18"/>
              </w:rPr>
              <w:t>Mechanical &amp; Enclosure</w:t>
            </w:r>
          </w:p>
        </w:tc>
        <w:tc>
          <w:tcPr>
            <w:tcW w:w="1800" w:type="dxa"/>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Aluminum alloy instrument enclosure (custom fabricated, ~10" × 6" × 4")</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$1,150</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Padded shoulder sling assembly, adjustable</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$145</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Horizontal handgrip, ergonomic, aluminum</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$75</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Key switch, toggle switches, indicator LEDs</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lot</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$110</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Weatherproofing gaskets and IP54 seals</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lot</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$185</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Assembly hardware: fasteners, standoffs, cable management</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lot</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$275</w:t>
            </w:r>
          </w:p>
        </w:tc>
      </w:tr>
      <w:tr>
        <w:trPr/>
        <w:tc>
          <w:tcPr>
            <w:tcW w:w="7560" w:type="dxa"/>
            <w:gridSpan w:val="2"/>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Fonts w:eastAsia="Arial" w:cs="Arial"/>
                <w:b/>
                <w:bCs/>
                <w:color w:val="1F3864"/>
                <w:sz w:val="18"/>
                <w:szCs w:val="18"/>
              </w:rPr>
              <w:t>Safety Equipment</w:t>
            </w:r>
          </w:p>
        </w:tc>
        <w:tc>
          <w:tcPr>
            <w:tcW w:w="1800" w:type="dxa"/>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1550 nm laser safety eyewear, OD 4+, ANSI Z136.1 compliant (2 pairs)</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2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$420</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Optical power meter, 800–1700 nm measurement range</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$580</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Safety interlock relay module (software-controlled)</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$195</w:t>
            </w:r>
          </w:p>
        </w:tc>
      </w:tr>
      <w:tr>
        <w:trPr/>
        <w:tc>
          <w:tcPr>
            <w:tcW w:w="7560" w:type="dxa"/>
            <w:gridSpan w:val="2"/>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Fonts w:eastAsia="Arial" w:cs="Arial"/>
                <w:b/>
                <w:bCs/>
                <w:color w:val="1F3864"/>
                <w:sz w:val="18"/>
                <w:szCs w:val="18"/>
              </w:rPr>
              <w:t>Calibration Reference</w:t>
            </w:r>
          </w:p>
        </w:tc>
        <w:tc>
          <w:tcPr>
            <w:tcW w:w="1800" w:type="dxa"/>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Gold-coated flat mirror calibration target</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$285</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Kinematic mirror mount for calibration target</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$195</w:t>
            </w:r>
          </w:p>
        </w:tc>
      </w:tr>
      <w:tr>
        <w:trPr/>
        <w:tc>
          <w:tcPr>
            <w:tcW w:w="7560" w:type="dxa"/>
            <w:gridSpan w:val="2"/>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Fonts w:eastAsia="Arial" w:cs="Arial"/>
                <w:b/>
                <w:bCs/>
                <w:color w:val="1F3864"/>
                <w:sz w:val="18"/>
                <w:szCs w:val="18"/>
              </w:rPr>
              <w:t>Target Material Specimens</w:t>
            </w:r>
          </w:p>
        </w:tc>
        <w:tc>
          <w:tcPr>
            <w:tcW w:w="1800" w:type="dxa"/>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USCG-approved Type III/V PFD life jacket specimens</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3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$285</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Cotton, synthetic, and blended fabric swatches (assorted)</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lot</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$120</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Leather specimens, natural and treated</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lot</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$95</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Marine-grade fiberglass panel, 12" × 12"</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$145</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Bird feather specimens, wood, and seaweed (field-collected)</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$0</w:t>
            </w:r>
          </w:p>
        </w:tc>
      </w:tr>
      <w:tr>
        <w:trPr/>
        <w:tc>
          <w:tcPr>
            <w:tcW w:w="7560" w:type="dxa"/>
            <w:gridSpan w:val="2"/>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Fonts w:eastAsia="Arial" w:cs="Arial"/>
                <w:b/>
                <w:bCs/>
                <w:color w:val="1F3864"/>
                <w:sz w:val="18"/>
                <w:szCs w:val="18"/>
              </w:rPr>
              <w:t>Atmospheric Attenuation Test Equipment</w:t>
            </w:r>
          </w:p>
        </w:tc>
        <w:tc>
          <w:tcPr>
            <w:tcW w:w="1800" w:type="dxa"/>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Ultrasonic fog generator with variable output control, for controlled bench attenuation characterization</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$650</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Forward-scatter visibility sensor / transmissometer (calibrated, 10m path)</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$450</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Sealed test corridor materials (blackout fabric, mounting hardware)</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lot</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$100</w:t>
            </w:r>
          </w:p>
        </w:tc>
      </w:tr>
      <w:tr>
        <w:trPr/>
        <w:tc>
          <w:tcPr>
            <w:tcW w:w="5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USV hull composite panel, carbon fiber / fiberglass construction, 6" × 6"</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ea.</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$150</w:t>
            </w:r>
          </w:p>
        </w:tc>
      </w:tr>
      <w:tr>
        <w:trPr/>
        <w:tc>
          <w:tcPr>
            <w:tcW w:w="7560" w:type="dxa"/>
            <w:gridSpan w:val="2"/>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Fonts w:eastAsia="Arial" w:cs="Arial"/>
                <w:b/>
                <w:bCs/>
                <w:color w:val="1F3864"/>
                <w:sz w:val="18"/>
                <w:szCs w:val="18"/>
              </w:rPr>
              <w:t>Section C Total</w:t>
            </w:r>
          </w:p>
        </w:tc>
        <w:tc>
          <w:tcPr>
            <w:tcW w:w="1800" w:type="dxa"/>
            <w:tcBorders>
              <w:top w:val="single" w:sz="4" w:space="0" w:color="AAAAAA"/>
              <w:start w:val="single" w:sz="4" w:space="0" w:color="AAAAAA"/>
              <w:bottom w:val="single" w:sz="4" w:space="0" w:color="AAAAAA"/>
              <w:end w:val="single" w:sz="4" w:space="0" w:color="AAAAAA"/>
            </w:tcBorders>
            <w:shd w:fill="AED6F1" w:val="clear"/>
            <w:tcMar>
              <w:top w:w="60" w:type="dxa"/>
              <w:bottom w:w="60" w:type="dxa"/>
            </w:tcMar>
            <w:vAlign w:val="center"/>
          </w:tcPr>
          <w:p>
            <w:pPr>
              <w:pStyle w:val="Normal"/>
              <w:jc w:val="end"/>
              <w:rPr/>
            </w:pPr>
            <w:r>
              <w:rPr>
                <w:rFonts w:eastAsia="Arial" w:cs="Arial"/>
                <w:b/>
                <w:bCs/>
                <w:color w:val="1F3864"/>
                <w:sz w:val="18"/>
                <w:szCs w:val="18"/>
              </w:rPr>
              <w:t>$19,840</w:t>
            </w:r>
          </w:p>
        </w:tc>
      </w:tr>
    </w:tbl>
    <w:p>
      <w:pPr>
        <w:pStyle w:val="Normal"/>
        <w:spacing w:before="80" w:after="0"/>
        <w:rPr/>
      </w:pPr>
      <w:r>
        <w:rPr/>
      </w:r>
    </w:p>
    <w:p>
      <w:pPr>
        <w:pStyle w:val="Normal"/>
        <w:spacing w:before="60" w:after="60"/>
        <w:ind w:start="300"/>
        <w:rPr/>
      </w:pPr>
      <w:r>
        <w:rPr>
          <w:rFonts w:eastAsia="Arial" w:cs="Arial"/>
          <w:i/>
          <w:iCs/>
          <w:color w:val="444444"/>
          <w:sz w:val="18"/>
          <w:szCs w:val="18"/>
        </w:rPr>
        <w:t>All items priced from current Thorlabs catalog (laser sources, detectors, optics) and vendor quotes (fiber components, enclosure, processing hardware). No single item exceeds $5,000; all are classified as supplies rather than equipment. Long-lead items (laser sources and InGaAs detectors, 4–8 week lead time) will be ordered immediately upon award notification to protect the Month 2 bench assembly milestone.</w:t>
      </w:r>
    </w:p>
    <w:p>
      <w:pPr>
        <w:pStyle w:val="Normal"/>
        <w:spacing w:before="160" w:after="0"/>
        <w:rPr/>
      </w:pPr>
      <w:r>
        <w:rPr/>
      </w:r>
    </w:p>
    <w:p>
      <w:pPr>
        <w:pStyle w:val="Normal"/>
        <w:shd w:val="clear" w:fill="1F3864"/>
        <w:spacing w:before="200" w:after="160"/>
        <w:ind w:start="120" w:end="120"/>
        <w:rPr/>
      </w:pPr>
      <w:r>
        <w:rPr>
          <w:rFonts w:eastAsia="Arial" w:cs="Arial"/>
          <w:b/>
          <w:bCs/>
          <w:color w:val="FFFFFF"/>
          <w:sz w:val="24"/>
          <w:szCs w:val="24"/>
        </w:rPr>
        <w:t>D.  Consultant Services</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3200"/>
        <w:gridCol w:w="2259"/>
        <w:gridCol w:w="901"/>
        <w:gridCol w:w="999"/>
        <w:gridCol w:w="2001"/>
      </w:tblGrid>
      <w:tr>
        <w:trPr/>
        <w:tc>
          <w:tcPr>
            <w:tcW w:w="32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Consultant</w:t>
            </w:r>
          </w:p>
        </w:tc>
        <w:tc>
          <w:tcPr>
            <w:tcW w:w="2259"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Institution</w:t>
            </w:r>
          </w:p>
        </w:tc>
        <w:tc>
          <w:tcPr>
            <w:tcW w:w="901"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Hours</w:t>
            </w:r>
          </w:p>
        </w:tc>
        <w:tc>
          <w:tcPr>
            <w:tcW w:w="999"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Rate</w:t>
            </w:r>
          </w:p>
        </w:tc>
        <w:tc>
          <w:tcPr>
            <w:tcW w:w="2001"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Total</w:t>
            </w:r>
          </w:p>
        </w:tc>
      </w:tr>
      <w:tr>
        <w:trPr/>
        <w:tc>
          <w:tcPr>
            <w:tcW w:w="32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Prof. Merrick Haller</w:t>
            </w:r>
          </w:p>
        </w:tc>
        <w:tc>
          <w:tcPr>
            <w:tcW w:w="2259"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Oregon State Univ. (CE/CEOAS)</w:t>
            </w:r>
          </w:p>
        </w:tc>
        <w:tc>
          <w:tcPr>
            <w:tcW w:w="901"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40</w:t>
            </w:r>
          </w:p>
        </w:tc>
        <w:tc>
          <w:tcPr>
            <w:tcW w:w="999"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$200</w:t>
            </w:r>
          </w:p>
        </w:tc>
        <w:tc>
          <w:tcPr>
            <w:tcW w:w="2001"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$8,000</w:t>
            </w:r>
          </w:p>
        </w:tc>
      </w:tr>
      <w:tr>
        <w:trPr/>
        <w:tc>
          <w:tcPr>
            <w:tcW w:w="32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Prof. Alan X. Wang</w:t>
            </w:r>
          </w:p>
        </w:tc>
        <w:tc>
          <w:tcPr>
            <w:tcW w:w="2259"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Oregon State Univ. (EECS)</w:t>
            </w:r>
          </w:p>
        </w:tc>
        <w:tc>
          <w:tcPr>
            <w:tcW w:w="901"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30</w:t>
            </w:r>
          </w:p>
        </w:tc>
        <w:tc>
          <w:tcPr>
            <w:tcW w:w="999"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$200</w:t>
            </w:r>
          </w:p>
        </w:tc>
        <w:tc>
          <w:tcPr>
            <w:tcW w:w="2001"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$6,000</w:t>
            </w:r>
          </w:p>
        </w:tc>
      </w:tr>
      <w:tr>
        <w:trPr/>
        <w:tc>
          <w:tcPr>
            <w:tcW w:w="7359" w:type="dxa"/>
            <w:gridSpan w:val="4"/>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Fonts w:eastAsia="Arial" w:cs="Arial"/>
                <w:b/>
                <w:bCs/>
                <w:color w:val="1F3864"/>
                <w:sz w:val="18"/>
                <w:szCs w:val="18"/>
              </w:rPr>
              <w:t>Section D Total</w:t>
            </w:r>
          </w:p>
        </w:tc>
        <w:tc>
          <w:tcPr>
            <w:tcW w:w="2001" w:type="dxa"/>
            <w:tcBorders>
              <w:top w:val="single" w:sz="4" w:space="0" w:color="AAAAAA"/>
              <w:start w:val="single" w:sz="4" w:space="0" w:color="AAAAAA"/>
              <w:bottom w:val="single" w:sz="4" w:space="0" w:color="AAAAAA"/>
              <w:end w:val="single" w:sz="4" w:space="0" w:color="AAAAAA"/>
            </w:tcBorders>
            <w:shd w:fill="AED6F1" w:val="clear"/>
            <w:tcMar>
              <w:top w:w="60" w:type="dxa"/>
              <w:bottom w:w="60" w:type="dxa"/>
            </w:tcMar>
            <w:vAlign w:val="center"/>
          </w:tcPr>
          <w:p>
            <w:pPr>
              <w:pStyle w:val="Normal"/>
              <w:jc w:val="end"/>
              <w:rPr/>
            </w:pPr>
            <w:r>
              <w:rPr>
                <w:rFonts w:eastAsia="Arial" w:cs="Arial"/>
                <w:b/>
                <w:bCs/>
                <w:color w:val="1F3864"/>
                <w:sz w:val="18"/>
                <w:szCs w:val="18"/>
              </w:rPr>
              <w:t>$14,000</w:t>
            </w:r>
          </w:p>
        </w:tc>
      </w:tr>
    </w:tbl>
    <w:p>
      <w:pPr>
        <w:pStyle w:val="Normal"/>
        <w:spacing w:before="80" w:after="0"/>
        <w:rPr/>
      </w:pPr>
      <w:r>
        <w:rPr/>
      </w:r>
    </w:p>
    <w:p>
      <w:pPr>
        <w:pStyle w:val="Normal"/>
        <w:spacing w:before="60" w:after="60"/>
        <w:ind w:start="300"/>
        <w:rPr/>
      </w:pPr>
      <w:r>
        <w:rPr>
          <w:rFonts w:eastAsia="Arial" w:cs="Arial"/>
          <w:i/>
          <w:iCs/>
          <w:color w:val="444444"/>
          <w:sz w:val="18"/>
          <w:szCs w:val="18"/>
        </w:rPr>
        <w:t>Prof. Merrick Haller (OSU, Civil &amp; Construction Engineering / CEOAS) provides 40 hours of advisory support spanning experimental design review, field measurement methodology, and coastal validation site selection. Prof. Alan X. Wang (OSU, Electrical Engineering &amp; Computer Science) provides 30 hours of technical review covering the fiber optic receiver chain architecture and DDR measurement system design. Both consultants hold active federal research appointments; rates are consistent with OSU sponsored research consulting fee schedules.</w:t>
      </w:r>
    </w:p>
    <w:p>
      <w:pPr>
        <w:pStyle w:val="Normal"/>
        <w:spacing w:before="160" w:after="0"/>
        <w:rPr/>
      </w:pPr>
      <w:r>
        <w:rPr/>
      </w:r>
    </w:p>
    <w:p>
      <w:pPr>
        <w:pStyle w:val="Normal"/>
        <w:shd w:val="clear" w:fill="1F3864"/>
        <w:spacing w:before="200" w:after="160"/>
        <w:ind w:start="120" w:end="120"/>
        <w:rPr/>
      </w:pPr>
      <w:r>
        <w:rPr>
          <w:rFonts w:eastAsia="Arial" w:cs="Arial"/>
          <w:b/>
          <w:bCs/>
          <w:color w:val="FFFFFF"/>
          <w:sz w:val="24"/>
          <w:szCs w:val="24"/>
        </w:rPr>
        <w:t>E.  Travel</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4600"/>
        <w:gridCol w:w="1760"/>
        <w:gridCol w:w="1200"/>
        <w:gridCol w:w="1800"/>
      </w:tblGrid>
      <w:tr>
        <w:trPr/>
        <w:tc>
          <w:tcPr>
            <w:tcW w:w="46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Purpose</w:t>
            </w:r>
          </w:p>
        </w:tc>
        <w:tc>
          <w:tcPr>
            <w:tcW w:w="176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Trips × Days</w:t>
            </w:r>
          </w:p>
        </w:tc>
        <w:tc>
          <w:tcPr>
            <w:tcW w:w="12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Per Trip</w:t>
            </w:r>
          </w:p>
        </w:tc>
        <w:tc>
          <w:tcPr>
            <w:tcW w:w="18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Total</w:t>
            </w:r>
          </w:p>
        </w:tc>
      </w:tr>
      <w:tr>
        <w:trPr/>
        <w:tc>
          <w:tcPr>
            <w:tcW w:w="46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Coastal field validation (Wilsonville to Cannon Beach/Astoria and return)</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2 × 2 days</w:t>
            </w:r>
          </w:p>
        </w:tc>
        <w:tc>
          <w:tcPr>
            <w:tcW w:w="12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$600</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$1,200</w:t>
            </w:r>
          </w:p>
        </w:tc>
      </w:tr>
      <w:tr>
        <w:trPr/>
        <w:tc>
          <w:tcPr>
            <w:tcW w:w="46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Technical review meetings with advisory consultants (Corvallis)</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2 × 1 day</w:t>
            </w:r>
          </w:p>
        </w:tc>
        <w:tc>
          <w:tcPr>
            <w:tcW w:w="12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$350</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$700</w:t>
            </w:r>
          </w:p>
        </w:tc>
      </w:tr>
      <w:tr>
        <w:trPr/>
        <w:tc>
          <w:tcPr>
            <w:tcW w:w="46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Program management and reporting (if government site visit required)</w:t>
            </w:r>
          </w:p>
        </w:tc>
        <w:tc>
          <w:tcPr>
            <w:tcW w:w="17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center"/>
              <w:rPr/>
            </w:pPr>
            <w:r>
              <w:rPr>
                <w:rFonts w:eastAsia="Arial" w:cs="Arial"/>
                <w:color w:val="000000"/>
                <w:sz w:val="18"/>
                <w:szCs w:val="18"/>
              </w:rPr>
              <w:t>1 × 2 days</w:t>
            </w:r>
          </w:p>
        </w:tc>
        <w:tc>
          <w:tcPr>
            <w:tcW w:w="12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$900</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$900</w:t>
            </w:r>
          </w:p>
        </w:tc>
      </w:tr>
      <w:tr>
        <w:trPr/>
        <w:tc>
          <w:tcPr>
            <w:tcW w:w="7560" w:type="dxa"/>
            <w:gridSpan w:val="3"/>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Fonts w:eastAsia="Arial" w:cs="Arial"/>
                <w:b/>
                <w:bCs/>
                <w:color w:val="1F3864"/>
                <w:sz w:val="18"/>
                <w:szCs w:val="18"/>
              </w:rPr>
              <w:t>Section E Total</w:t>
            </w:r>
          </w:p>
        </w:tc>
        <w:tc>
          <w:tcPr>
            <w:tcW w:w="1800" w:type="dxa"/>
            <w:tcBorders>
              <w:top w:val="single" w:sz="4" w:space="0" w:color="AAAAAA"/>
              <w:start w:val="single" w:sz="4" w:space="0" w:color="AAAAAA"/>
              <w:bottom w:val="single" w:sz="4" w:space="0" w:color="AAAAAA"/>
              <w:end w:val="single" w:sz="4" w:space="0" w:color="AAAAAA"/>
            </w:tcBorders>
            <w:shd w:fill="AED6F1" w:val="clear"/>
            <w:tcMar>
              <w:top w:w="60" w:type="dxa"/>
              <w:bottom w:w="60" w:type="dxa"/>
            </w:tcMar>
            <w:vAlign w:val="center"/>
          </w:tcPr>
          <w:p>
            <w:pPr>
              <w:pStyle w:val="Normal"/>
              <w:jc w:val="end"/>
              <w:rPr/>
            </w:pPr>
            <w:r>
              <w:rPr>
                <w:rFonts w:eastAsia="Arial" w:cs="Arial"/>
                <w:b/>
                <w:bCs/>
                <w:color w:val="1F3864"/>
                <w:sz w:val="18"/>
                <w:szCs w:val="18"/>
              </w:rPr>
              <w:t>$2,800</w:t>
            </w:r>
          </w:p>
        </w:tc>
      </w:tr>
    </w:tbl>
    <w:p>
      <w:pPr>
        <w:pStyle w:val="Normal"/>
        <w:spacing w:before="80" w:after="0"/>
        <w:rPr/>
      </w:pPr>
      <w:r>
        <w:rPr/>
      </w:r>
    </w:p>
    <w:p>
      <w:pPr>
        <w:pStyle w:val="Normal"/>
        <w:spacing w:before="60" w:after="60"/>
        <w:ind w:start="300"/>
        <w:rPr/>
      </w:pPr>
      <w:r>
        <w:rPr>
          <w:rFonts w:eastAsia="Arial" w:cs="Arial"/>
          <w:i/>
          <w:iCs/>
          <w:color w:val="444444"/>
          <w:sz w:val="18"/>
          <w:szCs w:val="18"/>
        </w:rPr>
        <w:t>Coastal field validation trips depart from Wilsonville, OR and target established public access sites at Cannon Beach or the Astoria jetty system (~90 miles one way). Per-trip cost includes mileage at the current federal rate, one night lodging, per diem, and equipment transport. Technical review meetings with advisors in Corvallis (~80 miles from Wilsonville) are single-day trips without lodging. Government site visit travel is included contingently; cost will be adjusted if no site visit is required.</w:t>
      </w:r>
    </w:p>
    <w:p>
      <w:pPr>
        <w:pStyle w:val="Normal"/>
        <w:spacing w:before="160" w:after="0"/>
        <w:rPr/>
      </w:pPr>
      <w:r>
        <w:rPr/>
      </w:r>
    </w:p>
    <w:p>
      <w:pPr>
        <w:pStyle w:val="Normal"/>
        <w:shd w:val="clear" w:fill="1F3864"/>
        <w:spacing w:before="200" w:after="160"/>
        <w:ind w:start="120" w:end="120"/>
        <w:rPr/>
      </w:pPr>
      <w:r>
        <w:rPr>
          <w:rFonts w:eastAsia="Arial" w:cs="Arial"/>
          <w:b/>
          <w:bCs/>
          <w:color w:val="FFFFFF"/>
          <w:sz w:val="24"/>
          <w:szCs w:val="24"/>
        </w:rPr>
        <w:t>F.  Other Direct Costs</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7560"/>
        <w:gridCol w:w="1800"/>
      </w:tblGrid>
      <w:tr>
        <w:trPr/>
        <w:tc>
          <w:tcPr>
            <w:tcW w:w="756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Item</w:t>
            </w:r>
          </w:p>
        </w:tc>
        <w:tc>
          <w:tcPr>
            <w:tcW w:w="18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Arial" w:cs="Arial"/>
                <w:b/>
                <w:bCs/>
                <w:color w:val="FFFFFF"/>
                <w:sz w:val="18"/>
                <w:szCs w:val="18"/>
              </w:rPr>
              <w:t>Cost</w:t>
            </w:r>
          </w:p>
        </w:tc>
      </w:tr>
      <w:tr>
        <w:trPr/>
        <w:tc>
          <w:tcPr>
            <w:tcW w:w="75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Portland State University laboratory facility access fees (6-month period)</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$7,200</w:t>
            </w:r>
          </w:p>
        </w:tc>
      </w:tr>
      <w:tr>
        <w:trPr/>
        <w:tc>
          <w:tcPr>
            <w:tcW w:w="75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Data acquisition and analysis software licenses</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$600</w:t>
            </w:r>
          </w:p>
        </w:tc>
      </w:tr>
      <w:tr>
        <w:trPr/>
        <w:tc>
          <w:tcPr>
            <w:tcW w:w="75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Communications and computing infrastructure</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$400</w:t>
            </w:r>
          </w:p>
        </w:tc>
      </w:tr>
      <w:tr>
        <w:trPr/>
        <w:tc>
          <w:tcPr>
            <w:tcW w:w="75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pPr>
            <w:r>
              <w:rPr>
                <w:rFonts w:eastAsia="Arial" w:cs="Arial"/>
                <w:color w:val="000000"/>
                <w:sz w:val="18"/>
                <w:szCs w:val="18"/>
              </w:rPr>
              <w:t>Final technical report preparation and reproduction</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$1,500</w:t>
            </w:r>
          </w:p>
        </w:tc>
      </w:tr>
      <w:tr>
        <w:trPr/>
        <w:tc>
          <w:tcPr>
            <w:tcW w:w="756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start"/>
              <w:rPr>
                <w:rFonts w:ascii="Arial" w:hAnsi="Arial" w:eastAsia="Arial" w:cs="Arial"/>
                <w:color w:val="000000"/>
                <w:sz w:val="18"/>
                <w:szCs w:val="18"/>
              </w:rPr>
            </w:pPr>
            <w:r>
              <w:rPr>
                <w:rFonts w:eastAsia="Arial" w:cs="Arial"/>
                <w:color w:val="000000"/>
                <w:sz w:val="18"/>
                <w:szCs w:val="18"/>
              </w:rPr>
              <w:t xml:space="preserve">Patent prosecution — conversion of two provisional patent applications to utility application (attorney fees + USPTO filing fees, MGF quoted $11,500) </w:t>
            </w:r>
          </w:p>
        </w:tc>
        <w:tc>
          <w:tcPr>
            <w:tcW w:w="1800" w:type="dxa"/>
            <w:tcBorders>
              <w:top w:val="single" w:sz="4" w:space="0" w:color="AAAAAA"/>
              <w:start w:val="single" w:sz="4" w:space="0" w:color="AAAAAA"/>
              <w:bottom w:val="single" w:sz="4" w:space="0" w:color="AAAAAA"/>
              <w:end w:val="single" w:sz="4" w:space="0" w:color="AAAAAA"/>
            </w:tcBorders>
            <w:shd w:fill="FFFFFF" w:val="clear"/>
            <w:tcMar>
              <w:top w:w="60" w:type="dxa"/>
              <w:bottom w:w="60" w:type="dxa"/>
            </w:tcMar>
            <w:vAlign w:val="center"/>
          </w:tcPr>
          <w:p>
            <w:pPr>
              <w:pStyle w:val="Normal"/>
              <w:jc w:val="end"/>
              <w:rPr/>
            </w:pPr>
            <w:r>
              <w:rPr>
                <w:rFonts w:eastAsia="Arial" w:cs="Arial"/>
                <w:color w:val="000000"/>
                <w:sz w:val="18"/>
                <w:szCs w:val="18"/>
              </w:rPr>
              <w:t>$11,500</w:t>
            </w:r>
          </w:p>
        </w:tc>
      </w:tr>
      <w:tr>
        <w:trPr/>
        <w:tc>
          <w:tcPr>
            <w:tcW w:w="7560" w:type="dxa"/>
            <w:tcBorders>
              <w:top w:val="single" w:sz="4" w:space="0" w:color="AAAAAA"/>
              <w:start w:val="single" w:sz="4" w:space="0" w:color="AAAAAA"/>
              <w:bottom w:val="single" w:sz="4" w:space="0" w:color="AAAAAA"/>
              <w:end w:val="single" w:sz="4" w:space="0" w:color="AAAAAA"/>
            </w:tcBorders>
            <w:shd w:fill="D6E4F0" w:val="clear"/>
            <w:tcMar>
              <w:top w:w="60" w:type="dxa"/>
              <w:bottom w:w="60" w:type="dxa"/>
            </w:tcMar>
            <w:vAlign w:val="center"/>
          </w:tcPr>
          <w:p>
            <w:pPr>
              <w:pStyle w:val="Normal"/>
              <w:jc w:val="start"/>
              <w:rPr/>
            </w:pPr>
            <w:r>
              <w:rPr>
                <w:rFonts w:eastAsia="Arial" w:cs="Arial"/>
                <w:b/>
                <w:bCs/>
                <w:color w:val="1F3864"/>
                <w:sz w:val="18"/>
                <w:szCs w:val="18"/>
              </w:rPr>
              <w:t>Section F Total</w:t>
            </w:r>
          </w:p>
        </w:tc>
        <w:tc>
          <w:tcPr>
            <w:tcW w:w="1800" w:type="dxa"/>
            <w:tcBorders>
              <w:top w:val="single" w:sz="4" w:space="0" w:color="AAAAAA"/>
              <w:start w:val="single" w:sz="4" w:space="0" w:color="AAAAAA"/>
              <w:bottom w:val="single" w:sz="4" w:space="0" w:color="AAAAAA"/>
              <w:end w:val="single" w:sz="4" w:space="0" w:color="AAAAAA"/>
            </w:tcBorders>
            <w:shd w:fill="AED6F1" w:val="clear"/>
            <w:tcMar>
              <w:top w:w="60" w:type="dxa"/>
              <w:bottom w:w="60" w:type="dxa"/>
            </w:tcMar>
            <w:vAlign w:val="center"/>
          </w:tcPr>
          <w:p>
            <w:pPr>
              <w:pStyle w:val="Normal"/>
              <w:jc w:val="end"/>
              <w:rPr/>
            </w:pPr>
            <w:r>
              <w:rPr>
                <w:rFonts w:eastAsia="Arial" w:cs="Arial"/>
                <w:b/>
                <w:bCs/>
                <w:color w:val="1F3864"/>
                <w:sz w:val="18"/>
                <w:szCs w:val="18"/>
              </w:rPr>
              <w:t>$21,200</w:t>
            </w:r>
          </w:p>
        </w:tc>
      </w:tr>
    </w:tbl>
    <w:p>
      <w:pPr>
        <w:pStyle w:val="Normal"/>
        <w:spacing w:before="80" w:after="0"/>
        <w:rPr/>
      </w:pPr>
      <w:r>
        <w:rPr/>
      </w:r>
    </w:p>
    <w:p>
      <w:pPr>
        <w:pStyle w:val="Normal"/>
        <w:spacing w:before="60" w:after="60"/>
        <w:ind w:start="300"/>
        <w:rPr/>
      </w:pPr>
      <w:r>
        <w:rPr>
          <w:rFonts w:eastAsia="Arial" w:cs="Arial"/>
          <w:i/>
          <w:iCs/>
          <w:color w:val="444444"/>
          <w:sz w:val="18"/>
          <w:szCs w:val="18"/>
        </w:rPr>
        <w:t>PSU laboratory facility fees cover bench space access arranged through ONAMI for the 6-month period of performance. Software licenses cover LabVIEW or Python-based data acquisition suite and statistical analysis tools. Final report preparation includes formatting, reproduction, and digital submission of the Phase I technical report. Patent prosecution costs reflect the firm quote provided by MGF for conversion of two provisional patent applications (filed February 2026) to a single non-provisional utility application claiming priority to both, including all attorney fees and USPTO micro-entity filing fees. The provisional-to-utility conversion deadline falls within the Phase I performance period; this cost is directly tied to protecting the intellectual property developed under this award.</w:t>
      </w:r>
    </w:p>
    <w:p>
      <w:pPr>
        <w:pStyle w:val="Normal"/>
        <w:spacing w:before="160" w:after="0"/>
        <w:rPr/>
      </w:pPr>
      <w:r>
        <w:rPr/>
      </w:r>
    </w:p>
    <w:p>
      <w:pPr>
        <w:pStyle w:val="Normal"/>
        <w:shd w:val="clear" w:fill="1F3864"/>
        <w:spacing w:before="200" w:after="160"/>
        <w:ind w:start="120" w:end="120"/>
        <w:rPr/>
      </w:pPr>
      <w:r>
        <w:rPr>
          <w:rFonts w:eastAsia="Arial" w:cs="Arial"/>
          <w:b/>
          <w:bCs/>
          <w:color w:val="FFFFFF"/>
          <w:sz w:val="24"/>
          <w:szCs w:val="24"/>
        </w:rPr>
        <w:t>G.  Indirect Costs (Facilities &amp; Administrative)</w:t>
      </w:r>
    </w:p>
    <w:p>
      <w:pPr>
        <w:pStyle w:val="Normal"/>
        <w:spacing w:before="60" w:after="0"/>
        <w:rPr/>
      </w:pPr>
      <w:r>
        <w:rPr/>
      </w:r>
    </w:p>
    <w:p>
      <w:pPr>
        <w:pStyle w:val="Normal"/>
        <w:spacing w:before="60" w:after="60"/>
        <w:rPr/>
      </w:pPr>
      <w:r>
        <w:rPr>
          <w:rFonts w:eastAsia="Arial" w:cs="Arial"/>
          <w:b/>
          <w:bCs/>
          <w:color w:val="000000"/>
          <w:sz w:val="20"/>
          <w:szCs w:val="20"/>
        </w:rPr>
        <w:t xml:space="preserve">F&amp;A Rate: </w:t>
      </w:r>
      <w:r>
        <w:rPr>
          <w:rFonts w:eastAsia="Arial" w:cs="Arial"/>
          <w:color w:val="000000"/>
          <w:sz w:val="20"/>
          <w:szCs w:val="20"/>
        </w:rPr>
        <w:t>25.0% applied to direct labor and fringe benefits (Sections A + B).</w:t>
      </w:r>
    </w:p>
    <w:p>
      <w:pPr>
        <w:pStyle w:val="Normal"/>
        <w:spacing w:before="60" w:after="60"/>
        <w:rPr/>
      </w:pPr>
      <w:r>
        <w:rPr>
          <w:rFonts w:eastAsia="Arial" w:cs="Arial"/>
          <w:b/>
          <w:bCs/>
          <w:color w:val="000000"/>
          <w:sz w:val="20"/>
          <w:szCs w:val="20"/>
        </w:rPr>
        <w:t xml:space="preserve">F&amp;A Base: </w:t>
      </w:r>
      <w:r>
        <w:rPr>
          <w:rFonts w:eastAsia="Arial" w:cs="Arial"/>
          <w:color w:val="000000"/>
          <w:sz w:val="20"/>
          <w:szCs w:val="20"/>
        </w:rPr>
        <w:t>Section A ($83,125) + Section B ($13,975) = $97,100</w:t>
      </w:r>
    </w:p>
    <w:p>
      <w:pPr>
        <w:pStyle w:val="Normal"/>
        <w:spacing w:before="60" w:after="60"/>
        <w:rPr/>
      </w:pPr>
      <w:r>
        <w:rPr>
          <w:rFonts w:eastAsia="Arial" w:cs="Arial"/>
          <w:b/>
          <w:bCs/>
          <w:color w:val="000000"/>
          <w:sz w:val="20"/>
          <w:szCs w:val="20"/>
        </w:rPr>
        <w:t xml:space="preserve">F&amp;A Amount: </w:t>
      </w:r>
      <w:r>
        <w:rPr>
          <w:rFonts w:eastAsia="Arial" w:cs="Arial"/>
          <w:color w:val="000000"/>
          <w:sz w:val="20"/>
          <w:szCs w:val="20"/>
        </w:rPr>
        <w:t>$97,100 × 25.0% = $24,275</w:t>
      </w:r>
    </w:p>
    <w:p>
      <w:pPr>
        <w:pStyle w:val="Normal"/>
        <w:spacing w:before="80" w:after="0"/>
        <w:rPr/>
      </w:pPr>
      <w:r>
        <w:rPr/>
      </w:r>
    </w:p>
    <w:p>
      <w:pPr>
        <w:pStyle w:val="Normal"/>
        <w:spacing w:before="60" w:after="60"/>
        <w:ind w:start="300"/>
        <w:rPr/>
      </w:pPr>
      <w:r>
        <w:rPr>
          <w:rFonts w:eastAsia="Arial" w:cs="Arial"/>
          <w:i/>
          <w:iCs/>
          <w:color w:val="444444"/>
          <w:sz w:val="18"/>
          <w:szCs w:val="18"/>
        </w:rPr>
        <w:t>Novel Systems Engineering LLC does not hold a negotiated F&amp;A rate agreement with the federal government. The 25.0% provisional rate is based on actual indirect cost categories: business insurance and liability coverage, legal and accounting services, office and computing infrastructure, and LLC compliance costs attributable to all company activities. A Disclosure Statement and supporting cost data are available upon request. The company will negotiate a predetermined rate with the cognizant federal agency prior to Phase II application if Phase I is awarded.</w:t>
      </w:r>
    </w:p>
    <w:p>
      <w:pPr>
        <w:pStyle w:val="Normal"/>
        <w:spacing w:before="160" w:after="0"/>
        <w:rPr/>
      </w:pPr>
      <w:r>
        <w:rPr/>
      </w:r>
    </w:p>
    <w:p>
      <w:pPr>
        <w:pStyle w:val="Normal"/>
        <w:shd w:val="clear" w:fill="1F3864"/>
        <w:spacing w:before="200" w:after="160"/>
        <w:ind w:start="120" w:end="120"/>
        <w:rPr/>
      </w:pPr>
      <w:r>
        <w:rPr>
          <w:rFonts w:eastAsia="Arial" w:cs="Arial"/>
          <w:b/>
          <w:bCs/>
          <w:color w:val="FFFFFF"/>
          <w:sz w:val="24"/>
          <w:szCs w:val="24"/>
        </w:rPr>
        <w:t>H.  Fee</w:t>
      </w:r>
    </w:p>
    <w:p>
      <w:pPr>
        <w:pStyle w:val="Normal"/>
        <w:spacing w:before="60" w:after="0"/>
        <w:rPr/>
      </w:pPr>
      <w:r>
        <w:rPr/>
      </w:r>
    </w:p>
    <w:p>
      <w:pPr>
        <w:pStyle w:val="Normal"/>
        <w:spacing w:before="60" w:after="60"/>
        <w:rPr/>
      </w:pPr>
      <w:r>
        <w:rPr>
          <w:rFonts w:eastAsia="Arial" w:cs="Arial"/>
          <w:b/>
          <w:bCs/>
          <w:color w:val="000000"/>
          <w:sz w:val="20"/>
          <w:szCs w:val="20"/>
        </w:rPr>
        <w:t xml:space="preserve">Fee Basis: </w:t>
      </w:r>
      <w:r>
        <w:rPr>
          <w:rFonts w:eastAsia="Arial" w:cs="Arial"/>
          <w:color w:val="000000"/>
          <w:sz w:val="20"/>
          <w:szCs w:val="20"/>
        </w:rPr>
        <w:t>7.5% of total costs before fee ($179,215)</w:t>
      </w:r>
    </w:p>
    <w:p>
      <w:pPr>
        <w:pStyle w:val="Normal"/>
        <w:spacing w:before="60" w:after="60"/>
        <w:rPr/>
      </w:pPr>
      <w:r>
        <w:rPr>
          <w:rFonts w:eastAsia="Arial" w:cs="Arial"/>
          <w:b/>
          <w:bCs/>
          <w:color w:val="000000"/>
          <w:sz w:val="20"/>
          <w:szCs w:val="20"/>
        </w:rPr>
        <w:t xml:space="preserve">Fee Amount: </w:t>
      </w:r>
      <w:r>
        <w:rPr>
          <w:rFonts w:eastAsia="Arial" w:cs="Arial"/>
          <w:color w:val="000000"/>
          <w:sz w:val="20"/>
          <w:szCs w:val="20"/>
        </w:rPr>
        <w:t>$13,441</w:t>
      </w:r>
    </w:p>
    <w:p>
      <w:pPr>
        <w:pStyle w:val="Normal"/>
        <w:spacing w:before="80" w:after="0"/>
        <w:rPr/>
      </w:pPr>
      <w:r>
        <w:rPr/>
      </w:r>
    </w:p>
    <w:p>
      <w:pPr>
        <w:pStyle w:val="Normal"/>
        <w:spacing w:before="60" w:after="60"/>
        <w:ind w:start="300"/>
        <w:rPr/>
      </w:pPr>
      <w:r>
        <w:rPr>
          <w:rFonts w:eastAsia="Arial" w:cs="Arial"/>
          <w:i/>
          <w:iCs/>
          <w:color w:val="444444"/>
          <w:sz w:val="18"/>
          <w:szCs w:val="18"/>
        </w:rPr>
        <w:t>Fee reflects the commercial risk assumed by Novel Systems Engineering LLC as a sole-member small business undertaking novel instrumentation development with no guaranteed revenue. The requested fee is within SBIR program guidelines for Phase I awards.</w:t>
      </w:r>
    </w:p>
    <w:p>
      <w:pPr>
        <w:pStyle w:val="Normal"/>
        <w:spacing w:before="200" w:after="0"/>
        <w:rPr/>
      </w:pPr>
      <w:r>
        <w:rPr/>
      </w:r>
    </w:p>
    <w:p>
      <w:pPr>
        <w:pStyle w:val="Normal"/>
        <w:pBdr>
          <w:bottom w:val="single" w:sz="6" w:space="2" w:color="1F3864"/>
        </w:pBdr>
        <w:spacing w:before="240" w:after="80"/>
        <w:rPr/>
      </w:pPr>
      <w:r>
        <w:rPr>
          <w:rFonts w:eastAsia="Arial" w:cs="Arial"/>
          <w:b/>
          <w:bCs/>
          <w:color w:val="1F3864"/>
          <w:sz w:val="20"/>
          <w:szCs w:val="20"/>
        </w:rPr>
        <w:t>Cost and Pricing Certification</w:t>
      </w:r>
    </w:p>
    <w:p>
      <w:pPr>
        <w:pStyle w:val="Normal"/>
        <w:spacing w:before="80" w:after="0"/>
        <w:rPr/>
      </w:pPr>
      <w:r>
        <w:rPr/>
      </w:r>
    </w:p>
    <w:p>
      <w:pPr>
        <w:pStyle w:val="Normal"/>
        <w:spacing w:before="80" w:after="80"/>
        <w:rPr/>
      </w:pPr>
      <w:r>
        <w:rPr>
          <w:rFonts w:eastAsia="Arial" w:cs="Arial"/>
          <w:color w:val="000000"/>
          <w:sz w:val="20"/>
          <w:szCs w:val="20"/>
        </w:rPr>
        <w:t>The proposed costs are based on the offeror's best estimates of costs that will be incurred in the performance of this effort. All cost and pricing data are accurate, current, and complete to the best knowledge of the Principal Investigator as of the date of this submission. The proposed budget does not include costs for activities outside the Phase I scope of work, and all consultant arrangements are arm's-length transactions with no financial relationship between Novel Systems Engineering LLC and the named advisors beyond the consulting agreements described herein.</w:t>
      </w:r>
    </w:p>
    <w:p>
      <w:pPr>
        <w:pStyle w:val="Normal"/>
        <w:spacing w:before="160" w:after="0"/>
        <w:rPr/>
      </w:pPr>
      <w:r>
        <w:rPr/>
      </w:r>
    </w:p>
    <w:p>
      <w:pPr>
        <w:pStyle w:val="Normal"/>
        <w:spacing w:before="80" w:after="80"/>
        <w:rPr/>
      </w:pPr>
      <w:r>
        <w:rPr>
          <w:rFonts w:eastAsia="Arial" w:cs="Arial"/>
          <w:color w:val="000000"/>
          <w:sz w:val="20"/>
          <w:szCs w:val="20"/>
        </w:rPr>
        <w:t xml:space="preserve">Principal Investigator Signature: _________________________________  </w:t>
      </w:r>
      <w:r>
        <w:rPr>
          <w:rFonts w:eastAsia="Arial" w:cs="Arial"/>
          <w:b/>
          <w:bCs/>
          <w:color w:val="000000"/>
          <w:sz w:val="20"/>
          <w:szCs w:val="20"/>
        </w:rPr>
        <w:t>Samuel C. Ryan</w:t>
      </w:r>
    </w:p>
    <w:p>
      <w:pPr>
        <w:pStyle w:val="Normal"/>
        <w:spacing w:before="80" w:after="80"/>
        <w:rPr/>
      </w:pPr>
      <w:r>
        <w:rPr>
          <w:rFonts w:eastAsia="Arial" w:cs="Arial"/>
          <w:color w:val="000000"/>
          <w:sz w:val="20"/>
          <w:szCs w:val="20"/>
        </w:rPr>
        <w:t>Title: Principal Investigator / Managing Member, Novel Systems Engineering LLC</w:t>
      </w:r>
    </w:p>
    <w:p>
      <w:pPr>
        <w:pStyle w:val="Normal"/>
        <w:spacing w:before="80" w:after="80"/>
        <w:rPr/>
      </w:pPr>
      <w:r>
        <w:rPr>
          <w:rFonts w:eastAsia="Arial" w:cs="Arial"/>
          <w:color w:val="000000"/>
          <w:sz w:val="20"/>
          <w:szCs w:val="20"/>
        </w:rPr>
        <w:t>Date: _________________________________</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2" w:color="BBBBBB"/>
      </w:pBdr>
      <w:tabs>
        <w:tab w:val="clear" w:pos="720"/>
        <w:tab w:val="right" w:pos="9026" w:leader="none"/>
      </w:tabs>
      <w:rPr/>
    </w:pPr>
    <w:r>
      <w:rPr>
        <w:rFonts w:eastAsia="Arial" w:cs="Arial"/>
        <w:color w:val="888888"/>
        <w:sz w:val="16"/>
        <w:szCs w:val="16"/>
      </w:rPr>
      <w:t>Novel Systems Engineering, LLC  •  Wilsonville, OR 97070  •  503-941-0418  •  novelsystems.me</w:t>
    </w:r>
    <w:r>
      <w:rPr>
        <w:rFonts w:eastAsia="Arial" w:cs="Arial"/>
      </w:rPr>
      <w:tab/>
    </w:r>
    <w:r>
      <w:rPr>
        <w:rFonts w:eastAsia="Arial" w:cs="Arial"/>
        <w:color w:val="888888"/>
        <w:sz w:val="16"/>
        <w:szCs w:val="16"/>
      </w:rPr>
      <w:t xml:space="preserve">Page </w:t>
    </w:r>
    <w:r>
      <w:rPr>
        <w:rFonts w:eastAsia="Arial" w:cs="Arial"/>
        <w:color w:val="000000"/>
        <w:sz w:val="20"/>
        <w:szCs w:val="20"/>
      </w:rPr>
      <w:fldChar w:fldCharType="begin"/>
    </w:r>
    <w:r>
      <w:rPr>
        <w:sz w:val="20"/>
        <w:szCs w:val="20"/>
        <w:rFonts w:eastAsia="Arial" w:cs="Arial"/>
        <w:color w:val="000000"/>
      </w:rPr>
      <w:instrText xml:space="preserve"> PAGE </w:instrText>
    </w:r>
    <w:r>
      <w:rPr>
        <w:sz w:val="20"/>
        <w:szCs w:val="20"/>
        <w:rFonts w:eastAsia="Arial" w:cs="Arial"/>
        <w:color w:val="000000"/>
      </w:rPr>
      <w:fldChar w:fldCharType="separate"/>
    </w:r>
    <w:r>
      <w:rPr>
        <w:sz w:val="20"/>
        <w:szCs w:val="20"/>
        <w:rFonts w:eastAsia="Arial" w:cs="Arial"/>
        <w:color w:val="000000"/>
      </w:rPr>
      <w:t>5</w:t>
    </w:r>
    <w:r>
      <w:rPr>
        <w:sz w:val="20"/>
        <w:szCs w:val="20"/>
        <w:rFonts w:eastAsia="Arial" w:cs="Arial"/>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2" w:color="BBBBBB"/>
      </w:pBdr>
      <w:tabs>
        <w:tab w:val="clear" w:pos="720"/>
        <w:tab w:val="right" w:pos="9026" w:leader="none"/>
      </w:tabs>
      <w:rPr/>
    </w:pPr>
    <w:r>
      <w:rPr>
        <w:rFonts w:eastAsia="Arial" w:cs="Arial"/>
        <w:color w:val="888888"/>
        <w:sz w:val="16"/>
        <w:szCs w:val="16"/>
      </w:rPr>
      <w:t>Novel Systems Engineering, LLC  •  Wilsonville, OR 97070  •  503-941-0418  •  novelsystems.me</w:t>
    </w:r>
    <w:r>
      <w:rPr>
        <w:rFonts w:eastAsia="Arial" w:cs="Arial"/>
      </w:rPr>
      <w:tab/>
    </w:r>
    <w:r>
      <w:rPr>
        <w:rFonts w:eastAsia="Arial" w:cs="Arial"/>
        <w:color w:val="888888"/>
        <w:sz w:val="16"/>
        <w:szCs w:val="16"/>
      </w:rPr>
      <w:t xml:space="preserve">Page </w:t>
    </w:r>
    <w:r>
      <w:rPr>
        <w:rFonts w:eastAsia="Arial" w:cs="Arial"/>
        <w:color w:val="000000"/>
        <w:sz w:val="20"/>
        <w:szCs w:val="20"/>
      </w:rPr>
      <w:fldChar w:fldCharType="begin"/>
    </w:r>
    <w:r>
      <w:rPr>
        <w:sz w:val="20"/>
        <w:szCs w:val="20"/>
        <w:rFonts w:eastAsia="Arial" w:cs="Arial"/>
        <w:color w:val="000000"/>
      </w:rPr>
      <w:instrText xml:space="preserve"> PAGE </w:instrText>
    </w:r>
    <w:r>
      <w:rPr>
        <w:sz w:val="20"/>
        <w:szCs w:val="20"/>
        <w:rFonts w:eastAsia="Arial" w:cs="Arial"/>
        <w:color w:val="000000"/>
      </w:rPr>
      <w:fldChar w:fldCharType="separate"/>
    </w:r>
    <w:r>
      <w:rPr>
        <w:sz w:val="20"/>
        <w:szCs w:val="20"/>
        <w:rFonts w:eastAsia="Arial" w:cs="Arial"/>
        <w:color w:val="000000"/>
      </w:rPr>
      <w:t>5</w:t>
    </w:r>
    <w:r>
      <w:rPr>
        <w:sz w:val="20"/>
        <w:szCs w:val="20"/>
        <w:rFonts w:eastAsia="Arial" w:cs="Arial"/>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2" w:color="1F3864"/>
      </w:pBdr>
      <w:tabs>
        <w:tab w:val="clear" w:pos="720"/>
        <w:tab w:val="right" w:pos="9026" w:leader="none"/>
      </w:tabs>
      <w:rPr/>
    </w:pPr>
    <w:r>
      <w:rPr>
        <w:rFonts w:eastAsia="Arial" w:cs="Arial"/>
        <w:b/>
        <w:bCs/>
        <w:color w:val="1F3864"/>
        <w:sz w:val="16"/>
        <w:szCs w:val="16"/>
      </w:rPr>
      <w:t>SBIR Phase I — Budget Volume  |  Novel Systems Engineering, LLC</w:t>
    </w:r>
    <w:r>
      <w:rPr>
        <w:rFonts w:eastAsia="Arial" w:cs="Arial"/>
      </w:rPr>
      <w:tab/>
    </w:r>
    <w:r>
      <w:rPr>
        <w:rFonts w:eastAsia="Arial" w:cs="Arial"/>
        <w:b/>
        <w:bCs/>
        <w:color w:val="888888"/>
        <w:sz w:val="16"/>
        <w:szCs w:val="16"/>
      </w:rPr>
      <w:t>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2" w:color="1F3864"/>
      </w:pBdr>
      <w:tabs>
        <w:tab w:val="clear" w:pos="720"/>
        <w:tab w:val="right" w:pos="9026" w:leader="none"/>
      </w:tabs>
      <w:rPr/>
    </w:pPr>
    <w:r>
      <w:rPr>
        <w:rFonts w:eastAsia="Arial" w:cs="Arial"/>
        <w:b/>
        <w:bCs/>
        <w:color w:val="1F3864"/>
        <w:sz w:val="16"/>
        <w:szCs w:val="16"/>
      </w:rPr>
      <w:t>SBIR Phase I — Budget Volume  |  Novel Systems Engineering, LLC</w:t>
    </w:r>
    <w:r>
      <w:rPr>
        <w:rFonts w:eastAsia="Arial" w:cs="Arial"/>
      </w:rPr>
      <w:tab/>
    </w:r>
    <w:r>
      <w:rPr>
        <w:rFonts w:eastAsia="Arial" w:cs="Arial"/>
        <w:b/>
        <w:bCs/>
        <w:color w:val="888888"/>
        <w:sz w:val="16"/>
        <w:szCs w:val="16"/>
      </w:rPr>
      <w:t>CONFIDENTIAL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LibreOffice/25.8.3.2$Windows_X86_64 LibreOffice_project/8ca8d55c161d602844f5428fa4b58097424e324e</Application>
  <AppVersion>15.0000</AppVersion>
  <Pages>5</Pages>
  <Words>1535</Words>
  <Characters>8937</Characters>
  <CharactersWithSpaces>10244</CharactersWithSpaces>
  <Paragraphs>266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2026-02-21T17:19:07Z</dcterms:created>
  <dc:creator>Un-named</dc:creator>
  <dc:description/>
  <dc:language>en-US</dc:language>
  <cp:lastModifiedBy/>
  <dcterms:modified xsi:type="dcterms:W3CDTF">2026-02-27T10:38:46Z</dcterms:modified>
  <cp:revision>2</cp:revision>
  <dc:subject/>
  <dc:title/>
</cp:coreProperties>
</file>