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1F4E79"/>
          <w:sz w:val="32"/>
          <w:szCs w:val="32"/>
        </w:rPr>
        <w:t>SBIR PHASE I TECHNICAL VOLUME</w:t>
      </w:r>
    </w:p>
    <w:p>
      <w:pPr>
        <w:pStyle w:val="Normal"/>
        <w:spacing w:before="0" w:after="80"/>
        <w:jc w:val="center"/>
        <w:rPr/>
      </w:pPr>
      <w:r>
        <w:rPr>
          <w:rFonts w:eastAsia="Arial" w:cs="Arial"/>
          <w:b/>
          <w:bCs/>
          <w:sz w:val="26"/>
          <w:szCs w:val="26"/>
        </w:rPr>
        <w:t>Differential Depolarization Response Sensor for Maritime Search and Rescue Material Discrimination</w:t>
      </w:r>
    </w:p>
    <w:p>
      <w:pPr>
        <w:pStyle w:val="Normal"/>
        <w:spacing w:before="0" w:after="80"/>
        <w:jc w:val="center"/>
        <w:rPr/>
      </w:pPr>
      <w:r>
        <w:rPr>
          <w:rFonts w:eastAsia="Arial" w:cs="Arial"/>
          <w:sz w:val="24"/>
          <w:szCs w:val="24"/>
        </w:rPr>
        <w:t>Novel Systems Engineering, LLC</w:t>
      </w:r>
    </w:p>
    <w:p>
      <w:pPr>
        <w:pStyle w:val="Normal"/>
        <w:spacing w:before="0" w:after="80"/>
        <w:jc w:val="center"/>
        <w:rPr/>
      </w:pPr>
      <w:r>
        <w:rPr>
          <w:rFonts w:eastAsia="Arial" w:cs="Arial"/>
          <w:sz w:val="24"/>
          <w:szCs w:val="24"/>
        </w:rPr>
        <w:t>Wilsonville, OR 97070</w:t>
      </w:r>
    </w:p>
    <w:p>
      <w:pPr>
        <w:pStyle w:val="Normal"/>
        <w:spacing w:before="0" w:after="80"/>
        <w:jc w:val="center"/>
        <w:rPr/>
      </w:pPr>
      <w:r>
        <w:rPr>
          <w:rFonts w:eastAsia="Arial" w:cs="Arial"/>
          <w:sz w:val="24"/>
          <w:szCs w:val="24"/>
        </w:rPr>
        <w:t>Principal Investigator: Samuel C. Ryan</w:t>
      </w:r>
    </w:p>
    <w:p>
      <w:pPr>
        <w:pStyle w:val="Normal"/>
        <w:spacing w:before="0" w:after="320"/>
        <w:jc w:val="center"/>
        <w:rPr/>
      </w:pPr>
      <w:r>
        <w:rPr>
          <w:rFonts w:eastAsia="Arial" w:cs="Arial"/>
          <w:i/>
          <w:iCs/>
          <w:sz w:val="24"/>
          <w:szCs w:val="24"/>
        </w:rPr>
        <w:t>Period of Performance: 6 Months | Patent Pending</w:t>
      </w:r>
    </w:p>
    <w:p>
      <w:pPr>
        <w:pStyle w:val="Heading1"/>
        <w:rPr/>
      </w:pPr>
      <w:r>
        <w:rPr>
          <w:rFonts w:eastAsia="Arial" w:cs="Arial"/>
          <w:b/>
          <w:bCs/>
          <w:sz w:val="28"/>
          <w:szCs w:val="28"/>
        </w:rPr>
        <w:t>1. Identification and Significance of the Problem</w:t>
      </w:r>
    </w:p>
    <w:p>
      <w:pPr>
        <w:pStyle w:val="Heading2"/>
        <w:rPr/>
      </w:pPr>
      <w:r>
        <w:rPr>
          <w:rFonts w:eastAsia="Arial" w:cs="Arial"/>
          <w:b/>
          <w:bCs/>
          <w:sz w:val="24"/>
          <w:szCs w:val="24"/>
        </w:rPr>
        <w:t>1.1 The Maritime Search and Rescue Detection Gap</w:t>
      </w:r>
    </w:p>
    <w:p>
      <w:pPr>
        <w:pStyle w:val="Normal"/>
        <w:spacing w:before="0" w:after="160"/>
        <w:rPr/>
      </w:pPr>
      <w:r>
        <w:rPr>
          <w:rFonts w:eastAsia="Arial" w:cs="Arial"/>
          <w:sz w:val="24"/>
          <w:szCs w:val="24"/>
        </w:rPr>
        <w:t>Maritime search and rescue (SAR) operations face a critical constraint: survival probability for persons in water declines sharply with time. Hypothermia onset in Pacific Northwest waters (approximately 10°C) creates survival windows measured in minutes to hours, not days. The primary bottleneck in SAR outcomes is not response time but target detection time: the interval between arrival on scene and positive identification of a survivor amid ocean debris, wave clutter, and natural materials.</w:t>
      </w:r>
    </w:p>
    <w:p>
      <w:pPr>
        <w:pStyle w:val="Normal"/>
        <w:spacing w:before="0" w:after="160"/>
        <w:rPr/>
      </w:pPr>
      <w:r>
        <w:rPr>
          <w:rFonts w:eastAsia="Arial" w:cs="Arial"/>
          <w:sz w:val="24"/>
          <w:szCs w:val="24"/>
        </w:rPr>
        <w:t>Current sensor technologies deployed by the U.S. Coast Guard and volunteer SAR organizations suffer complementary limitations that prevent automated material discrimination under adverse conditions:</w:t>
      </w:r>
    </w:p>
    <w:p>
      <w:pPr>
        <w:pStyle w:val="ListParagraph"/>
        <w:numPr>
          <w:ilvl w:val="0"/>
          <w:numId w:val="4"/>
        </w:numPr>
        <w:spacing w:before="0" w:after="80"/>
        <w:rPr/>
      </w:pPr>
      <w:r>
        <w:rPr>
          <w:rFonts w:eastAsia="Arial" w:cs="Arial"/>
          <w:sz w:val="24"/>
          <w:szCs w:val="24"/>
        </w:rPr>
        <w:t>Electro-optical cameras achieve sub-meter resolution at ranges exceeding 5 km but require adequate visible light and clear weather. Fog, darkness, and precipitation are conditions common in Pacific Northwest maritime incidents, and these render EO cameras unreliable precisely when SAR operations are most needed.</w:t>
      </w:r>
    </w:p>
    <w:p>
      <w:pPr>
        <w:pStyle w:val="ListParagraph"/>
        <w:numPr>
          <w:ilvl w:val="0"/>
          <w:numId w:val="5"/>
        </w:numPr>
        <w:spacing w:before="0" w:after="80"/>
        <w:rPr/>
      </w:pPr>
      <w:r>
        <w:rPr>
          <w:rFonts w:eastAsia="Arial" w:cs="Arial"/>
          <w:sz w:val="24"/>
          <w:szCs w:val="24"/>
        </w:rPr>
        <w:t>Thermal infrared sensors provide all-weather detection through temperature contrast but cannot discriminate material composition. Life-saving equipment and marine debris exhibit similar thermal signatures, requiring manual operator classification of every detected object and dramatically increasing search time.</w:t>
      </w:r>
    </w:p>
    <w:p>
      <w:pPr>
        <w:pStyle w:val="ListParagraph"/>
        <w:numPr>
          <w:ilvl w:val="0"/>
          <w:numId w:val="6"/>
        </w:numPr>
        <w:spacing w:before="0" w:after="80"/>
        <w:rPr/>
      </w:pPr>
      <w:r>
        <w:rPr>
          <w:rFonts w:eastAsia="Arial" w:cs="Arial"/>
          <w:sz w:val="24"/>
          <w:szCs w:val="24"/>
        </w:rPr>
        <w:t>Maritime radar excels at long-range vessel detection (10–30 km) but generates significant sea clutter and poor resolution for sub-meter targets. Person-in-water detection is unreliable in rough seas where wave returns mask human-scale targets.</w:t>
      </w:r>
    </w:p>
    <w:p>
      <w:pPr>
        <w:pStyle w:val="ListParagraph"/>
        <w:numPr>
          <w:ilvl w:val="0"/>
          <w:numId w:val="7"/>
        </w:numPr>
        <w:spacing w:before="0" w:after="80"/>
        <w:rPr/>
      </w:pPr>
      <w:r>
        <w:rPr>
          <w:rFonts w:eastAsia="Arial" w:cs="Arial"/>
          <w:sz w:val="24"/>
          <w:szCs w:val="24"/>
        </w:rPr>
        <w:t>Existing polarization-based LiDAR systems demonstrate material discrimination capability but employ 2D phased arrays with manufacturing yields of 10–30%, forcing sensor costs to $50,000–$200,000. This price barrier excludes widespread deployment beyond well-funded government agencies, leaving coastal communities, volunteer organizations, and recreational boating operators without access to automated material discrimination.</w:t>
      </w:r>
    </w:p>
    <w:p>
      <w:pPr>
        <w:pStyle w:val="Normal"/>
        <w:spacing w:before="0" w:after="160"/>
        <w:rPr/>
      </w:pPr>
      <w:r>
        <w:rPr>
          <w:rFonts w:eastAsia="Arial" w:cs="Arial"/>
          <w:sz w:val="24"/>
          <w:szCs w:val="24"/>
        </w:rPr>
        <w:t>No commercially available sensor affordable to volunteer SAR organizations currently provides automated material classification capable of distinguishing life-saving equipment from ocean debris under adverse weather conditions without requiring manual operator judgment for each detected contact.</w:t>
      </w:r>
    </w:p>
    <w:p>
      <w:pPr>
        <w:pStyle w:val="Heading2"/>
        <w:rPr/>
      </w:pPr>
      <w:r>
        <w:rPr>
          <w:rFonts w:eastAsia="Arial" w:cs="Arial"/>
          <w:b/>
          <w:bCs/>
          <w:sz w:val="24"/>
          <w:szCs w:val="24"/>
        </w:rPr>
        <w:t>1.2 The Operational Consequence</w:t>
      </w:r>
    </w:p>
    <w:p>
      <w:pPr>
        <w:pStyle w:val="Normal"/>
        <w:spacing w:before="0" w:after="160"/>
        <w:rPr/>
      </w:pPr>
      <w:r>
        <w:rPr>
          <w:rFonts w:eastAsia="Arial" w:cs="Arial"/>
          <w:sz w:val="24"/>
          <w:szCs w:val="24"/>
        </w:rPr>
        <w:t>The practical result is that SAR operators must visually examine every detected object during a search, compressing the time available to cover the search area and increasing the probability that survivors are overlooked or reached too late. Automated material discrimination would change this: rather than examining all contacts, operators investigate only high-priority targets flagged by sensor classification, reducing time-to-recovery during critical survival windows.</w:t>
      </w:r>
    </w:p>
    <w:p>
      <w:pPr>
        <w:pStyle w:val="Heading1"/>
        <w:rPr/>
      </w:pPr>
      <w:r>
        <w:rPr>
          <w:rFonts w:eastAsia="Arial" w:cs="Arial"/>
          <w:b/>
          <w:bCs/>
          <w:sz w:val="28"/>
          <w:szCs w:val="28"/>
        </w:rPr>
        <w:t>2. Innovation</w:t>
      </w:r>
    </w:p>
    <w:p>
      <w:pPr>
        <w:pStyle w:val="Heading2"/>
        <w:rPr/>
      </w:pPr>
      <w:r>
        <w:rPr>
          <w:rFonts w:eastAsia="Arial" w:cs="Arial"/>
          <w:b/>
          <w:bCs/>
          <w:sz w:val="24"/>
          <w:szCs w:val="24"/>
        </w:rPr>
        <w:t>2.1 Differential Depolarization Response Measurement Principle</w:t>
      </w:r>
    </w:p>
    <w:p>
      <w:pPr>
        <w:pStyle w:val="Normal"/>
        <w:spacing w:before="0" w:after="160"/>
        <w:rPr/>
      </w:pPr>
      <w:r>
        <w:rPr>
          <w:rFonts w:eastAsia="Arial" w:cs="Arial"/>
          <w:sz w:val="24"/>
          <w:szCs w:val="24"/>
        </w:rPr>
        <w:t>This proposal introduces Differential Depolarization Response (DDR) measurement at 1550 nm as a mechanism for automated material classification in maritime SAR applications. DDR exploits a fundamental physical property of water that provides a stable, low-depolarization detection background: water exhibits symmetric molecular-scale scattering that responds identically to orthogonally polarized illumination. From this scattering symmetry, Mie scattering theory predicts a near-zero DDR signature (DDR ≈ 0, typically &lt; 0.05) that should remain consistent across sea states including whitecaps and foam. Phase I measurements will confirm this predicted baseline.</w:t>
      </w:r>
    </w:p>
    <w:p>
      <w:pPr>
        <w:pStyle w:val="Normal"/>
        <w:spacing w:before="0" w:after="160"/>
        <w:rPr/>
      </w:pPr>
      <w:r>
        <w:rPr>
          <w:rFonts w:eastAsia="Arial" w:cs="Arial"/>
          <w:sz w:val="24"/>
          <w:szCs w:val="24"/>
        </w:rPr>
        <w:t>Manufactured materials and biological tissue exhibit polarization-dependent scattering asymmetry through surface reflection and internal structure. Fresnel coefficients differ for s-polarized and p-polarized components, creating measurable DDR signatures that water cannot replicate. Fresnel scattering analysis predicts DDR values of 0.15–0.25 for life-saving equipment constructed from synthetic foams and fabrics. At expected operating conditions (DDR_water ≈ 0.01, consistent with published polarimetric backscatter measurements of ocean surface water at 1550 nm), the predicted DDR contrast ratio between life-saving equipment and ocean surface background is approximately 20:1. Phase I bench characterization will measure this contrast experimentally to confirm the physics-based prediction. Phase I will additionally characterize DDR stability of ocean surface water across sea states including whitecap conditions, where active foam column scattering may elevate the water DDR above the calm-water baseline; this characterization is an explicit experimental objective rather than an assumed result.</w:t>
      </w:r>
    </w:p>
    <w:p>
      <w:pPr>
        <w:pStyle w:val="Normal"/>
        <w:spacing w:before="0" w:after="160"/>
        <w:rPr/>
      </w:pPr>
      <w:r>
        <w:rPr>
          <w:rFonts w:eastAsia="Arial" w:cs="Arial"/>
          <w:sz w:val="24"/>
          <w:szCs w:val="24"/>
        </w:rPr>
        <w:t>The DDR measurement is calculated as:</w:t>
      </w:r>
    </w:p>
    <w:p>
      <w:pPr>
        <w:pStyle w:val="Normal"/>
        <w:spacing w:before="120" w:after="120"/>
        <w:jc w:val="center"/>
        <w:rPr/>
      </w:pPr>
      <w:r>
        <w:rPr>
          <w:rFonts w:eastAsia="Courier New" w:cs="Courier New" w:ascii="Courier New" w:hAnsi="Courier New"/>
          <w:b/>
          <w:bCs/>
          <w:sz w:val="24"/>
          <w:szCs w:val="24"/>
        </w:rPr>
        <w:t>DDR = |DRₕ − DRᵥ|</w:t>
      </w:r>
    </w:p>
    <w:p>
      <w:pPr>
        <w:pStyle w:val="Normal"/>
        <w:spacing w:before="0" w:after="160"/>
        <w:rPr/>
      </w:pPr>
      <w:r>
        <w:rPr>
          <w:rFonts w:eastAsia="Arial" w:cs="Arial"/>
          <w:sz w:val="24"/>
          <w:szCs w:val="24"/>
        </w:rPr>
        <w:t>where DRₕ is the depolarization ratio measured under horizontal polarization illumination and DRᵥ is the depolarization ratio measured under vertical polarization illumination. Volume scatterers such as water maintain DRₕ ≈ DRᵥ regardless of orientation, while surface scatterers exhibit consistent asymmetry that enables automated classification. The differential architecture provides an inherent rejection of unpolarized ambient light sources, including solar background: unpolarized illumination entering the receiver aperture contributes equally to both the H and V polarization channels and cancels in the DDR computation, leaving only the polarization-selective laser return signal. This property makes DDR measurement robust to daytime field operation without optical filtering of the receiver aperture, a significant operational advantage over intensity-based detection systems that require careful background subtraction in high-ambient-light conditions.</w:t>
      </w:r>
    </w:p>
    <w:p>
      <w:pPr>
        <w:pStyle w:val="Heading2"/>
        <w:rPr/>
      </w:pPr>
      <w:r>
        <w:rPr>
          <w:rFonts w:eastAsia="Arial" w:cs="Arial"/>
          <w:b/>
          <w:bCs/>
          <w:sz w:val="24"/>
          <w:szCs w:val="24"/>
        </w:rPr>
        <w:t>2.2 Technical Innovation and Distinction from Prior Art</w:t>
      </w:r>
    </w:p>
    <w:p>
      <w:pPr>
        <w:pStyle w:val="Normal"/>
        <w:spacing w:before="0" w:after="160"/>
        <w:rPr/>
      </w:pPr>
      <w:r>
        <w:rPr>
          <w:rFonts w:eastAsia="Arial" w:cs="Arial"/>
          <w:sz w:val="24"/>
          <w:szCs w:val="24"/>
        </w:rPr>
        <w:t xml:space="preserve">Existing polarimetric sensing systems require expensive 2D phased array architectures with 65,536 phase shifters, producing the manufacturing yield and cost limitations described in Section 1. The architectural innovation enabling cost-accessible DDR sensing is a dual orthogonal 1D silicon photonic phased array with 128-fold phase shifter reduction, </w:t>
      </w:r>
      <w:r>
        <w:rPr/>
        <w:t xml:space="preserve">which is the subject of two provisional patent applications filed in February 2026 (patent pending). The patent applications analyze this reduction as the basis for projected manufacturing yield improvements to 93–98% assembled system yield (98.5% per-array die yield from Poisson defect model at D₀ = 0.3 defects/cm²) and production unit costs of $600–$800 at volume. </w:t>
      </w:r>
    </w:p>
    <w:p>
      <w:pPr>
        <w:pStyle w:val="Normal"/>
        <w:spacing w:before="0" w:after="160"/>
        <w:rPr/>
      </w:pPr>
      <w:r>
        <w:rPr>
          <w:rFonts w:eastAsia="Arial" w:cs="Arial"/>
          <w:sz w:val="24"/>
          <w:szCs w:val="24"/>
        </w:rPr>
        <w:t>Phase I does not implement the production phased array architecture. Instead, Phase I validates the DDR physics using a bench-scale proof-of-concept instrument that demonstrates the discriminating signatures are real, reproducible, and sufficient for automated classification across operationally relevant target materials. This validation is the necessary precursor to Phase II implementation of the production architecture.</w:t>
      </w:r>
    </w:p>
    <w:p>
      <w:pPr>
        <w:pStyle w:val="Normal"/>
        <w:spacing w:before="0" w:after="160"/>
        <w:rPr/>
      </w:pPr>
      <w:r>
        <w:rPr>
          <w:rFonts w:eastAsia="Arial" w:cs="Arial"/>
          <w:sz w:val="24"/>
          <w:szCs w:val="24"/>
        </w:rPr>
        <w:t>The DDR approach is further distinguished from prior art by its optimization for clean-background maritime environments. While terrestrial applications suffer DDR performance degradation from volumetric depolarization in complex backgrounds, ocean surface water provides a near-ideal low-background environment that maximizes discrimination performance in the maritime SAR operating domain.</w:t>
      </w:r>
    </w:p>
    <w:p>
      <w:pPr>
        <w:pStyle w:val="Heading1"/>
        <w:rPr/>
      </w:pPr>
      <w:r>
        <w:rPr>
          <w:rFonts w:eastAsia="Arial" w:cs="Arial"/>
          <w:b/>
          <w:bCs/>
          <w:sz w:val="28"/>
          <w:szCs w:val="28"/>
        </w:rPr>
        <w:t>3. Technical Approach and Methodology</w:t>
      </w:r>
    </w:p>
    <w:p>
      <w:pPr>
        <w:pStyle w:val="Heading2"/>
        <w:rPr/>
      </w:pPr>
      <w:r>
        <w:rPr>
          <w:rFonts w:eastAsia="Arial" w:cs="Arial"/>
          <w:b/>
          <w:bCs/>
          <w:sz w:val="24"/>
          <w:szCs w:val="24"/>
        </w:rPr>
        <w:t>3.1 Phase I Scope and Rationale</w:t>
      </w:r>
    </w:p>
    <w:p>
      <w:pPr>
        <w:pStyle w:val="Normal"/>
        <w:spacing w:before="0" w:after="160"/>
        <w:rPr/>
      </w:pPr>
      <w:r>
        <w:rPr>
          <w:rFonts w:eastAsia="Arial" w:cs="Arial"/>
          <w:sz w:val="24"/>
          <w:szCs w:val="24"/>
        </w:rPr>
        <w:t>Phase I delivers a man-portable field validation instrument demonstrating DDR material discrimination across nine target material classes relevant to maritime SAR operations. The instrument validates the core physics claim (that DDR signatures reliably separate synthetic and biological materials from ocean background) without implementing the full production scanning architecture. This scope is appropriate for Phase I feasibility demonstration.</w:t>
      </w:r>
    </w:p>
    <w:p>
      <w:pPr>
        <w:pStyle w:val="Normal"/>
        <w:spacing w:before="0" w:after="160"/>
        <w:rPr/>
      </w:pPr>
      <w:r>
        <w:rPr>
          <w:rFonts w:eastAsia="Arial" w:cs="Arial"/>
          <w:sz w:val="24"/>
          <w:szCs w:val="24"/>
        </w:rPr>
        <w:t>Scope is deliberately minimized to ensure executable milestones within the six-month period of performance. Milestone scheduling incorporates systematic validation gates at each phase transition: bench characterization precedes integration, and integration precedes field deployment, ensuring technical risks are resolved sequentially before downstream activities proceed.</w:t>
      </w:r>
    </w:p>
    <w:p>
      <w:pPr>
        <w:pStyle w:val="Heading2"/>
        <w:rPr/>
      </w:pPr>
      <w:r>
        <w:rPr>
          <w:rFonts w:eastAsia="Arial" w:cs="Arial"/>
          <w:b/>
          <w:bCs/>
          <w:sz w:val="24"/>
          <w:szCs w:val="24"/>
        </w:rPr>
        <w:t>3.2 Hardware Architecture</w:t>
      </w:r>
    </w:p>
    <w:p>
      <w:pPr>
        <w:pStyle w:val="Normal"/>
        <w:spacing w:before="0" w:after="160"/>
        <w:rPr/>
      </w:pPr>
      <w:r>
        <w:rPr>
          <w:rFonts w:eastAsia="Arial" w:cs="Arial"/>
          <w:sz w:val="24"/>
          <w:szCs w:val="24"/>
        </w:rPr>
        <w:t>The Phase I instrument employs a coaxial transmit/receive architecture using a fiber optic circulator to eliminate parallax between illumination and collection apertures. This design choice ensures that bench characterization results at controlled distances scale directly to field validation distances without geometric correction factors, strengthening the validity of field demonstration data.</w:t>
      </w:r>
    </w:p>
    <w:p>
      <w:pPr>
        <w:pStyle w:val="Normal"/>
        <w:spacing w:before="0" w:after="160"/>
        <w:rPr/>
      </w:pPr>
      <w:r>
        <w:rPr>
          <w:rFonts w:eastAsia="Arial" w:cs="Arial"/>
          <w:sz w:val="24"/>
          <w:szCs w:val="24"/>
        </w:rPr>
        <w:t>Transmit path: Two 1550 nm fiber-coupled DFB laser sources provide orthogonally polarized illumination at closely spaced wavelengths (λ₁ horizontal polarization, λ₂ vertical polarization). A polarization-maintaining WDM fiber coupler combines both wavelengths into a single coaxial output beam, eliminating parallax at the source. A dichroic beam combiner integrates a visible pilot laser for alignment purposes. The combined beam exits through a single collimating lens, which serves as the sole optical aperture of the instrument.</w:t>
      </w:r>
    </w:p>
    <w:p>
      <w:pPr>
        <w:pStyle w:val="Normal"/>
        <w:spacing w:before="0" w:after="160"/>
        <w:rPr/>
      </w:pPr>
      <w:r>
        <w:rPr>
          <w:rFonts w:eastAsia="Arial" w:cs="Arial"/>
          <w:sz w:val="24"/>
          <w:szCs w:val="24"/>
        </w:rPr>
        <w:t>Coaxial receiver: Return light from the target enters the same collimating lens and is routed by the fiber circulator to the receiver chain. A polarizing beam splitter separates horizontal and vertical polarization components. Each polarization path passes through a WDM demultiplexer separating λ₁ and λ₂, yielding four independent detection channels: λ₁H, λ₁V, λ₂H, and λ₂V. Four InGaAs amplified photodetectors with switchable gain provide amplitude measurements on each channel. The DDR value is computed from the four channel amplitudes per the formula given in Section 2.1: DR_H = λ₁V/λ₁H (cross-polarized to co-polarized ratio under horizontal illumination) and DR_V = λ₂H/λ₂V (cross-polarized to co-polarized ratio under vertical illumination), with DDR = |DR_H − DR_V|. The four channels constitute a single DDR measurement; the dual-wavelength architecture provides common-mode rejection of laser amplitude fluctuations, which appear simultaneously in both channels of each ratio pair and cancel in the division, improving measurement stability relative to a switched single-source system.</w:t>
      </w:r>
    </w:p>
    <w:p>
      <w:pPr>
        <w:pStyle w:val="Normal"/>
        <w:spacing w:before="0" w:after="160"/>
        <w:rPr/>
      </w:pPr>
      <w:r>
        <w:rPr>
          <w:rFonts w:eastAsia="Arial" w:cs="Arial"/>
          <w:sz w:val="24"/>
          <w:szCs w:val="24"/>
        </w:rPr>
        <w:t>Processing and display: A Raspberry Pi 5 single-board computer coordinates measurement sequencing, ADC acquisition, DDR computation, and display. A 7-inch touchscreen on the rear panel of the instrument displays a live camera feed from an integrated visible-light camera alongside the computed DDR value, signal quality indicator, and measurement controls. The camera feed provides visual context for field documentation, enabling side-by-side recording of the scene and the DDR reading during coastal validation.</w:t>
      </w:r>
    </w:p>
    <w:p>
      <w:pPr>
        <w:pStyle w:val="Heading2"/>
        <w:rPr/>
      </w:pPr>
      <w:r>
        <w:rPr>
          <w:rFonts w:eastAsia="Arial" w:cs="Arial"/>
          <w:b/>
          <w:bCs/>
          <w:sz w:val="24"/>
          <w:szCs w:val="24"/>
        </w:rPr>
        <w:t>3.3 Instrument Controls and Safety</w:t>
      </w:r>
    </w:p>
    <w:p>
      <w:pPr>
        <w:pStyle w:val="Normal"/>
        <w:spacing w:before="0" w:after="160"/>
        <w:rPr/>
      </w:pPr>
      <w:r>
        <w:rPr>
          <w:rFonts w:eastAsia="Arial" w:cs="Arial"/>
          <w:sz w:val="24"/>
          <w:szCs w:val="24"/>
        </w:rPr>
        <w:t>The instrument incorporates three operator controls positioned on the rear panel adjacent to the display: a key-actuated power switch, an alignment laser enable toggle with indicator LED, and a recessed momentary measurement button. This control arrangement, combined with the instrument's horizontal form factor, bright instrument-colored enclosure, and visible scientific labeling, ensures the device is immediately identifiable as a research instrument rather than a weapon system, an important consideration for public coastal field operations.</w:t>
      </w:r>
    </w:p>
    <w:p>
      <w:pPr>
        <w:pStyle w:val="Normal"/>
        <w:spacing w:before="0" w:after="160"/>
        <w:rPr/>
      </w:pPr>
      <w:r>
        <w:rPr>
          <w:rFonts w:eastAsia="Arial" w:cs="Arial"/>
          <w:sz w:val="24"/>
          <w:szCs w:val="24"/>
        </w:rPr>
        <w:t>A software safety interlock enforces that the 1550 nm measurement sources activate only after the alignment laser has been enabled for a minimum of one second, preventing accidental IR emission during alignment laser manipulation. At the specified 1.5 mW fiber output power and 25 mm collimating aperture, the 1550 nm sources are designed to operate within Class 1 eye-safe limits under IEC 60825-1; final classification will be confirmed by accessible emission limit (AEL) calculation prior to field deployment.</w:t>
      </w:r>
    </w:p>
    <w:p>
      <w:pPr>
        <w:pStyle w:val="Normal"/>
        <w:spacing w:before="0" w:after="160"/>
        <w:rPr/>
      </w:pPr>
      <w:r>
        <w:rPr>
          <w:rFonts w:eastAsia="Arial" w:cs="Arial"/>
          <w:sz w:val="24"/>
          <w:szCs w:val="24"/>
        </w:rPr>
        <w:t>The instrument is carried via a wide padded shoulder sling with a secondary horizontal handgrip mounted to the underside of the enclosure. The shoulder sling provides passive weight support and stability during field operations; the handgrip provides pointing control. This carry configuration enables sustained field operation without fatigue and provides a stable platform for measurement at operational distances.</w:t>
      </w:r>
    </w:p>
    <w:p>
      <w:pPr>
        <w:pStyle w:val="Heading2"/>
        <w:rPr/>
      </w:pPr>
      <w:r>
        <w:rPr>
          <w:rFonts w:eastAsia="Arial" w:cs="Arial"/>
          <w:b/>
          <w:bCs/>
          <w:sz w:val="24"/>
          <w:szCs w:val="24"/>
        </w:rPr>
        <w:t>3.4 Target Material Set and Success Criteria</w:t>
      </w:r>
    </w:p>
    <w:p>
      <w:pPr>
        <w:pStyle w:val="Normal"/>
        <w:spacing w:before="0" w:after="160"/>
        <w:rPr/>
      </w:pPr>
      <w:r>
        <w:rPr>
          <w:rFonts w:eastAsia="Arial" w:cs="Arial"/>
          <w:sz w:val="24"/>
          <w:szCs w:val="24"/>
        </w:rPr>
        <w:t>Phase I characterizes DDR signatures for nine material classes representing the full range of targets encountered in maritime SAR operations:</w:t>
      </w:r>
    </w:p>
    <w:p>
      <w:pPr>
        <w:pStyle w:val="ListParagraph"/>
        <w:numPr>
          <w:ilvl w:val="0"/>
          <w:numId w:val="8"/>
        </w:numPr>
        <w:spacing w:before="0" w:after="80"/>
        <w:rPr/>
      </w:pPr>
      <w:r>
        <w:rPr>
          <w:rFonts w:eastAsia="Arial" w:cs="Arial"/>
          <w:sz w:val="24"/>
          <w:szCs w:val="24"/>
        </w:rPr>
        <w:t>Water (ocean surface baseline, predicted DDR &lt; 0.05)</w:t>
      </w:r>
    </w:p>
    <w:p>
      <w:pPr>
        <w:pStyle w:val="ListParagraph"/>
        <w:numPr>
          <w:ilvl w:val="0"/>
          <w:numId w:val="9"/>
        </w:numPr>
        <w:spacing w:before="0" w:after="80"/>
        <w:rPr/>
      </w:pPr>
      <w:r>
        <w:rPr>
          <w:rFonts w:eastAsia="Arial" w:cs="Arial"/>
          <w:sz w:val="24"/>
          <w:szCs w:val="24"/>
        </w:rPr>
        <w:t>Life jacket / personal flotation device (synthetic foam and fabric, predicted DDR 0.15–0.25)</w:t>
      </w:r>
    </w:p>
    <w:p>
      <w:pPr>
        <w:pStyle w:val="ListParagraph"/>
        <w:numPr>
          <w:ilvl w:val="0"/>
          <w:numId w:val="10"/>
        </w:numPr>
        <w:spacing w:before="0" w:after="80"/>
        <w:rPr/>
      </w:pPr>
      <w:r>
        <w:rPr>
          <w:rFonts w:eastAsia="Arial" w:cs="Arial"/>
          <w:sz w:val="24"/>
          <w:szCs w:val="24"/>
        </w:rPr>
        <w:t>Cotton fabric (clothing worn by persons in water)</w:t>
      </w:r>
    </w:p>
    <w:p>
      <w:pPr>
        <w:pStyle w:val="ListParagraph"/>
        <w:numPr>
          <w:ilvl w:val="0"/>
          <w:numId w:val="11"/>
        </w:numPr>
        <w:spacing w:before="0" w:after="80"/>
        <w:rPr/>
      </w:pPr>
      <w:r>
        <w:rPr>
          <w:rFonts w:eastAsia="Arial" w:cs="Arial"/>
          <w:sz w:val="24"/>
          <w:szCs w:val="24"/>
        </w:rPr>
        <w:t>Leather (clothing and personal effects)</w:t>
      </w:r>
    </w:p>
    <w:p>
      <w:pPr>
        <w:pStyle w:val="ListParagraph"/>
        <w:numPr>
          <w:ilvl w:val="0"/>
          <w:numId w:val="12"/>
        </w:numPr>
        <w:spacing w:before="0" w:after="80"/>
        <w:rPr/>
      </w:pPr>
      <w:r>
        <w:rPr>
          <w:rFonts w:eastAsia="Arial" w:cs="Arial"/>
          <w:sz w:val="24"/>
          <w:szCs w:val="24"/>
        </w:rPr>
        <w:t>Bird feathers (common false alarm source in maritime SAR)</w:t>
      </w:r>
    </w:p>
    <w:p>
      <w:pPr>
        <w:pStyle w:val="ListParagraph"/>
        <w:numPr>
          <w:ilvl w:val="0"/>
          <w:numId w:val="13"/>
        </w:numPr>
        <w:spacing w:before="0" w:after="80"/>
        <w:rPr/>
      </w:pPr>
      <w:r>
        <w:rPr>
          <w:rFonts w:eastAsia="Arial" w:cs="Arial"/>
          <w:sz w:val="24"/>
          <w:szCs w:val="24"/>
        </w:rPr>
        <w:t>Wood (vessel debris)</w:t>
      </w:r>
    </w:p>
    <w:p>
      <w:pPr>
        <w:pStyle w:val="ListParagraph"/>
        <w:numPr>
          <w:ilvl w:val="0"/>
          <w:numId w:val="14"/>
        </w:numPr>
        <w:spacing w:before="0" w:after="80"/>
        <w:rPr/>
      </w:pPr>
      <w:r>
        <w:rPr>
          <w:rFonts w:eastAsia="Arial" w:cs="Arial"/>
          <w:sz w:val="24"/>
          <w:szCs w:val="24"/>
        </w:rPr>
        <w:t>Fiberglass (vessel hull material)</w:t>
      </w:r>
    </w:p>
    <w:p>
      <w:pPr>
        <w:pStyle w:val="ListParagraph"/>
        <w:numPr>
          <w:ilvl w:val="0"/>
          <w:numId w:val="15"/>
        </w:numPr>
        <w:spacing w:before="0" w:after="80"/>
        <w:rPr>
          <w:rFonts w:ascii="Arial" w:hAnsi="Arial" w:eastAsia="Arial" w:cs="Arial"/>
          <w:sz w:val="24"/>
          <w:szCs w:val="24"/>
        </w:rPr>
      </w:pPr>
      <w:r>
        <w:rPr>
          <w:rFonts w:eastAsia="Arial" w:cs="Arial"/>
          <w:sz w:val="24"/>
          <w:szCs w:val="24"/>
        </w:rPr>
        <w:t>USV hull composite (carbon fiber / fiberglass construction, maritime domain awareness target)</w:t>
      </w:r>
    </w:p>
    <w:p>
      <w:pPr>
        <w:pStyle w:val="ListParagraph"/>
        <w:numPr>
          <w:ilvl w:val="0"/>
          <w:numId w:val="16"/>
        </w:numPr>
        <w:spacing w:before="0" w:after="80"/>
        <w:rPr/>
      </w:pPr>
      <w:r>
        <w:rPr/>
        <w:t>Seaweed / marine vegetation (background clutter material)</w:t>
      </w:r>
    </w:p>
    <w:p>
      <w:pPr>
        <w:pStyle w:val="Normal"/>
        <w:spacing w:before="0" w:after="160"/>
        <w:rPr/>
      </w:pPr>
      <w:r>
        <w:rPr>
          <w:rFonts w:eastAsia="Arial" w:cs="Arial"/>
          <w:sz w:val="24"/>
          <w:szCs w:val="24"/>
        </w:rPr>
        <w:t>Phase I success is defined as demonstration of a DDR contrast ratio of 10:1 or greater between water and all critical target materials (life jacket, cotton, leather) under controlled bench conditions, with statistically robust separation confirmed across a minimum of 30 measurements per material class per range distance. A 10:1 contrast ratio corresponds to DDR_target ≥ 10 × DDR_water and is achievable across the full stated parameter range (DDR_water &lt; 0.05, DDR_target 0.15–0.25) when DDR_water is confirmed at or below 0.02, consistent with published 1550 nm ocean surface backscatter measurements. This threshold validates the core patent claim.</w:t>
      </w:r>
    </w:p>
    <w:p>
      <w:pPr>
        <w:pStyle w:val="Heading2"/>
        <w:rPr/>
      </w:pPr>
      <w:r>
        <w:rPr>
          <w:rFonts w:eastAsia="Arial" w:cs="Arial"/>
          <w:b/>
          <w:bCs/>
          <w:sz w:val="24"/>
          <w:szCs w:val="24"/>
        </w:rPr>
        <w:t>3.5 Measurement Protocol</w:t>
      </w:r>
    </w:p>
    <w:p>
      <w:pPr>
        <w:pStyle w:val="Normal"/>
        <w:spacing w:before="0" w:after="160"/>
        <w:rPr/>
      </w:pPr>
      <w:r>
        <w:rPr>
          <w:rFonts w:eastAsia="Arial" w:cs="Arial"/>
          <w:sz w:val="24"/>
          <w:szCs w:val="24"/>
        </w:rPr>
        <w:t>Controlled bench characterization proceeds at four fixed distances: 2 m, 5 m, 10 m, and 20 m. At each distance, each target material is measured in a minimum of 30 trials under consistent illumination conditions. SNR degradation curves as a function of range are generated for each material class, characterizing detection performance across the operational distance envelope relevant to vessel-mounted deployment scenarios.</w:t>
      </w:r>
    </w:p>
    <w:p>
      <w:pPr>
        <w:pStyle w:val="Normal"/>
        <w:spacing w:before="0" w:after="160"/>
        <w:rPr/>
      </w:pPr>
      <w:r>
        <w:rPr>
          <w:rFonts w:eastAsia="Arial" w:cs="Arial"/>
          <w:sz w:val="24"/>
          <w:szCs w:val="24"/>
        </w:rPr>
        <w:t>Target samples are prepared to represent realistic field conditions: fabric samples in wet and dry states, life jacket foam at ambient and cold-water-soaked conditions, and natural materials (feathers, seaweed, wood) collected from coastal environments. This sample preparation ensures Phase I results reflect actual operational target characteristics rather than idealized laboratory specimens.</w:t>
      </w:r>
    </w:p>
    <w:p>
      <w:pPr>
        <w:pStyle w:val="Normal"/>
        <w:spacing w:before="0" w:after="160"/>
        <w:rPr/>
      </w:pPr>
      <w:r>
        <w:rPr>
          <w:rFonts w:eastAsia="Arial" w:cs="Arial"/>
          <w:sz w:val="24"/>
          <w:szCs w:val="24"/>
        </w:rPr>
        <w:t>A flat metal mirror target is used as an absolute calibration reference at the start of each bench measurement session, normalizing channel-to-channel responsivity differences in the receiver path. This calibration protocol ensures DDR values reflect actual target properties rather than instrument artifacts.</w:t>
      </w:r>
    </w:p>
    <w:p>
      <w:pPr>
        <w:pStyle w:val="Normal"/>
        <w:rPr/>
      </w:pPr>
      <w:r>
        <w:rPr/>
        <w:t>Field measurement sessions employ ocean surface water as a live calibration reference in place of the mirror target. Laboratory bench characterization confirms that water produces DDR &lt; 0.05 under controlled conditions; field calibration mode acquires a minimum of 30 measurements pointed at open water at the start of each session and after any significant instrument thermal change, computing the mean DDR and per-channel amplitude ratios as the session baseline. Instrument firmware applies a small correction factor to subsequent measurements to normalize against the current field instrument state. This approach simultaneously verifies receiver responsivity balance and confirms the low-DDR water baseline at actual field temperature and humidity conditions, capturing any polarization state drift in the PM fiber due to thermal gradients that may have developed since bench calibration. Periodic recalibration against water at multiple locations during a field session provides a running check on instrument state and captures any slow thermal drift without requiring active thermal stabilization of the fiber assembly. A 20-measurement average at each calibration location is sufficient to establish a stable baseline. The use of ocean water as a field calibration reference constitutes an implicit real-time test of the core physics claim: if water does not read near-zero DDR in the field, the instrument flags a calibration fault before any target measurements are recorded.</w:t>
      </w:r>
    </w:p>
    <w:p>
      <w:pPr>
        <w:pStyle w:val="Heading2"/>
        <w:rPr/>
      </w:pPr>
      <w:r>
        <w:rPr>
          <w:rFonts w:eastAsia="Arial" w:cs="Arial"/>
          <w:b/>
          <w:bCs/>
          <w:sz w:val="24"/>
          <w:szCs w:val="24"/>
        </w:rPr>
        <w:t>3.6 Field Validation</w:t>
      </w:r>
    </w:p>
    <w:p>
      <w:pPr>
        <w:pStyle w:val="Normal"/>
        <w:rPr/>
      </w:pPr>
      <w:r>
        <w:rPr/>
        <w:t>3.5.1 Controlled Fog Attenuation Characterization</w:t>
      </w:r>
    </w:p>
    <w:p>
      <w:pPr>
        <w:pStyle w:val="Normal"/>
        <w:rPr/>
      </w:pPr>
      <w:r>
        <w:rPr/>
        <w:t>Bench characterization includes a controlled fog attenuation subplot using an ultrasonic fog generator and a calibrated forward-scatter visibility sensor operating within a sealed test corridor at PSU. This characterization generates a SNR-versus-fog-density curve at each bench distance, directly supporting the instrument’s all-weather performance claims. Two important scope limitations apply: first, the visibility sensor operates at visible wavelengths, and Mie extinction efficiency at 1550 nm (size parameter x ≈ 4 for typical 2 μm fog droplets) differs from the visible-wavelength calibration (x ≈ 11), introducing an estimated 20–40% systematic uncertainty in the absolute 1550 nm attenuation figure depending on droplet size distribution. Fog attenuation results are therefore characterized as relative comparisons across fog density levels rather than absolute extinction coefficients calibrated to a traceable standard. Second, and more significantly, fog droplets at 1550 nm are in the Mie regime and are approximately spherical, producing near-zero DDR contribution as symmetric scatterers. This means fog attenuates return signal power but does not introduce polarimetric artifacts or elevate the water DDR baseline. DDR measurement accuracy is preserved under fog conditions; only ranging SNR is affected. This property — that the measurement modality is inherently fog-tolerant in a way that intensity-based systems are not — will be confirmed experimentally by the Phase I fog characterization measurements.</w:t>
      </w:r>
    </w:p>
    <w:p>
      <w:pPr>
        <w:pStyle w:val="Normal"/>
        <w:spacing w:before="0" w:after="160"/>
        <w:rPr/>
      </w:pPr>
      <w:r>
        <w:rPr>
          <w:rFonts w:eastAsia="Arial" w:cs="Arial"/>
          <w:sz w:val="24"/>
          <w:szCs w:val="24"/>
        </w:rPr>
        <w:t>Following successful bench characterization, the integrated instrument undergoes field validation at an Oregon coastal location under active wave conditions. The field validation demonstrates DDR discrimination performance against real ocean background clutter (whitecaps, wave spray, and natural marine materials) at operationally relevant distances. Target materials including life jacket, synthetic fabric, and natural debris are measured against open water background under Sea State 2–4 conditions representative of Pacific Northwest SAR operating environments.</w:t>
      </w:r>
    </w:p>
    <w:p>
      <w:pPr>
        <w:pStyle w:val="Normal"/>
        <w:spacing w:before="0" w:after="160"/>
        <w:rPr/>
      </w:pPr>
      <w:r>
        <w:rPr>
          <w:rFonts w:eastAsia="Arial" w:cs="Arial"/>
          <w:sz w:val="24"/>
          <w:szCs w:val="24"/>
        </w:rPr>
        <w:t>Field validation sessions are video-documented using the instrument's integrated camera, providing simultaneous visual record of the measurement scene and the DDR classification output. This documentation constitutes a primary deliverable demonstrating that DDR discrimination, validated on the bench, operates under field conditions including wave motion, spray, and variable background clutter.</w:t>
      </w:r>
    </w:p>
    <w:p>
      <w:pPr>
        <w:pStyle w:val="Heading2"/>
        <w:rPr/>
      </w:pPr>
      <w:r>
        <w:rPr/>
        <w:t>3.7 Laboratory Facility</w:t>
      </w:r>
    </w:p>
    <w:p>
      <w:pPr>
        <w:pStyle w:val="Normal"/>
        <w:spacing w:before="0" w:after="160"/>
        <w:rPr/>
      </w:pPr>
      <w:r>
        <w:rPr>
          <w:rFonts w:eastAsia="Arial" w:cs="Arial"/>
          <w:sz w:val="24"/>
          <w:szCs w:val="24"/>
        </w:rPr>
        <w:t>Bench characterization activities will be conducted at laboratory facilities at Portland State University (Portland, OR), arranged in coordination with the Oregon Nanoscience and Microtechnologies Institute (ONAMI). ONAMI is Oregon's state-designated Signature Research Center for science-based commercialization and maintains an active SBIR commercialization support program facilitating laboratory access for qualifying Oregon small businesses. PSU's location in the Portland metropolitan area provides logistical accessibility for Novel Systems Engineering LLC (Wilsonville, OR) consistent with the demands of a six-month execution schedule. Ctrl-H Portland, a community electronics and instrumentation workspace with established bench facilities, serves as a contingency location.</w:t>
      </w:r>
    </w:p>
    <w:p>
      <w:pPr>
        <w:pStyle w:val="Heading2"/>
        <w:rPr/>
      </w:pPr>
      <w:r>
        <w:rPr/>
        <w:t>3.8 Return Power Budget and SNR Analysis</w:t>
      </w:r>
    </w:p>
    <w:p>
      <w:pPr>
        <w:pStyle w:val="Normal"/>
        <w:spacing w:before="0" w:after="160"/>
        <w:rPr/>
      </w:pPr>
      <w:r>
        <w:rPr>
          <w:rFonts w:eastAsia="Arial" w:cs="Arial"/>
          <w:sz w:val="24"/>
          <w:szCs w:val="24"/>
        </w:rPr>
        <w:t>A return power analysis confirms instrument feasibility at all four bench characterization distances using a conservative Lambertian scattering model with documented component specifications.  Transmit path: The Thorlabs S3FC1550 DFB laser delivers 1.5 mW minimum fiber output at 1550 nm. After collimation through a 25 mm focal length achromatic lens (Thorlabs AC254-025-C), the output beam diameter is approximately 4.7 mm with 0.21 mrad half-angle divergence. Accounting for fiber-to-free-space coupling efficiency (50%, -3 dB) and fiber circulator insertion loss (1.5 dB), effective transmitted power at the aperture is approximately 0.53 mW, representing a conservative -4.5 dB total transmit path loss budget.  Return power model: For a Lambertian diffuse target at range R with reflectance ρ and a 25.4 mm diameter receiver aperture (coaxial with transmitter via fiber circulator), received power is given by: P_r = P_t × ρ × A_r / (π × R²). Detector-side losses (PBS + WDM demux, ~3 dB combined) are applied to each channel independently.  Noise floor: The PDA20CS2 InGaAs amplified detector operated at maximum gain (4.75 MV/A, 1.9 kHz bandwidth) has a conservatively estimated noise equivalent power of 1 pW/√Hz. At 100 ms per-channel integration, the effective noise bandwidth is 5 Hz, yielding a noise floor of 2.2 pW.  SNR at critical distances: Life jacket (ρ ≈ 0.20) returns 2,146 pW at 2 m (SNR = 960), 343 pW at 5 m (SNR = 154), 86 pW at 10 m (SNR = 38), and 21 pW at 20 m (SNR = 10). Cotton fabric (ρ ≈ 0.10) achieves SNR = 5 at 20 m on an individual measurement basis; across the 30-measurement protocol, statistical averaging improves effective SNR to approximately 27 (5 × √30), sufficient for robust DDR computation. Ocean surface water (ρ ≈ 0.02) produces marginal absolute signal at 20 m under the Lambertian model; however, DDR measurement does not require high absolute SNR on the water background. The measurement compares H-polarization and V-polarization channel amplitudes within each target return. A water DDR value near zero is confirmed by equivalence of channels at any detectable signal level, not by high absolute return power.  Conservative basis: The Lambertian model systematically underestimates return power from real targets. Synthetic materials (foam, fabric) exhibit partial specular reflectance components that increase actual returns above the Lambertian prediction. Real ocean surface reflectance exceeds the 0.02 Lambertian assumption due to Fresnel reflections from wave facets. Atmospheric attenuation at 1550 nm under clear and light-fog conditions is negligible at ranges below 20 m. The analysis therefore represents a floor on expected instrument performance.</w:t>
      </w:r>
    </w:p>
    <w:p>
      <w:pPr>
        <w:pStyle w:val="Heading1"/>
        <w:rPr/>
      </w:pPr>
      <w:r>
        <w:rPr>
          <w:rFonts w:eastAsia="Arial" w:cs="Arial"/>
          <w:b/>
          <w:bCs/>
          <w:sz w:val="28"/>
          <w:szCs w:val="28"/>
        </w:rPr>
        <w:t>4. Phase I Milestones and Schedule</w:t>
      </w:r>
    </w:p>
    <w:p>
      <w:pPr>
        <w:pStyle w:val="Normal"/>
        <w:spacing w:before="0" w:after="160"/>
        <w:rPr/>
      </w:pPr>
      <w:r>
        <w:rPr/>
      </w:r>
    </w:p>
    <w:tbl>
      <w:tblPr>
        <w:tblW w:w="9360" w:type="dxa"/>
        <w:jc w:val="start"/>
        <w:tblInd w:w="0" w:type="dxa"/>
        <w:tblLayout w:type="fixed"/>
        <w:tblCellMar>
          <w:top w:w="80" w:type="dxa"/>
          <w:start w:w="120" w:type="dxa"/>
          <w:bottom w:w="80" w:type="dxa"/>
          <w:end w:w="120" w:type="dxa"/>
        </w:tblCellMar>
      </w:tblPr>
      <w:tblGrid>
        <w:gridCol w:w="1199"/>
        <w:gridCol w:w="1401"/>
        <w:gridCol w:w="4158"/>
        <w:gridCol w:w="2602"/>
      </w:tblGrid>
      <w:tr>
        <w:trPr>
          <w:tblHeader w:val="true"/>
        </w:trPr>
        <w:tc>
          <w:tcPr>
            <w:tcW w:w="1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2"/>
                <w:szCs w:val="22"/>
              </w:rPr>
              <w:t>Milestone</w:t>
            </w:r>
          </w:p>
        </w:tc>
        <w:tc>
          <w:tcPr>
            <w:tcW w:w="14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2"/>
                <w:szCs w:val="22"/>
              </w:rPr>
              <w:t>Period</w:t>
            </w:r>
          </w:p>
        </w:tc>
        <w:tc>
          <w:tcPr>
            <w:tcW w:w="4158"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2"/>
                <w:szCs w:val="22"/>
              </w:rPr>
              <w:t>Activities</w:t>
            </w:r>
          </w:p>
        </w:tc>
        <w:tc>
          <w:tcPr>
            <w:tcW w:w="2602"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2"/>
                <w:szCs w:val="22"/>
              </w:rPr>
              <w:t>Deliverable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1</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Month 1</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Component procurement (long-lead items ordered immediately upon award notification), facility arrangement, optical path design finalization</w:t>
            </w:r>
          </w:p>
        </w:tc>
        <w:tc>
          <w:tcPr>
            <w:tcW w:w="26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Procurement log; facility agreement</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2</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Months 2–3</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Bench assembly, coaxial optical path integration, four-channel receiver calibration, initial DDR characterization of all nine target materials at 5m fixed range</w:t>
            </w:r>
          </w:p>
        </w:tc>
        <w:tc>
          <w:tcPr>
            <w:tcW w:w="26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Calibration report; baseline DDR signature dataset</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3</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Month 4</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Multi-distance SNR characterization at 2m, 5m, 10m, and 20m; SNR degradation curve generation; statistical separation analysis for all material classes</w:t>
            </w:r>
          </w:p>
        </w:tc>
        <w:tc>
          <w:tcPr>
            <w:tcW w:w="26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SNR vs. range dataset; discrimination performance report</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4</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Month 5</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Integration into man-portable field validation unit: aluminum frame, shoulder sling, horizontal handgrip, 7" touchscreen display, Raspberry Pi 5 embedded processor, camera overlay, weatherproofing; software safety interlock implementation and validation</w:t>
            </w:r>
          </w:p>
        </w:tc>
        <w:tc>
          <w:tcPr>
            <w:tcW w:w="26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Integrated prototype; software validation report</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5</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Month 6</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Field validation at Oregon coastal location under active wave conditions; video documentation of DDR discrimination against wave clutter; final technical report preparation</w:t>
            </w:r>
          </w:p>
        </w:tc>
        <w:tc>
          <w:tcPr>
            <w:tcW w:w="26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Final technical report; field validation video; complete DDR signature dataset</w:t>
            </w:r>
          </w:p>
        </w:tc>
      </w:tr>
    </w:tbl>
    <w:p>
      <w:pPr>
        <w:pStyle w:val="Normal"/>
        <w:spacing w:before="0" w:after="160"/>
        <w:rPr/>
      </w:pPr>
      <w:r>
        <w:rPr/>
      </w:r>
    </w:p>
    <w:p>
      <w:pPr>
        <w:pStyle w:val="Normal"/>
        <w:spacing w:before="0" w:after="160"/>
        <w:rPr/>
      </w:pPr>
      <w:r>
        <w:rPr>
          <w:rFonts w:eastAsia="Arial" w:cs="Arial"/>
          <w:sz w:val="24"/>
          <w:szCs w:val="24"/>
        </w:rPr>
        <w:t>Risk mitigation: Component lead times on InGaAs photodetectors and fiber-coupled 1550 nm laser sources are the primary schedule risk, with typical delivery times of four to eight weeks. Long-lead components will be ordered immediately upon award notification, prior to formal contract execution, to protect the Month 2 bench assembly milestone. Bench facility access is being arranged through Portland State University in coordination with ONAMI, as described in Section 3.7. Ctrl-H Portland provides a contingency bench facility should primary arrangements require adjustment during Month 1.</w:t>
      </w:r>
    </w:p>
    <w:p>
      <w:pPr>
        <w:pStyle w:val="Heading1"/>
        <w:rPr/>
      </w:pPr>
      <w:r>
        <w:rPr>
          <w:rFonts w:eastAsia="Arial" w:cs="Arial"/>
          <w:b/>
          <w:bCs/>
          <w:sz w:val="28"/>
          <w:szCs w:val="28"/>
        </w:rPr>
        <w:t>5. Phase II Transition</w:t>
      </w:r>
    </w:p>
    <w:p>
      <w:pPr>
        <w:pStyle w:val="Normal"/>
        <w:spacing w:before="0" w:after="160"/>
        <w:rPr/>
      </w:pPr>
      <w:r>
        <w:rPr>
          <w:rFonts w:eastAsia="Arial" w:cs="Arial"/>
          <w:sz w:val="24"/>
          <w:szCs w:val="24"/>
        </w:rPr>
        <w:t>Phase I results directly enable Phase II development of a scanning DDR sensor system implementing the dual orthogonal 1D silicon photonic phased array architecture described in the patent application. Phase II would transition from single-point measurement to full 2D scene scanning, replacing the bench laser sources and fixed receiver with a production-architecture phased array achieving 256×256 spatial resolution at approximately 10 Hz frame rate. The production sensor form factor is compatible with vessel-mounted, fixed-installation, and unmanned surface vehicle (USV) deployment, supporting autonomous SAR grid-search operations as a natural extension of the Coast Guard’s investment in autonomous maritime systems.</w:t>
      </w:r>
    </w:p>
    <w:p>
      <w:pPr>
        <w:pStyle w:val="Normal"/>
        <w:spacing w:before="0" w:after="160"/>
        <w:rPr>
          <w:rFonts w:eastAsia="Arial" w:cs="Arial"/>
          <w:sz w:val="24"/>
          <w:szCs w:val="24"/>
        </w:rPr>
      </w:pPr>
      <w:r>
        <w:rPr>
          <w:rFonts w:eastAsia="Arial" w:cs="Arial"/>
          <w:sz w:val="24"/>
          <w:szCs w:val="24"/>
        </w:rPr>
        <w:t xml:space="preserve">Phase II development will require a manufacturing partner with silicon photonic phased array production capability. Two candidates have been identified for Phase II partnership. Voyant Photonics, a silicon photonic LiDAR company with directly relevant phased array manufacturing expertise, is a candidate for manufacturing partnership. Teledyne FLIR, an established maritime sensor manufacturer with existing Coast Guard procurement relationships and production capabilities for ruggedized maritime optical systems, has been engaged in licensing discussions; a technology licensing term sheet has been prepared with terms structured around the DDR sensor as a sensor augmentation layer for existing Teledyne FLIR maritime platforms. The intended commercialization path is technology licensing to an established maritime sensor manufacturer, with Novel Systems Engineering LLC retaining the underlying IP and providing ongoing development support. </w:t>
      </w:r>
    </w:p>
    <w:p>
      <w:pPr>
        <w:pStyle w:val="Normal"/>
        <w:spacing w:before="0" w:after="160"/>
        <w:rPr/>
      </w:pPr>
      <w:r>
        <w:rPr>
          <w:rFonts w:eastAsia="Arial" w:cs="Arial"/>
          <w:sz w:val="24"/>
          <w:szCs w:val="24"/>
        </w:rPr>
        <w:t>The Phase II instrument targets a $600–$800 production unit cost at volume, enabling deployment by organizations currently unable to afford conventional material-discriminating sensors. This cost structure would expand DDR-capable SAR coverage from well-funded federal agencies to coastal communities, volunteer SAR organizations, and commercial maritime operators, extending the life-saving benefit of automated material discrimination to the organizations that need it most.</w:t>
      </w:r>
    </w:p>
    <w:p>
      <w:pPr>
        <w:pStyle w:val="Heading2"/>
        <w:rPr/>
      </w:pPr>
      <w:r>
        <w:rPr/>
        <w:t>5.1 Market Size and Addressable Segments</w:t>
      </w:r>
    </w:p>
    <w:p>
      <w:pPr>
        <w:pStyle w:val="Normal"/>
        <w:spacing w:before="0" w:after="160"/>
        <w:rPr/>
      </w:pPr>
      <w:r>
        <w:rPr>
          <w:rFonts w:eastAsia="Arial" w:cs="Arial"/>
          <w:sz w:val="24"/>
          <w:szCs w:val="24"/>
        </w:rPr>
        <w:t>DDR sensor deployment addresses four distinct market segments with measurable fleet sizes and documented need.  U.S. Coast Guard Active Fleet: The Coast Guard operates 243 commissioned cutters and approximately 1,700 boats across more than 190 stations (Source: USCG Equipment List; WorkBoat, 2024). At one to two DDR sensor units per SAR-capable vessel, the active USCG fleet represents a near-term serviceable market of approximately 2,000–4,000 units. The Fast Response Cutter program alone has 77 vessels on order through Bollinger Shipyards at $65M average unit cost, each requiring full sensor suites. DDR sensors priced at $800/unit represent a negligible line item relative to platform acquisition cost, lowering procurement resistance.  U.S. Coast Guard Auxiliary: The Auxiliary fields approximately 5,000 registered vessels operated by roughly 30,000 volunteer members, conducting SAR patrols and supporting active-duty Coast Guard missions annually (Source: CGAUX History). Auxiliary vessels currently lack automated material discrimination capability entirely. At $800/unit, full Auxiliary fleet coverage represents a $4M addressable market accessible through a single Auxiliary procurement recommendation.  Commercial Shipping (Hull-Mount Overboard Monitors): The global container fleet alone comprises approximately 6,900 active vessels (Alphaliner, 2024), with the broader merchant fleet (bulk carriers, tankers, general cargo) exceeding 50,000 vessels worldwide (UNCTAD, 2024). Man overboard incidents among UK-registered cargo vessels carry a 30% fatality rate, with crew recovery windows as short as four minutes in cold water (MAIB, 2015–2023); industry analyses indicate comparable rates across international shipping. Hull-mounted DDR arrays function as continuous automated watch systems, analogous to security cameras, eliminating dependence on crew visual detection during inclement weather or nighttime operations. At four units per vessel on 10% of the global merchant fleet: 50,000 vessels × 10% × 4 units × $800 = $16M near-term addressable market, scaling to $160M at 100% penetration of the total fleet.  Fixed Maritime Surveillance (Shore Stations and Port Infrastructure): Port authorities, bridge operators, and coastal monitoring agencies represent a fourth segment requiring fixed-installation DDR scanning for continuous maritime area monitoring. Unlike vessel-mounted sensors, fixed installations can justify higher per-unit costs and integration complexity. This segment is not the primary focus of Phase I validation but is enabled by the same DDR physics and represents additional long-term market expansion.  Combined near-term addressable market across the first three segments: approximately $20–25M at conservative penetration assumptions, scaling to over $160M at broader commercial shipping adoption. The $600–$800 production unit cost target is specifically designed to make this expansion economically viable for organizations currently excluded from material-discriminating sensor capability.</w:t>
      </w:r>
    </w:p>
    <w:p>
      <w:pPr>
        <w:pStyle w:val="Heading1"/>
        <w:rPr/>
      </w:pPr>
      <w:r>
        <w:rPr>
          <w:rFonts w:eastAsia="Arial" w:cs="Arial"/>
          <w:b/>
          <w:bCs/>
          <w:sz w:val="28"/>
          <w:szCs w:val="28"/>
        </w:rPr>
        <w:t>6. Principal Investigator Qualifications</w:t>
      </w:r>
    </w:p>
    <w:p>
      <w:pPr>
        <w:pStyle w:val="Normal"/>
        <w:spacing w:before="0" w:after="160"/>
        <w:rPr/>
      </w:pPr>
      <w:r>
        <w:rPr>
          <w:rFonts w:eastAsia="Arial" w:cs="Arial"/>
          <w:sz w:val="24"/>
          <w:szCs w:val="24"/>
        </w:rPr>
        <w:t>Samuel C. Ryan, Principal Investigator, brings fifteen years of systems engineering experience across seven industries to this project, with directly relevant expertise in optical systems, semiconductor device physics, and safety-critical instrumentation development.</w:t>
      </w:r>
    </w:p>
    <w:p>
      <w:pPr>
        <w:pStyle w:val="Normal"/>
        <w:spacing w:before="0" w:after="160"/>
        <w:rPr/>
      </w:pPr>
      <w:r>
        <w:rPr>
          <w:rFonts w:eastAsia="Arial" w:cs="Arial"/>
          <w:sz w:val="24"/>
          <w:szCs w:val="24"/>
        </w:rPr>
        <w:t>Optical and sensor systems experience: Mr. Ryan served as a manufacturing and quality engineer at FLIR Systems (now Teledyne FLIR), where he rebuilt the First Article Inspection program for thermal imaging systems under DOD/MIL compliance requirements during a critical Sikorsky Aircraft audit. This experience provides direct familiarity with the production requirements and qualification standards relevant to Coast Guard sensor procurement, as well as working knowledge of infrared optical systems and their operational deployment contexts.</w:t>
      </w:r>
    </w:p>
    <w:p>
      <w:pPr>
        <w:pStyle w:val="Normal"/>
        <w:spacing w:before="0" w:after="160"/>
        <w:rPr/>
      </w:pPr>
      <w:r>
        <w:rPr>
          <w:rFonts w:eastAsia="Arial" w:cs="Arial"/>
          <w:sz w:val="24"/>
          <w:szCs w:val="24"/>
        </w:rPr>
        <w:t>Semiconductor and photonics foundation: Mr. Ryan holds a Master of Science in Semiconductor Process Engineering from the University of Oregon, providing the device physics foundation for DDR measurement system design. Graduate coursework and research in optoelectronic device fabrication, semiconductor characterization, and photonic system integration directly inform the technical approach described in this proposal. Mr. Ryan additionally gained hands-on fiber optic assembly and termination experience during his tenure at Voxtel, Inc. (Beaverton, OR), a photonics instrumentation and detector manufacturer, including fiber handling, connector installation, and optical path integration in a precision manufacturing environment.</w:t>
      </w:r>
    </w:p>
    <w:p>
      <w:pPr>
        <w:pStyle w:val="Normal"/>
        <w:spacing w:before="0" w:after="160"/>
        <w:rPr/>
      </w:pPr>
      <w:r>
        <w:rPr>
          <w:rFonts w:eastAsia="Arial" w:cs="Arial"/>
          <w:sz w:val="24"/>
          <w:szCs w:val="24"/>
        </w:rPr>
        <w:t>Systems engineering and instrumentation: Mr. Ryan has led the design and deployment of test and measurement systems across energy storage, defense electronics, fuel cell, and semiconductor manufacturing environments. Six test infrastructure systems designed by Mr. Ryan remain operational more than five years after implementation, demonstrating a systematic approach to durable instrumentation development. Formal HAZOP analysis, P&amp;ID development, and regulatory compliance experience (AS9100, EPA, DOD standards) provides relevant background for safety-critical instrument design.</w:t>
      </w:r>
    </w:p>
    <w:p>
      <w:pPr>
        <w:pStyle w:val="Normal"/>
        <w:spacing w:before="0" w:after="160"/>
        <w:rPr/>
      </w:pPr>
      <w:r>
        <w:rPr>
          <w:rFonts w:eastAsia="Arial" w:cs="Arial"/>
          <w:sz w:val="24"/>
          <w:szCs w:val="24"/>
        </w:rPr>
        <w:t xml:space="preserve">Independent development: The DDR sensor architecture described in this proposal was developed independently by Mr. Ryan in 2025–2026, drawing exclusively from published literature. This work does not incorporate proprietary information from current or former employers. </w:t>
      </w:r>
      <w:r>
        <w:rPr/>
        <w:t xml:space="preserve">Two provisional patent applications were filed in February 2026. </w:t>
      </w:r>
      <w:r>
        <w:rPr>
          <w:rFonts w:eastAsia="Arial" w:cs="Arial"/>
          <w:sz w:val="24"/>
          <w:szCs w:val="24"/>
        </w:rPr>
        <w:t>Mr. Ryan’s patent consulting experience spanning more than twenty technology domains demonstrates the ability to rapidly master diverse technical fields and communicate complex concepts effectively, a capability directly applicable to the multidisciplinary demands of DDR sensor development.</w:t>
      </w:r>
    </w:p>
    <w:p>
      <w:pPr>
        <w:pStyle w:val="Normal"/>
        <w:spacing w:before="0" w:after="160"/>
        <w:rPr/>
      </w:pPr>
      <w:r>
        <w:rPr>
          <w:rFonts w:eastAsia="Arial" w:cs="Arial"/>
          <w:sz w:val="24"/>
          <w:szCs w:val="24"/>
        </w:rPr>
        <w:t>Technical advisory support: The Phase I experimental design has been reviewed by faculty consultants with complementary expertise. Prof. Merrick Haller (Oregon State University, Civil &amp; Construction Engineering / CEOAS) leads OSU’s Nearshore Remote Sensing group and brings direct expertise in optical remote sensing methodology, maritime coastal environments, and field measurement validation under wave conditions, the domain directly relevant to Phase I field validation. [PENDING]</w:t>
      </w:r>
    </w:p>
    <w:p>
      <w:pPr>
        <w:pStyle w:val="Normal"/>
        <w:pBdr>
          <w:top w:val="single" w:sz="6" w:space="1" w:color="1F4E79"/>
        </w:pBdr>
        <w:spacing w:before="320" w:after="80"/>
        <w:rPr/>
      </w:pPr>
      <w:r>
        <w:rPr>
          <w:rFonts w:eastAsia="Arial" w:cs="Arial"/>
          <w:i/>
          <w:iCs/>
          <w:color w:val="666666"/>
          <w:sz w:val="20"/>
          <w:szCs w:val="20"/>
        </w:rPr>
        <w:t>Novel Systems Engineering, LLC  •  Wilsonville, OR 97070  •  503-941-0418  •  novelsystems.me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28"/>
      <w:szCs w:val="28"/>
    </w:rPr>
  </w:style>
  <w:style w:type="paragraph" w:styleId="Heading2">
    <w:name w:val="heading 2"/>
    <w:basedOn w:val="Heading"/>
    <w:qFormat/>
    <w:pPr>
      <w:spacing w:before="200" w:after="12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TotalTime>
  <Application>LibreOffice/25.8.3.2$Windows_X86_64 LibreOffice_project/8ca8d55c161d602844f5428fa4b58097424e324e</Application>
  <AppVersion>15.0000</AppVersion>
  <Pages>11</Pages>
  <Words>4521</Words>
  <Characters>28749</Characters>
  <CharactersWithSpaces>33127</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2026-02-21T00:15:54Z</dcterms:created>
  <dc:creator>Un-named</dc:creator>
  <dc:description/>
  <dc:language>en-US</dc:language>
  <cp:lastModifiedBy/>
  <dcterms:modified xsi:type="dcterms:W3CDTF">2026-02-27T10:37:53Z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