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FC1391" w14:textId="39B62A36" w:rsidR="00B94544" w:rsidRDefault="006A170C" w:rsidP="006A170C">
      <w:pPr>
        <w:spacing w:after="240" w:line="360" w:lineRule="exact"/>
        <w:jc w:val="center"/>
        <w:rPr>
          <w:rFonts w:ascii="黑体" w:eastAsia="黑体" w:hAnsi="黑体" w:hint="eastAsia"/>
          <w:b/>
          <w:sz w:val="44"/>
        </w:rPr>
      </w:pPr>
      <w:r>
        <w:rPr>
          <w:rFonts w:ascii="黑体" w:eastAsia="黑体" w:hAnsi="黑体" w:hint="eastAsia"/>
          <w:b/>
          <w:sz w:val="44"/>
        </w:rPr>
        <w:t>我国引信关键技术短板及国际比较研究（Skill版v2，基于公开信息）</w:t>
      </w:r>
    </w:p>
    <w:p w14:paraId="2F3B702E" w14:textId="164B596C" w:rsidR="006A170C" w:rsidRDefault="006A170C" w:rsidP="006A170C">
      <w:pPr>
        <w:spacing w:after="120" w:line="320" w:lineRule="exact"/>
        <w:jc w:val="center"/>
        <w:rPr>
          <w:rFonts w:ascii="楷体_GB2312" w:eastAsia="楷体_GB2312" w:hAnsi="黑体" w:hint="eastAsia"/>
          <w:sz w:val="28"/>
        </w:rPr>
      </w:pPr>
      <w:r>
        <w:rPr>
          <w:rFonts w:ascii="楷体_GB2312" w:eastAsia="楷体_GB2312" w:hAnsi="黑体" w:hint="eastAsia"/>
          <w:sz w:val="28"/>
        </w:rPr>
        <w:t>小论文</w:t>
      </w:r>
    </w:p>
    <w:p w14:paraId="4A4ECD6A" w14:textId="4C2B332C" w:rsidR="006A170C" w:rsidRDefault="006A170C" w:rsidP="006A170C">
      <w:pPr>
        <w:spacing w:after="120" w:line="320" w:lineRule="exact"/>
        <w:jc w:val="center"/>
        <w:rPr>
          <w:rFonts w:ascii="楷体_GB2312" w:eastAsia="楷体_GB2312" w:hAnsi="黑体" w:hint="eastAsia"/>
          <w:sz w:val="28"/>
        </w:rPr>
      </w:pPr>
      <w:r>
        <w:rPr>
          <w:rFonts w:ascii="楷体_GB2312" w:eastAsia="楷体_GB2312" w:hAnsi="黑体" w:hint="eastAsia"/>
          <w:sz w:val="28"/>
        </w:rPr>
        <w:t>Dominate</w:t>
      </w:r>
    </w:p>
    <w:p w14:paraId="169125ED" w14:textId="5968B875" w:rsidR="006A170C" w:rsidRDefault="006A170C" w:rsidP="006A170C">
      <w:pPr>
        <w:spacing w:after="240" w:line="320" w:lineRule="exact"/>
        <w:jc w:val="center"/>
        <w:rPr>
          <w:rFonts w:ascii="楷体_GB2312" w:eastAsia="楷体_GB2312" w:hAnsi="黑体" w:hint="eastAsia"/>
          <w:sz w:val="28"/>
        </w:rPr>
      </w:pPr>
      <w:r>
        <w:rPr>
          <w:rFonts w:ascii="楷体_GB2312" w:eastAsia="楷体_GB2312" w:hAnsi="黑体" w:hint="eastAsia"/>
          <w:sz w:val="28"/>
        </w:rPr>
        <w:t>2026 年 4 月</w:t>
      </w:r>
    </w:p>
    <w:p w14:paraId="4472201D" w14:textId="6946C975" w:rsidR="006A170C" w:rsidRDefault="006A170C" w:rsidP="006A170C">
      <w:pPr>
        <w:spacing w:before="240" w:line="320" w:lineRule="exact"/>
        <w:jc w:val="left"/>
        <w:rPr>
          <w:rFonts w:ascii="宋体" w:hAnsi="宋体" w:hint="eastAsia"/>
          <w:sz w:val="18"/>
        </w:rPr>
      </w:pPr>
      <w:r>
        <w:rPr>
          <w:rFonts w:ascii="宋体" w:hAnsi="宋体" w:hint="eastAsia"/>
          <w:sz w:val="18"/>
        </w:rPr>
        <w:t>说明：本文仅基于公开资料与课程讨论材料进行技术管理层面的分析，不涉及具体武器制造、装配、参数优化或作战操作细节。</w:t>
      </w:r>
    </w:p>
    <w:p w14:paraId="5AA56142" w14:textId="79069229" w:rsidR="006A170C" w:rsidRDefault="006A170C" w:rsidP="006A170C">
      <w:pPr>
        <w:spacing w:after="120" w:line="320" w:lineRule="exact"/>
        <w:jc w:val="center"/>
        <w:rPr>
          <w:rFonts w:ascii="黑体" w:eastAsia="黑体" w:hAnsi="黑体" w:hint="eastAsia"/>
          <w:b/>
          <w:sz w:val="28"/>
        </w:rPr>
      </w:pPr>
      <w:r>
        <w:rPr>
          <w:rFonts w:ascii="宋体" w:hAnsi="宋体" w:hint="eastAsia"/>
          <w:sz w:val="18"/>
        </w:rPr>
        <w:br w:type="page"/>
      </w:r>
      <w:r>
        <w:rPr>
          <w:rFonts w:ascii="黑体" w:eastAsia="黑体" w:hAnsi="黑体" w:hint="eastAsia"/>
          <w:b/>
          <w:sz w:val="28"/>
        </w:rPr>
        <w:lastRenderedPageBreak/>
        <w:t>摘  要</w:t>
      </w:r>
    </w:p>
    <w:p w14:paraId="13E64151" w14:textId="438DAAC0" w:rsidR="006A170C" w:rsidRDefault="006A170C" w:rsidP="006A170C">
      <w:pPr>
        <w:spacing w:after="120" w:line="320" w:lineRule="exact"/>
        <w:ind w:firstLine="420"/>
        <w:jc w:val="left"/>
        <w:rPr>
          <w:rFonts w:ascii="宋体" w:hAnsi="宋体" w:hint="eastAsia"/>
          <w:sz w:val="18"/>
        </w:rPr>
      </w:pPr>
      <w:r>
        <w:rPr>
          <w:rFonts w:ascii="宋体" w:hAnsi="宋体" w:hint="eastAsia"/>
          <w:sz w:val="18"/>
        </w:rPr>
        <w:t>引信是弹药系统中承担安全保险、解保判定、起爆控制和任务适配的核心部件。其技术水平不仅影响单发弹药效能，也直接影响部队体系保障效率。结合现有材料，我国当前引信建设呈现明显的并行特征：约 340 种引信与部队 16 类、400 余种弹药并存，部分型号更新较快，但老型号仍需长期保障。在此背景下，本文围绕两个问题展开分析：一是我国引信最需要优先突破的关键技术；二是相对于国外先进水平，我国处于何种阶段。文章重点讨论了增程技术链、电磁发射与液体发射药适配、底排增程一致性、滑翔与复合增程、激光末制导与半主动制导、卫星/惯性复合、155 弹道修正引信、可编程电子时引信等方向。研究认为，我国已具备局部并跑基础，但在统型化深度、批量一致性、抗干扰稳健性与全寿命周期闭环方面仍存在阶段差距。后续应以统型化平台、标准化接口、可靠性优先和数据闭环迭代为主线推进建设。</w:t>
      </w:r>
    </w:p>
    <w:p w14:paraId="1B232BDA" w14:textId="2F561161" w:rsidR="006A170C" w:rsidRDefault="006A170C" w:rsidP="006A170C">
      <w:pPr>
        <w:spacing w:after="240" w:line="320" w:lineRule="exact"/>
        <w:jc w:val="left"/>
        <w:rPr>
          <w:rFonts w:ascii="宋体" w:hAnsi="宋体" w:hint="eastAsia"/>
          <w:b/>
          <w:sz w:val="18"/>
        </w:rPr>
      </w:pPr>
      <w:r>
        <w:rPr>
          <w:rFonts w:ascii="宋体" w:hAnsi="宋体" w:hint="eastAsia"/>
          <w:b/>
          <w:sz w:val="18"/>
        </w:rPr>
        <w:t>关键词：引信；关键技术；国际比较；统型化；增程；制导；可靠性</w:t>
      </w:r>
    </w:p>
    <w:p w14:paraId="664B7E2A" w14:textId="5955DE2A" w:rsidR="006A170C" w:rsidRDefault="006A170C" w:rsidP="006A170C">
      <w:pPr>
        <w:spacing w:after="200" w:line="320" w:lineRule="exact"/>
        <w:jc w:val="center"/>
        <w:rPr>
          <w:rFonts w:ascii="黑体" w:eastAsia="黑体" w:hAnsi="黑体" w:hint="eastAsia"/>
          <w:b/>
          <w:sz w:val="28"/>
        </w:rPr>
      </w:pPr>
      <w:r>
        <w:rPr>
          <w:rFonts w:ascii="宋体" w:hAnsi="宋体" w:hint="eastAsia"/>
          <w:b/>
          <w:sz w:val="18"/>
        </w:rPr>
        <w:br w:type="page"/>
      </w:r>
      <w:r>
        <w:rPr>
          <w:rFonts w:ascii="黑体" w:eastAsia="黑体" w:hAnsi="黑体" w:hint="eastAsia"/>
          <w:b/>
          <w:sz w:val="28"/>
        </w:rPr>
        <w:t>目  录</w:t>
      </w:r>
    </w:p>
    <w:p w14:paraId="7607B667" w14:textId="20ED8B13" w:rsidR="006A170C" w:rsidRDefault="006A170C" w:rsidP="006A170C">
      <w:pPr>
        <w:spacing w:line="320" w:lineRule="exact"/>
        <w:jc w:val="left"/>
        <w:rPr>
          <w:rFonts w:ascii="宋体" w:hAnsi="宋体" w:hint="eastAsia"/>
        </w:rPr>
      </w:pPr>
      <w:r>
        <w:rPr>
          <w:rFonts w:ascii="宋体" w:hAnsi="宋体" w:hint="eastAsia"/>
        </w:rPr>
        <w:t xml:space="preserve">1. 研究背景与问题提出  </w:t>
      </w:r>
    </w:p>
    <w:p w14:paraId="3130F14E" w14:textId="3DA5FAB4" w:rsidR="006A170C" w:rsidRDefault="006A170C" w:rsidP="006A170C">
      <w:pPr>
        <w:spacing w:line="320" w:lineRule="exact"/>
        <w:jc w:val="left"/>
        <w:rPr>
          <w:rFonts w:ascii="宋体" w:hAnsi="宋体" w:hint="eastAsia"/>
        </w:rPr>
      </w:pPr>
      <w:r>
        <w:rPr>
          <w:rFonts w:ascii="宋体" w:hAnsi="宋体" w:hint="eastAsia"/>
        </w:rPr>
        <w:t xml:space="preserve">2. 我国引信建设的现实约束  </w:t>
      </w:r>
    </w:p>
    <w:p w14:paraId="5766C9C1" w14:textId="1D56CA6E" w:rsidR="006A170C" w:rsidRDefault="006A170C" w:rsidP="006A170C">
      <w:pPr>
        <w:spacing w:line="320" w:lineRule="exact"/>
        <w:jc w:val="left"/>
        <w:rPr>
          <w:rFonts w:ascii="宋体" w:hAnsi="宋体" w:hint="eastAsia"/>
        </w:rPr>
      </w:pPr>
      <w:r>
        <w:rPr>
          <w:rFonts w:ascii="宋体" w:hAnsi="宋体" w:hint="eastAsia"/>
        </w:rPr>
        <w:t xml:space="preserve">3. 关键技术短板与具体示例  </w:t>
      </w:r>
    </w:p>
    <w:p w14:paraId="1EEF2538" w14:textId="5773A0F2" w:rsidR="006A170C" w:rsidRDefault="006A170C" w:rsidP="006A170C">
      <w:pPr>
        <w:spacing w:line="320" w:lineRule="exact"/>
        <w:jc w:val="left"/>
        <w:rPr>
          <w:rFonts w:ascii="宋体" w:hAnsi="宋体" w:hint="eastAsia"/>
        </w:rPr>
      </w:pPr>
      <w:r>
        <w:rPr>
          <w:rFonts w:ascii="宋体" w:hAnsi="宋体" w:hint="eastAsia"/>
        </w:rPr>
        <w:t xml:space="preserve">4. 国外先进水平对比  </w:t>
      </w:r>
    </w:p>
    <w:p w14:paraId="2ECD348D" w14:textId="1165D8FF" w:rsidR="006A170C" w:rsidRDefault="006A170C" w:rsidP="006A170C">
      <w:pPr>
        <w:spacing w:line="320" w:lineRule="exact"/>
        <w:jc w:val="left"/>
        <w:rPr>
          <w:rFonts w:ascii="宋体" w:hAnsi="宋体" w:hint="eastAsia"/>
        </w:rPr>
      </w:pPr>
      <w:r>
        <w:rPr>
          <w:rFonts w:ascii="宋体" w:hAnsi="宋体" w:hint="eastAsia"/>
        </w:rPr>
        <w:t xml:space="preserve">5. 我国所处地位判断  </w:t>
      </w:r>
    </w:p>
    <w:p w14:paraId="0D27FF4C" w14:textId="5279B67D" w:rsidR="006A170C" w:rsidRDefault="006A170C" w:rsidP="006A170C">
      <w:pPr>
        <w:spacing w:line="320" w:lineRule="exact"/>
        <w:jc w:val="left"/>
        <w:rPr>
          <w:rFonts w:ascii="宋体" w:hAnsi="宋体" w:hint="eastAsia"/>
        </w:rPr>
      </w:pPr>
      <w:r>
        <w:rPr>
          <w:rFonts w:ascii="宋体" w:hAnsi="宋体" w:hint="eastAsia"/>
        </w:rPr>
        <w:t xml:space="preserve">6. 发展建议  </w:t>
      </w:r>
    </w:p>
    <w:p w14:paraId="0D000B66" w14:textId="55C2044C" w:rsidR="006A170C" w:rsidRDefault="006A170C" w:rsidP="006A170C">
      <w:pPr>
        <w:spacing w:line="320" w:lineRule="exact"/>
        <w:jc w:val="left"/>
        <w:rPr>
          <w:rFonts w:ascii="宋体" w:hAnsi="宋体" w:hint="eastAsia"/>
        </w:rPr>
      </w:pPr>
      <w:r>
        <w:rPr>
          <w:rFonts w:ascii="宋体" w:hAnsi="宋体" w:hint="eastAsia"/>
        </w:rPr>
        <w:t xml:space="preserve">7. 结论  </w:t>
      </w:r>
    </w:p>
    <w:p w14:paraId="1A7CD7DE" w14:textId="42720CFB" w:rsidR="006A170C" w:rsidRDefault="006A170C" w:rsidP="006A170C">
      <w:pPr>
        <w:spacing w:line="320" w:lineRule="exact"/>
        <w:jc w:val="left"/>
        <w:rPr>
          <w:rFonts w:ascii="宋体" w:hAnsi="宋体" w:hint="eastAsia"/>
        </w:rPr>
      </w:pPr>
      <w:r>
        <w:rPr>
          <w:rFonts w:ascii="宋体" w:hAnsi="宋体" w:hint="eastAsia"/>
        </w:rPr>
        <w:t>参考文献</w:t>
      </w:r>
    </w:p>
    <w:p w14:paraId="4BD645F7" w14:textId="19A2CF91" w:rsidR="006A170C" w:rsidRDefault="006A170C" w:rsidP="006A170C">
      <w:pPr>
        <w:spacing w:before="240" w:after="120" w:line="320" w:lineRule="exact"/>
        <w:jc w:val="center"/>
        <w:rPr>
          <w:rFonts w:ascii="黑体" w:eastAsia="黑体" w:hAnsi="黑体" w:hint="eastAsia"/>
          <w:b/>
          <w:sz w:val="28"/>
        </w:rPr>
      </w:pPr>
      <w:r>
        <w:rPr>
          <w:rFonts w:ascii="宋体" w:hAnsi="宋体" w:hint="eastAsia"/>
        </w:rPr>
        <w:br w:type="page"/>
      </w:r>
      <w:r>
        <w:rPr>
          <w:rFonts w:ascii="黑体" w:eastAsia="黑体" w:hAnsi="黑体" w:hint="eastAsia"/>
          <w:b/>
          <w:sz w:val="28"/>
        </w:rPr>
        <w:t>1. 研究背景与问题提出</w:t>
      </w:r>
    </w:p>
    <w:p w14:paraId="5B7E3993" w14:textId="1473A53B" w:rsidR="006A170C" w:rsidRDefault="006A170C" w:rsidP="006A170C">
      <w:pPr>
        <w:spacing w:after="80" w:line="320" w:lineRule="exact"/>
        <w:ind w:firstLine="420"/>
        <w:jc w:val="left"/>
        <w:rPr>
          <w:rFonts w:ascii="宋体" w:hAnsi="宋体" w:hint="eastAsia"/>
        </w:rPr>
      </w:pPr>
      <w:r>
        <w:rPr>
          <w:rFonts w:ascii="宋体" w:hAnsi="宋体" w:hint="eastAsia"/>
        </w:rPr>
        <w:t>在现代弹药体系中，引信不再是单一触发部件，而是连接安全、发射、飞行、作用全过程的任务控制节点。随着作战环境向高对抗和多域协同发展，引信评价标准已经从能否起爆扩展为能否在复杂条件下稳定判定、精准触发和持续保障。</w:t>
      </w:r>
    </w:p>
    <w:p w14:paraId="2FC603B0" w14:textId="5A88435D" w:rsidR="006A170C" w:rsidRDefault="006A170C" w:rsidP="006A170C">
      <w:pPr>
        <w:spacing w:after="80" w:line="320" w:lineRule="exact"/>
        <w:ind w:firstLine="420"/>
        <w:jc w:val="left"/>
        <w:rPr>
          <w:rFonts w:ascii="宋体" w:hAnsi="宋体" w:hint="eastAsia"/>
        </w:rPr>
      </w:pPr>
      <w:r>
        <w:rPr>
          <w:rFonts w:ascii="宋体" w:hAnsi="宋体" w:hint="eastAsia"/>
        </w:rPr>
        <w:t>从现有材料看，我国引信体系面临两个并行压力。第一是规模压力，当前约有 340 种引信与 16 类、400 余种弹药并行保障。第二是代际压力，部分型号更新快，但老型号仍不能一次性退出。例如 82 弹相关型号在持续更新，旧型号保障又不能中断。这种状态使一弹一引信模式的成本和复杂度不断上升。</w:t>
      </w:r>
    </w:p>
    <w:p w14:paraId="1ABBD9B2" w14:textId="339B3331" w:rsidR="006A170C" w:rsidRDefault="006A170C" w:rsidP="006A170C">
      <w:pPr>
        <w:spacing w:after="80" w:line="320" w:lineRule="exact"/>
        <w:ind w:firstLine="420"/>
        <w:jc w:val="left"/>
        <w:rPr>
          <w:rFonts w:ascii="宋体" w:hAnsi="宋体" w:hint="eastAsia"/>
        </w:rPr>
      </w:pPr>
      <w:r>
        <w:rPr>
          <w:rFonts w:ascii="宋体" w:hAnsi="宋体" w:hint="eastAsia"/>
        </w:rPr>
        <w:t>因此，本文聚焦的不是单项指标高低，而是体系性问题：在型谱复杂、任务扩展、环境严苛的条件下，我国引信最优先要补哪几块短板。</w:t>
      </w:r>
    </w:p>
    <w:p w14:paraId="17A218FC" w14:textId="40A54008" w:rsidR="006A170C" w:rsidRDefault="006A170C" w:rsidP="006A170C">
      <w:pPr>
        <w:spacing w:before="240" w:after="120" w:line="320" w:lineRule="exact"/>
        <w:jc w:val="center"/>
        <w:rPr>
          <w:rFonts w:ascii="黑体" w:eastAsia="黑体" w:hAnsi="黑体" w:hint="eastAsia"/>
          <w:b/>
          <w:sz w:val="28"/>
        </w:rPr>
      </w:pPr>
      <w:r>
        <w:rPr>
          <w:rFonts w:ascii="黑体" w:eastAsia="黑体" w:hAnsi="黑体" w:hint="eastAsia"/>
          <w:b/>
          <w:sz w:val="28"/>
        </w:rPr>
        <w:t>2. 我国引信建设的现实约束</w:t>
      </w:r>
    </w:p>
    <w:p w14:paraId="0727CBC5" w14:textId="1CC0F4BF" w:rsidR="006A170C" w:rsidRDefault="006A170C" w:rsidP="006A170C">
      <w:pPr>
        <w:spacing w:after="80" w:line="320" w:lineRule="exact"/>
        <w:ind w:firstLine="420"/>
        <w:jc w:val="left"/>
        <w:rPr>
          <w:rFonts w:ascii="宋体" w:hAnsi="宋体" w:hint="eastAsia"/>
        </w:rPr>
      </w:pPr>
      <w:r>
        <w:rPr>
          <w:rFonts w:ascii="宋体" w:hAnsi="宋体" w:hint="eastAsia"/>
        </w:rPr>
        <w:t>第一，型谱结构不够合理。不同型号之间接口、参数、试验流程和保障链条差异较大，重复开发与重复维护问题较突出。</w:t>
      </w:r>
    </w:p>
    <w:p w14:paraId="33923953" w14:textId="0BADE2E6" w:rsidR="006A170C" w:rsidRDefault="006A170C" w:rsidP="006A170C">
      <w:pPr>
        <w:spacing w:after="80" w:line="320" w:lineRule="exact"/>
        <w:ind w:firstLine="420"/>
        <w:jc w:val="left"/>
        <w:rPr>
          <w:rFonts w:ascii="宋体" w:hAnsi="宋体" w:hint="eastAsia"/>
        </w:rPr>
      </w:pPr>
      <w:r>
        <w:rPr>
          <w:rFonts w:ascii="宋体" w:hAnsi="宋体" w:hint="eastAsia"/>
        </w:rPr>
        <w:t>第二，增程和制导需求同时抬升。当前任务需求不只强调可靠起爆，还强调远射程与高精度并存，导致推进方式、制导方式、引信控制逻辑需要协同升级。</w:t>
      </w:r>
    </w:p>
    <w:p w14:paraId="23102B4F" w14:textId="3E5A2A86" w:rsidR="006A170C" w:rsidRDefault="006A170C" w:rsidP="006A170C">
      <w:pPr>
        <w:spacing w:after="80" w:line="320" w:lineRule="exact"/>
        <w:ind w:firstLine="420"/>
        <w:jc w:val="left"/>
        <w:rPr>
          <w:rFonts w:ascii="宋体" w:hAnsi="宋体" w:hint="eastAsia"/>
        </w:rPr>
      </w:pPr>
      <w:r>
        <w:rPr>
          <w:rFonts w:ascii="宋体" w:hAnsi="宋体" w:hint="eastAsia"/>
        </w:rPr>
        <w:t>第三，高动态环境下可靠性压力增大。高过载、高旋转、强振动、温差冲击和电磁干扰，都会放大引信器件与判据算法的脆弱环节。</w:t>
      </w:r>
    </w:p>
    <w:p w14:paraId="358B8C3D" w14:textId="458FD521" w:rsidR="006A170C" w:rsidRDefault="006A170C" w:rsidP="006A170C">
      <w:pPr>
        <w:spacing w:after="80" w:line="320" w:lineRule="exact"/>
        <w:ind w:firstLine="420"/>
        <w:jc w:val="left"/>
        <w:rPr>
          <w:rFonts w:ascii="宋体" w:hAnsi="宋体" w:hint="eastAsia"/>
        </w:rPr>
      </w:pPr>
      <w:r>
        <w:rPr>
          <w:rFonts w:ascii="宋体" w:hAnsi="宋体" w:hint="eastAsia"/>
        </w:rPr>
        <w:t>第四，信息装填和参数管理标准仍不统一。可编程方向是趋势，但如果没有统一的数据格式、版本追溯和权限控制机制，配置效率和安全边界就难以兼得。</w:t>
      </w:r>
    </w:p>
    <w:p w14:paraId="4DD7D3FB" w14:textId="6BEC206B" w:rsidR="006A170C" w:rsidRDefault="006A170C" w:rsidP="006A170C">
      <w:pPr>
        <w:spacing w:before="240" w:after="120" w:line="320" w:lineRule="exact"/>
        <w:jc w:val="center"/>
        <w:rPr>
          <w:rFonts w:ascii="黑体" w:eastAsia="黑体" w:hAnsi="黑体" w:hint="eastAsia"/>
          <w:b/>
          <w:sz w:val="28"/>
        </w:rPr>
      </w:pPr>
      <w:r>
        <w:rPr>
          <w:rFonts w:ascii="黑体" w:eastAsia="黑体" w:hAnsi="黑体" w:hint="eastAsia"/>
          <w:b/>
          <w:sz w:val="28"/>
        </w:rPr>
        <w:t>3. 关键技术短板与具体示例</w:t>
      </w:r>
    </w:p>
    <w:p w14:paraId="31A9CA3D" w14:textId="59C047F2" w:rsidR="006A170C" w:rsidRDefault="006A170C" w:rsidP="006A170C">
      <w:pPr>
        <w:spacing w:before="120" w:after="80" w:line="320" w:lineRule="exact"/>
        <w:jc w:val="left"/>
        <w:rPr>
          <w:rFonts w:ascii="黑体" w:eastAsia="黑体" w:hAnsi="黑体" w:hint="eastAsia"/>
          <w:b/>
          <w:sz w:val="24"/>
        </w:rPr>
      </w:pPr>
      <w:r>
        <w:rPr>
          <w:rFonts w:ascii="黑体" w:eastAsia="黑体" w:hAnsi="黑体" w:hint="eastAsia"/>
          <w:b/>
          <w:sz w:val="24"/>
        </w:rPr>
        <w:t>3.1 统型化与火工品统型仍是首要任务</w:t>
      </w:r>
    </w:p>
    <w:p w14:paraId="2E7525F9" w14:textId="5F3E8A83" w:rsidR="006A170C" w:rsidRDefault="006A170C" w:rsidP="006A170C">
      <w:pPr>
        <w:spacing w:after="80" w:line="320" w:lineRule="exact"/>
        <w:ind w:firstLine="420"/>
        <w:jc w:val="left"/>
        <w:rPr>
          <w:rFonts w:ascii="宋体" w:hAnsi="宋体" w:hint="eastAsia"/>
        </w:rPr>
      </w:pPr>
      <w:r>
        <w:rPr>
          <w:rFonts w:ascii="宋体" w:hAnsi="宋体" w:hint="eastAsia"/>
        </w:rPr>
        <w:t>现阶段最紧迫的不是再增加新型号数量，而是提升通用平台覆盖率。面对 16 类、400 余种弹药并行保障，一弹一引信会持续抬高研制、试验、生产和维护成本。推进型号统型和火工品统型，是降低体系复杂度的基础工程。</w:t>
      </w:r>
    </w:p>
    <w:p w14:paraId="32BAF00A" w14:textId="489776BD" w:rsidR="006A170C" w:rsidRDefault="006A170C" w:rsidP="006A170C">
      <w:pPr>
        <w:spacing w:before="120" w:after="80" w:line="320" w:lineRule="exact"/>
        <w:jc w:val="left"/>
        <w:rPr>
          <w:rFonts w:ascii="黑体" w:eastAsia="黑体" w:hAnsi="黑体" w:hint="eastAsia"/>
          <w:b/>
          <w:sz w:val="24"/>
        </w:rPr>
      </w:pPr>
      <w:r>
        <w:rPr>
          <w:rFonts w:ascii="黑体" w:eastAsia="黑体" w:hAnsi="黑体" w:hint="eastAsia"/>
          <w:b/>
          <w:sz w:val="24"/>
        </w:rPr>
        <w:t>3.2 增程技术链存在链路短板</w:t>
      </w:r>
    </w:p>
    <w:p w14:paraId="72D16936" w14:textId="66BE2058" w:rsidR="006A170C" w:rsidRDefault="006A170C" w:rsidP="006A170C">
      <w:pPr>
        <w:spacing w:after="80" w:line="320" w:lineRule="exact"/>
        <w:ind w:firstLine="420"/>
        <w:jc w:val="left"/>
        <w:rPr>
          <w:rFonts w:ascii="宋体" w:hAnsi="宋体" w:hint="eastAsia"/>
        </w:rPr>
      </w:pPr>
      <w:r>
        <w:rPr>
          <w:rFonts w:ascii="宋体" w:hAnsi="宋体" w:hint="eastAsia"/>
        </w:rPr>
        <w:t>材料中提到的人增程技术、电磁发射、液体发射药、底排增程、滑翔、增程发动机和复合增程，实际上构成一条完整的增程技术链。其中短板比较明确：</w:t>
      </w:r>
    </w:p>
    <w:p w14:paraId="3E45092D" w14:textId="797DD88A" w:rsidR="006A170C" w:rsidRDefault="006A170C" w:rsidP="006A170C">
      <w:pPr>
        <w:spacing w:after="80" w:line="320" w:lineRule="exact"/>
        <w:ind w:firstLine="420"/>
        <w:jc w:val="left"/>
        <w:rPr>
          <w:rFonts w:ascii="宋体" w:hAnsi="宋体" w:hint="eastAsia"/>
        </w:rPr>
      </w:pPr>
      <w:r>
        <w:rPr>
          <w:rFonts w:ascii="宋体" w:hAnsi="宋体" w:hint="eastAsia"/>
        </w:rPr>
        <w:t>底排增程方向，点火一致性仍有波动。</w:t>
      </w:r>
    </w:p>
    <w:p w14:paraId="67B60257" w14:textId="4C84A10A" w:rsidR="006A170C" w:rsidRDefault="006A170C" w:rsidP="006A170C">
      <w:pPr>
        <w:spacing w:after="80" w:line="320" w:lineRule="exact"/>
        <w:ind w:firstLine="420"/>
        <w:jc w:val="left"/>
        <w:rPr>
          <w:rFonts w:ascii="宋体" w:hAnsi="宋体" w:hint="eastAsia"/>
        </w:rPr>
      </w:pPr>
      <w:r>
        <w:rPr>
          <w:rFonts w:ascii="宋体" w:hAnsi="宋体" w:hint="eastAsia"/>
        </w:rPr>
        <w:t>底排药柱燃烧规律研究仍需加强，导致工况适应性不足。</w:t>
      </w:r>
    </w:p>
    <w:p w14:paraId="31733022" w14:textId="2B0A6890" w:rsidR="006A170C" w:rsidRDefault="006A170C" w:rsidP="006A170C">
      <w:pPr>
        <w:spacing w:after="80" w:line="320" w:lineRule="exact"/>
        <w:ind w:firstLine="420"/>
        <w:jc w:val="left"/>
        <w:rPr>
          <w:rFonts w:ascii="宋体" w:hAnsi="宋体" w:hint="eastAsia"/>
        </w:rPr>
      </w:pPr>
      <w:r>
        <w:rPr>
          <w:rFonts w:ascii="宋体" w:hAnsi="宋体" w:hint="eastAsia"/>
        </w:rPr>
        <w:t>复合增程方案在推进、控制与引信触发之间的协同设计还需深化。</w:t>
      </w:r>
    </w:p>
    <w:p w14:paraId="2069FB0E" w14:textId="1CD10FCB" w:rsidR="006A170C" w:rsidRDefault="006A170C" w:rsidP="006A170C">
      <w:pPr>
        <w:spacing w:after="80" w:line="320" w:lineRule="exact"/>
        <w:ind w:firstLine="420"/>
        <w:jc w:val="left"/>
        <w:rPr>
          <w:rFonts w:ascii="宋体" w:hAnsi="宋体" w:hint="eastAsia"/>
        </w:rPr>
      </w:pPr>
      <w:r>
        <w:rPr>
          <w:rFonts w:ascii="宋体" w:hAnsi="宋体" w:hint="eastAsia"/>
        </w:rPr>
        <w:t>这些问题说明增程不是某个器件的单点问题，而是推进方式、发射环境、引信判据和末段控制的系统协同问题。</w:t>
      </w:r>
    </w:p>
    <w:p w14:paraId="0E570F6B" w14:textId="3CF73C29" w:rsidR="006A170C" w:rsidRDefault="006A170C" w:rsidP="006A170C">
      <w:pPr>
        <w:spacing w:before="120" w:after="80" w:line="320" w:lineRule="exact"/>
        <w:jc w:val="left"/>
        <w:rPr>
          <w:rFonts w:ascii="黑体" w:eastAsia="黑体" w:hAnsi="黑体" w:hint="eastAsia"/>
          <w:b/>
          <w:sz w:val="24"/>
        </w:rPr>
      </w:pPr>
      <w:r>
        <w:rPr>
          <w:rFonts w:ascii="黑体" w:eastAsia="黑体" w:hAnsi="黑体" w:hint="eastAsia"/>
          <w:b/>
          <w:sz w:val="24"/>
        </w:rPr>
        <w:t>3.3 激光制导相关方向仍有工程瓶颈</w:t>
      </w:r>
    </w:p>
    <w:p w14:paraId="6B4D2A0E" w14:textId="0A534304" w:rsidR="006A170C" w:rsidRDefault="006A170C" w:rsidP="006A170C">
      <w:pPr>
        <w:spacing w:after="80" w:line="320" w:lineRule="exact"/>
        <w:ind w:firstLine="420"/>
        <w:jc w:val="left"/>
        <w:rPr>
          <w:rFonts w:ascii="宋体" w:hAnsi="宋体" w:hint="eastAsia"/>
        </w:rPr>
      </w:pPr>
      <w:r>
        <w:rPr>
          <w:rFonts w:ascii="宋体" w:hAnsi="宋体" w:hint="eastAsia"/>
        </w:rPr>
        <w:t>激光末制导导弹方向，材料反映出掉弹和高原命中率偏低等现象，核心矛盾是复杂环境下解算与控制的稳定性。激光半主动制导方向，主要问题在射程和稳定性平衡。激光驾束制导在特定场景下仍有价值，但对直瞄条件依赖较强，平台暴露风险相对更高。</w:t>
      </w:r>
    </w:p>
    <w:p w14:paraId="78C7B745" w14:textId="20CEBC3E" w:rsidR="006A170C" w:rsidRDefault="006A170C" w:rsidP="006A170C">
      <w:pPr>
        <w:spacing w:after="80" w:line="320" w:lineRule="exact"/>
        <w:ind w:firstLine="420"/>
        <w:jc w:val="left"/>
        <w:rPr>
          <w:rFonts w:ascii="宋体" w:hAnsi="宋体" w:hint="eastAsia"/>
        </w:rPr>
      </w:pPr>
      <w:r>
        <w:rPr>
          <w:rFonts w:ascii="宋体" w:hAnsi="宋体" w:hint="eastAsia"/>
        </w:rPr>
        <w:t>从工程角度看，上述问题本质上都指向同一件事：制导链路在复杂环境中的稳健性不足，尤其是计算速度、抗干扰和控制余度配置仍需提升。</w:t>
      </w:r>
    </w:p>
    <w:p w14:paraId="5F14DA10" w14:textId="3DFE8D3A" w:rsidR="006A170C" w:rsidRDefault="006A170C" w:rsidP="006A170C">
      <w:pPr>
        <w:spacing w:before="120" w:after="80" w:line="320" w:lineRule="exact"/>
        <w:jc w:val="left"/>
        <w:rPr>
          <w:rFonts w:ascii="黑体" w:eastAsia="黑体" w:hAnsi="黑体" w:hint="eastAsia"/>
          <w:b/>
          <w:sz w:val="24"/>
        </w:rPr>
      </w:pPr>
      <w:r>
        <w:rPr>
          <w:rFonts w:ascii="黑体" w:eastAsia="黑体" w:hAnsi="黑体" w:hint="eastAsia"/>
          <w:b/>
          <w:sz w:val="24"/>
        </w:rPr>
        <w:t>3.4 卫星/惯性复合能力仍需加强抗干扰设计</w:t>
      </w:r>
    </w:p>
    <w:p w14:paraId="70554BC2" w14:textId="1348367C" w:rsidR="006A170C" w:rsidRDefault="006A170C" w:rsidP="006A170C">
      <w:pPr>
        <w:spacing w:after="80" w:line="320" w:lineRule="exact"/>
        <w:ind w:firstLine="420"/>
        <w:jc w:val="left"/>
        <w:rPr>
          <w:rFonts w:ascii="宋体" w:hAnsi="宋体" w:hint="eastAsia"/>
        </w:rPr>
      </w:pPr>
      <w:r>
        <w:rPr>
          <w:rFonts w:ascii="宋体" w:hAnsi="宋体" w:hint="eastAsia"/>
        </w:rPr>
        <w:t>卫星/惯性复合是提升中远程精度的重要路径，但材料显示抗干扰能力和精度稳定性仍有短板。例如某型最大射程下 CEP 约 50 m 未达预期，说明精度不仅取决于静态定位精度，还受干扰环境、误差传播和弹道修正能力共同影响。</w:t>
      </w:r>
    </w:p>
    <w:p w14:paraId="56E3FE2E" w14:textId="039B0A66" w:rsidR="006A170C" w:rsidRDefault="006A170C" w:rsidP="006A170C">
      <w:pPr>
        <w:spacing w:before="120" w:after="80" w:line="320" w:lineRule="exact"/>
        <w:jc w:val="left"/>
        <w:rPr>
          <w:rFonts w:ascii="黑体" w:eastAsia="黑体" w:hAnsi="黑体" w:hint="eastAsia"/>
          <w:b/>
          <w:sz w:val="24"/>
        </w:rPr>
      </w:pPr>
      <w:r>
        <w:rPr>
          <w:rFonts w:ascii="黑体" w:eastAsia="黑体" w:hAnsi="黑体" w:hint="eastAsia"/>
          <w:b/>
          <w:sz w:val="24"/>
        </w:rPr>
        <w:t>3.5 155 弹道修正引信面临高过载与高旋转双重约束</w:t>
      </w:r>
    </w:p>
    <w:p w14:paraId="5C8E7C0D" w14:textId="6139EA3E" w:rsidR="006A170C" w:rsidRDefault="006A170C" w:rsidP="006A170C">
      <w:pPr>
        <w:spacing w:after="80" w:line="320" w:lineRule="exact"/>
        <w:ind w:firstLine="420"/>
        <w:jc w:val="left"/>
        <w:rPr>
          <w:rFonts w:ascii="宋体" w:hAnsi="宋体" w:hint="eastAsia"/>
        </w:rPr>
      </w:pPr>
      <w:r>
        <w:rPr>
          <w:rFonts w:ascii="宋体" w:hAnsi="宋体" w:hint="eastAsia"/>
        </w:rPr>
        <w:t>155 弹道修正引信是典型高难方向。其关键难点在于高过载和高旋转工况下，器件可靠性、封装强度和控制算法要同时满足要求。若只优化单个环节，实际批量应用效果往往不稳定。</w:t>
      </w:r>
    </w:p>
    <w:p w14:paraId="6D7B8421" w14:textId="3688E644" w:rsidR="006A170C" w:rsidRDefault="006A170C" w:rsidP="006A170C">
      <w:pPr>
        <w:spacing w:before="120" w:after="80" w:line="320" w:lineRule="exact"/>
        <w:jc w:val="left"/>
        <w:rPr>
          <w:rFonts w:ascii="黑体" w:eastAsia="黑体" w:hAnsi="黑体" w:hint="eastAsia"/>
          <w:b/>
          <w:sz w:val="24"/>
        </w:rPr>
      </w:pPr>
      <w:r>
        <w:rPr>
          <w:rFonts w:ascii="黑体" w:eastAsia="黑体" w:hAnsi="黑体" w:hint="eastAsia"/>
          <w:b/>
          <w:sz w:val="24"/>
        </w:rPr>
        <w:t>3.6 可编程电子时引信与可控杀伤能力仍需补可靠性</w:t>
      </w:r>
    </w:p>
    <w:p w14:paraId="5B18E03C" w14:textId="645F52C2" w:rsidR="006A170C" w:rsidRDefault="006A170C" w:rsidP="006A170C">
      <w:pPr>
        <w:spacing w:after="80" w:line="320" w:lineRule="exact"/>
        <w:ind w:firstLine="420"/>
        <w:jc w:val="left"/>
        <w:rPr>
          <w:rFonts w:ascii="宋体" w:hAnsi="宋体" w:hint="eastAsia"/>
        </w:rPr>
      </w:pPr>
      <w:r>
        <w:rPr>
          <w:rFonts w:ascii="宋体" w:hAnsi="宋体" w:hint="eastAsia"/>
        </w:rPr>
        <w:t>多束定向预制破片弹与可编程电子时引信反映了作用方式由固定向可控演进。当前材料显示时引精度有一定基础，但可靠性仍是短板。威力可控和起爆点可控能力要真正落地，前提是参数装填、任务配置和安全机制标准化。</w:t>
      </w:r>
    </w:p>
    <w:p w14:paraId="11D94F47" w14:textId="58C3132F" w:rsidR="006A170C" w:rsidRDefault="006A170C" w:rsidP="006A170C">
      <w:pPr>
        <w:spacing w:before="120" w:after="80" w:line="320" w:lineRule="exact"/>
        <w:jc w:val="left"/>
        <w:rPr>
          <w:rFonts w:ascii="黑体" w:eastAsia="黑体" w:hAnsi="黑体" w:hint="eastAsia"/>
          <w:b/>
          <w:sz w:val="24"/>
        </w:rPr>
      </w:pPr>
      <w:r>
        <w:rPr>
          <w:rFonts w:ascii="黑体" w:eastAsia="黑体" w:hAnsi="黑体" w:hint="eastAsia"/>
          <w:b/>
          <w:sz w:val="24"/>
        </w:rPr>
        <w:t>3.7 装填输入、自主判据与新场景适配</w:t>
      </w:r>
    </w:p>
    <w:p w14:paraId="4AC2C70A" w14:textId="2D5A9F14" w:rsidR="006A170C" w:rsidRDefault="006A170C" w:rsidP="006A170C">
      <w:pPr>
        <w:spacing w:after="80" w:line="320" w:lineRule="exact"/>
        <w:ind w:firstLine="420"/>
        <w:jc w:val="left"/>
        <w:rPr>
          <w:rFonts w:ascii="宋体" w:hAnsi="宋体" w:hint="eastAsia"/>
        </w:rPr>
      </w:pPr>
      <w:r>
        <w:rPr>
          <w:rFonts w:ascii="宋体" w:hAnsi="宋体" w:hint="eastAsia"/>
        </w:rPr>
        <w:t>侦察—打击—评估一体化、巡飞弹与蜂群化应用等新场景，对引信提出更高的信息输入与自主判据要求。引信装填技术和信息接口能力如果不统一，会直接限制体系协同效率。</w:t>
      </w:r>
    </w:p>
    <w:p w14:paraId="6CE63CBF" w14:textId="57B56B5D" w:rsidR="006A170C" w:rsidRDefault="006A170C" w:rsidP="006A170C">
      <w:pPr>
        <w:spacing w:after="80" w:line="320" w:lineRule="exact"/>
        <w:ind w:firstLine="420"/>
        <w:jc w:val="left"/>
        <w:rPr>
          <w:rFonts w:ascii="宋体" w:hAnsi="宋体" w:hint="eastAsia"/>
        </w:rPr>
      </w:pPr>
      <w:r>
        <w:rPr>
          <w:rFonts w:ascii="宋体" w:hAnsi="宋体" w:hint="eastAsia"/>
        </w:rPr>
        <w:t>此外，材料中提到新能源电池和分布式嵌入引信，这代表了未来方向：引信能力将更深度地嵌入弹药系统，而不是作为外加部件单独优化。</w:t>
      </w:r>
    </w:p>
    <w:p w14:paraId="118A43C3" w14:textId="00565CF2" w:rsidR="006A170C" w:rsidRDefault="006A170C" w:rsidP="006A170C">
      <w:pPr>
        <w:spacing w:before="240" w:after="120" w:line="320" w:lineRule="exact"/>
        <w:jc w:val="center"/>
        <w:rPr>
          <w:rFonts w:ascii="黑体" w:eastAsia="黑体" w:hAnsi="黑体" w:hint="eastAsia"/>
          <w:b/>
          <w:sz w:val="28"/>
        </w:rPr>
      </w:pPr>
      <w:r>
        <w:rPr>
          <w:rFonts w:ascii="黑体" w:eastAsia="黑体" w:hAnsi="黑体" w:hint="eastAsia"/>
          <w:b/>
          <w:sz w:val="28"/>
        </w:rPr>
        <w:t>4. 国外先进水平对比</w:t>
      </w:r>
    </w:p>
    <w:p w14:paraId="69C2AB14" w14:textId="6C2A07E7" w:rsidR="006A170C" w:rsidRDefault="006A170C" w:rsidP="006A170C">
      <w:pPr>
        <w:spacing w:before="120" w:after="80" w:line="320" w:lineRule="exact"/>
        <w:jc w:val="left"/>
        <w:rPr>
          <w:rFonts w:ascii="黑体" w:eastAsia="黑体" w:hAnsi="黑体" w:hint="eastAsia"/>
          <w:b/>
          <w:sz w:val="24"/>
        </w:rPr>
      </w:pPr>
      <w:r>
        <w:rPr>
          <w:rFonts w:ascii="黑体" w:eastAsia="黑体" w:hAnsi="黑体" w:hint="eastAsia"/>
          <w:b/>
          <w:sz w:val="24"/>
        </w:rPr>
        <w:t>4.1 对比维度</w:t>
      </w:r>
    </w:p>
    <w:p w14:paraId="3858AEE4" w14:textId="3D3A350C" w:rsidR="006A170C" w:rsidRDefault="006A170C" w:rsidP="006A170C">
      <w:pPr>
        <w:spacing w:after="80" w:line="320" w:lineRule="exact"/>
        <w:ind w:firstLine="420"/>
        <w:jc w:val="left"/>
        <w:rPr>
          <w:rFonts w:ascii="宋体" w:hAnsi="宋体" w:hint="eastAsia"/>
        </w:rPr>
      </w:pPr>
      <w:r>
        <w:rPr>
          <w:rFonts w:ascii="宋体" w:hAnsi="宋体" w:hint="eastAsia"/>
        </w:rPr>
        <w:t>本文从四个维度比较我国与国外先进水平：</w:t>
      </w:r>
    </w:p>
    <w:p w14:paraId="33D0D656" w14:textId="6DBB79E1" w:rsidR="006A170C" w:rsidRDefault="006A170C" w:rsidP="006A170C">
      <w:pPr>
        <w:spacing w:after="80" w:line="320" w:lineRule="exact"/>
        <w:ind w:firstLine="420"/>
        <w:jc w:val="left"/>
        <w:rPr>
          <w:rFonts w:ascii="宋体" w:hAnsi="宋体" w:hint="eastAsia"/>
        </w:rPr>
      </w:pPr>
      <w:r>
        <w:rPr>
          <w:rFonts w:ascii="宋体" w:hAnsi="宋体" w:hint="eastAsia"/>
        </w:rPr>
        <w:t>1）体系化程度：跨平台复用和模块化能力；</w:t>
      </w:r>
    </w:p>
    <w:p w14:paraId="412B1343" w14:textId="2C8EC782" w:rsidR="006A170C" w:rsidRDefault="006A170C" w:rsidP="006A170C">
      <w:pPr>
        <w:spacing w:after="80" w:line="320" w:lineRule="exact"/>
        <w:ind w:firstLine="420"/>
        <w:jc w:val="left"/>
        <w:rPr>
          <w:rFonts w:ascii="宋体" w:hAnsi="宋体" w:hint="eastAsia"/>
        </w:rPr>
      </w:pPr>
      <w:r>
        <w:rPr>
          <w:rFonts w:ascii="宋体" w:hAnsi="宋体" w:hint="eastAsia"/>
        </w:rPr>
        <w:t>2）工程成熟度：批量一致性和可靠性验证深度；</w:t>
      </w:r>
    </w:p>
    <w:p w14:paraId="1FCAC55A" w14:textId="4101C990" w:rsidR="006A170C" w:rsidRDefault="006A170C" w:rsidP="006A170C">
      <w:pPr>
        <w:spacing w:after="80" w:line="320" w:lineRule="exact"/>
        <w:ind w:firstLine="420"/>
        <w:jc w:val="left"/>
        <w:rPr>
          <w:rFonts w:ascii="宋体" w:hAnsi="宋体" w:hint="eastAsia"/>
        </w:rPr>
      </w:pPr>
      <w:r>
        <w:rPr>
          <w:rFonts w:ascii="宋体" w:hAnsi="宋体" w:hint="eastAsia"/>
        </w:rPr>
        <w:t>3）信息化水平：可编程配置、参数管理和抗干扰；</w:t>
      </w:r>
    </w:p>
    <w:p w14:paraId="6675082C" w14:textId="32C7783F" w:rsidR="006A170C" w:rsidRDefault="006A170C" w:rsidP="006A170C">
      <w:pPr>
        <w:spacing w:after="80" w:line="320" w:lineRule="exact"/>
        <w:ind w:firstLine="420"/>
        <w:jc w:val="left"/>
        <w:rPr>
          <w:rFonts w:ascii="宋体" w:hAnsi="宋体" w:hint="eastAsia"/>
        </w:rPr>
      </w:pPr>
      <w:r>
        <w:rPr>
          <w:rFonts w:ascii="宋体" w:hAnsi="宋体" w:hint="eastAsia"/>
        </w:rPr>
        <w:t>4）保障能力：在役维护、升级和数据回流效率。</w:t>
      </w:r>
    </w:p>
    <w:p w14:paraId="68C3CA26" w14:textId="3A2F070C" w:rsidR="006A170C" w:rsidRDefault="006A170C" w:rsidP="006A170C">
      <w:pPr>
        <w:spacing w:before="120" w:after="80" w:line="320" w:lineRule="exact"/>
        <w:jc w:val="left"/>
        <w:rPr>
          <w:rFonts w:ascii="黑体" w:eastAsia="黑体" w:hAnsi="黑体" w:hint="eastAsia"/>
          <w:b/>
          <w:sz w:val="24"/>
        </w:rPr>
      </w:pPr>
      <w:r>
        <w:rPr>
          <w:rFonts w:ascii="黑体" w:eastAsia="黑体" w:hAnsi="黑体" w:hint="eastAsia"/>
          <w:b/>
          <w:sz w:val="24"/>
        </w:rPr>
        <w:t>4.2 国外先进体系的共性</w:t>
      </w:r>
    </w:p>
    <w:p w14:paraId="38792D5C" w14:textId="1BCDFC90" w:rsidR="006A170C" w:rsidRDefault="006A170C" w:rsidP="006A170C">
      <w:pPr>
        <w:spacing w:after="80" w:line="320" w:lineRule="exact"/>
        <w:ind w:firstLine="420"/>
        <w:jc w:val="left"/>
        <w:rPr>
          <w:rFonts w:ascii="宋体" w:hAnsi="宋体" w:hint="eastAsia"/>
        </w:rPr>
      </w:pPr>
      <w:r>
        <w:rPr>
          <w:rFonts w:ascii="宋体" w:hAnsi="宋体" w:hint="eastAsia"/>
        </w:rPr>
        <w:t>公开资料显示，国外先进体系的优势不仅是某项指标领先，更重要的是工程组织能力较完整，具体体现在：</w:t>
      </w:r>
    </w:p>
    <w:p w14:paraId="7BE3BC0A" w14:textId="6AB1C1B8" w:rsidR="006A170C" w:rsidRDefault="006A170C" w:rsidP="006A170C">
      <w:pPr>
        <w:spacing w:after="80" w:line="320" w:lineRule="exact"/>
        <w:ind w:firstLine="420"/>
        <w:jc w:val="left"/>
        <w:rPr>
          <w:rFonts w:ascii="宋体" w:hAnsi="宋体" w:hint="eastAsia"/>
        </w:rPr>
      </w:pPr>
      <w:r>
        <w:rPr>
          <w:rFonts w:ascii="宋体" w:hAnsi="宋体" w:hint="eastAsia"/>
        </w:rPr>
        <w:t>标准体系成熟，接口和试验规范统一度高。</w:t>
      </w:r>
    </w:p>
    <w:p w14:paraId="7A72BEA8" w14:textId="1F091B69" w:rsidR="006A170C" w:rsidRDefault="006A170C" w:rsidP="006A170C">
      <w:pPr>
        <w:spacing w:after="80" w:line="320" w:lineRule="exact"/>
        <w:ind w:firstLine="420"/>
        <w:jc w:val="left"/>
        <w:rPr>
          <w:rFonts w:ascii="宋体" w:hAnsi="宋体" w:hint="eastAsia"/>
        </w:rPr>
      </w:pPr>
      <w:r>
        <w:rPr>
          <w:rFonts w:ascii="宋体" w:hAnsi="宋体" w:hint="eastAsia"/>
        </w:rPr>
        <w:t>平台化程度高，跨型号复用效率较好。</w:t>
      </w:r>
    </w:p>
    <w:p w14:paraId="6930699F" w14:textId="0150E530" w:rsidR="006A170C" w:rsidRDefault="006A170C" w:rsidP="006A170C">
      <w:pPr>
        <w:spacing w:after="80" w:line="320" w:lineRule="exact"/>
        <w:ind w:firstLine="420"/>
        <w:jc w:val="left"/>
        <w:rPr>
          <w:rFonts w:ascii="宋体" w:hAnsi="宋体" w:hint="eastAsia"/>
        </w:rPr>
      </w:pPr>
      <w:r>
        <w:rPr>
          <w:rFonts w:ascii="宋体" w:hAnsi="宋体" w:hint="eastAsia"/>
        </w:rPr>
        <w:t>可靠性工程扎实，批产一致性控制更稳定。</w:t>
      </w:r>
    </w:p>
    <w:p w14:paraId="00E22EAD" w14:textId="00256666" w:rsidR="006A170C" w:rsidRDefault="006A170C" w:rsidP="006A170C">
      <w:pPr>
        <w:spacing w:after="80" w:line="320" w:lineRule="exact"/>
        <w:ind w:firstLine="420"/>
        <w:jc w:val="left"/>
        <w:rPr>
          <w:rFonts w:ascii="宋体" w:hAnsi="宋体" w:hint="eastAsia"/>
        </w:rPr>
      </w:pPr>
      <w:r>
        <w:rPr>
          <w:rFonts w:ascii="宋体" w:hAnsi="宋体" w:hint="eastAsia"/>
        </w:rPr>
        <w:t>在役数据回流机制较完善，问题修复与迭代节奏更快。</w:t>
      </w:r>
    </w:p>
    <w:p w14:paraId="70CD6016" w14:textId="11EC1EB6" w:rsidR="006A170C" w:rsidRDefault="006A170C" w:rsidP="006A170C">
      <w:pPr>
        <w:spacing w:before="120" w:after="80" w:line="320" w:lineRule="exact"/>
        <w:jc w:val="left"/>
        <w:rPr>
          <w:rFonts w:ascii="黑体" w:eastAsia="黑体" w:hAnsi="黑体" w:hint="eastAsia"/>
          <w:b/>
          <w:sz w:val="24"/>
        </w:rPr>
      </w:pPr>
      <w:r>
        <w:rPr>
          <w:rFonts w:ascii="黑体" w:eastAsia="黑体" w:hAnsi="黑体" w:hint="eastAsia"/>
          <w:b/>
          <w:sz w:val="24"/>
        </w:rPr>
        <w:t>4.3 我国差距与基础</w:t>
      </w:r>
    </w:p>
    <w:p w14:paraId="2EB295AF" w14:textId="14252DF9" w:rsidR="006A170C" w:rsidRDefault="006A170C" w:rsidP="006A170C">
      <w:pPr>
        <w:spacing w:after="80" w:line="320" w:lineRule="exact"/>
        <w:ind w:firstLine="420"/>
        <w:jc w:val="left"/>
        <w:rPr>
          <w:rFonts w:ascii="宋体" w:hAnsi="宋体" w:hint="eastAsia"/>
        </w:rPr>
      </w:pPr>
      <w:r>
        <w:rPr>
          <w:rFonts w:ascii="宋体" w:hAnsi="宋体" w:hint="eastAsia"/>
        </w:rPr>
        <w:t>我国在电子化、可编程化和任务适配方向已有明显进展，局部方向具备并跑基础。但仍存在阶段差距：</w:t>
      </w:r>
    </w:p>
    <w:p w14:paraId="402B6381" w14:textId="5B95204E" w:rsidR="006A170C" w:rsidRDefault="006A170C" w:rsidP="006A170C">
      <w:pPr>
        <w:spacing w:after="80" w:line="320" w:lineRule="exact"/>
        <w:ind w:firstLine="420"/>
        <w:jc w:val="left"/>
        <w:rPr>
          <w:rFonts w:ascii="宋体" w:hAnsi="宋体" w:hint="eastAsia"/>
        </w:rPr>
      </w:pPr>
      <w:r>
        <w:rPr>
          <w:rFonts w:ascii="宋体" w:hAnsi="宋体" w:hint="eastAsia"/>
        </w:rPr>
        <w:t>通用平台覆盖率仍偏低。</w:t>
      </w:r>
    </w:p>
    <w:p w14:paraId="7C434312" w14:textId="3B710985" w:rsidR="006A170C" w:rsidRDefault="006A170C" w:rsidP="006A170C">
      <w:pPr>
        <w:spacing w:after="80" w:line="320" w:lineRule="exact"/>
        <w:ind w:firstLine="420"/>
        <w:jc w:val="left"/>
        <w:rPr>
          <w:rFonts w:ascii="宋体" w:hAnsi="宋体" w:hint="eastAsia"/>
        </w:rPr>
      </w:pPr>
      <w:r>
        <w:rPr>
          <w:rFonts w:ascii="宋体" w:hAnsi="宋体" w:hint="eastAsia"/>
        </w:rPr>
        <w:t>批量一致性与长期稳定性仍需提升。</w:t>
      </w:r>
    </w:p>
    <w:p w14:paraId="292A938D" w14:textId="616B522D" w:rsidR="006A170C" w:rsidRDefault="006A170C" w:rsidP="006A170C">
      <w:pPr>
        <w:spacing w:after="80" w:line="320" w:lineRule="exact"/>
        <w:ind w:firstLine="420"/>
        <w:jc w:val="left"/>
        <w:rPr>
          <w:rFonts w:ascii="宋体" w:hAnsi="宋体" w:hint="eastAsia"/>
        </w:rPr>
      </w:pPr>
      <w:r>
        <w:rPr>
          <w:rFonts w:ascii="宋体" w:hAnsi="宋体" w:hint="eastAsia"/>
        </w:rPr>
        <w:t>在役问题到设计改进的闭环效率仍需增强。</w:t>
      </w:r>
    </w:p>
    <w:p w14:paraId="422AAA9E" w14:textId="79E03AFF" w:rsidR="006A170C" w:rsidRDefault="006A170C" w:rsidP="006A170C">
      <w:pPr>
        <w:spacing w:after="80" w:line="320" w:lineRule="exact"/>
        <w:ind w:firstLine="420"/>
        <w:jc w:val="left"/>
        <w:rPr>
          <w:rFonts w:ascii="宋体" w:hAnsi="宋体" w:hint="eastAsia"/>
        </w:rPr>
      </w:pPr>
      <w:r>
        <w:rPr>
          <w:rFonts w:ascii="宋体" w:hAnsi="宋体" w:hint="eastAsia"/>
        </w:rPr>
        <w:t>同时，我国具有需求牵引强、应用场景多、工程迭代快的优势，这些条件对后续追赶非常关键。</w:t>
      </w:r>
    </w:p>
    <w:p w14:paraId="1A407F8C" w14:textId="3769CB44" w:rsidR="006A170C" w:rsidRDefault="006A170C" w:rsidP="006A170C">
      <w:pPr>
        <w:spacing w:before="240" w:after="120" w:line="320" w:lineRule="exact"/>
        <w:jc w:val="center"/>
        <w:rPr>
          <w:rFonts w:ascii="黑体" w:eastAsia="黑体" w:hAnsi="黑体" w:hint="eastAsia"/>
          <w:b/>
          <w:sz w:val="28"/>
        </w:rPr>
      </w:pPr>
      <w:r>
        <w:rPr>
          <w:rFonts w:ascii="黑体" w:eastAsia="黑体" w:hAnsi="黑体" w:hint="eastAsia"/>
          <w:b/>
          <w:sz w:val="28"/>
        </w:rPr>
        <w:t>5. 我国所处地位判断</w:t>
      </w:r>
    </w:p>
    <w:p w14:paraId="7058E640" w14:textId="1D8621DC" w:rsidR="006A170C" w:rsidRDefault="006A170C" w:rsidP="006A170C">
      <w:pPr>
        <w:spacing w:after="80" w:line="320" w:lineRule="exact"/>
        <w:ind w:firstLine="420"/>
        <w:jc w:val="left"/>
        <w:rPr>
          <w:rFonts w:ascii="宋体" w:hAnsi="宋体" w:hint="eastAsia"/>
        </w:rPr>
      </w:pPr>
      <w:r>
        <w:rPr>
          <w:rFonts w:ascii="宋体" w:hAnsi="宋体" w:hint="eastAsia"/>
        </w:rPr>
        <w:t>综合判断，我国引信总体处于由追赶向并跑过渡阶段。若以单项技术看，部分方向差距已明显缩小；若以体系能力看，标准化深度、可靠性工程和闭环保障能力仍是决定性短板。</w:t>
      </w:r>
    </w:p>
    <w:p w14:paraId="16299E13" w14:textId="55A1F706" w:rsidR="006A170C" w:rsidRDefault="006A170C" w:rsidP="006A170C">
      <w:pPr>
        <w:spacing w:after="80" w:line="320" w:lineRule="exact"/>
        <w:ind w:firstLine="420"/>
        <w:jc w:val="left"/>
        <w:rPr>
          <w:rFonts w:ascii="宋体" w:hAnsi="宋体" w:hint="eastAsia"/>
        </w:rPr>
      </w:pPr>
      <w:r>
        <w:rPr>
          <w:rFonts w:ascii="宋体" w:hAnsi="宋体" w:hint="eastAsia"/>
        </w:rPr>
        <w:t>我国在关键链条上仍有阶段差距，且差距更多体现在工程化和体系化层面，而非单点技术绝对空白。</w:t>
      </w:r>
    </w:p>
    <w:p w14:paraId="125A1D42" w14:textId="26212C11" w:rsidR="006A170C" w:rsidRDefault="006A170C" w:rsidP="006A170C">
      <w:pPr>
        <w:spacing w:before="240" w:after="120" w:line="320" w:lineRule="exact"/>
        <w:jc w:val="center"/>
        <w:rPr>
          <w:rFonts w:ascii="黑体" w:eastAsia="黑体" w:hAnsi="黑体" w:hint="eastAsia"/>
          <w:b/>
          <w:sz w:val="28"/>
        </w:rPr>
      </w:pPr>
      <w:r>
        <w:rPr>
          <w:rFonts w:ascii="黑体" w:eastAsia="黑体" w:hAnsi="黑体" w:hint="eastAsia"/>
          <w:b/>
          <w:sz w:val="28"/>
        </w:rPr>
        <w:t>6. 发展建议</w:t>
      </w:r>
    </w:p>
    <w:p w14:paraId="79FAC900" w14:textId="24FE0D4C" w:rsidR="006A170C" w:rsidRDefault="006A170C" w:rsidP="006A170C">
      <w:pPr>
        <w:spacing w:before="120" w:after="80" w:line="320" w:lineRule="exact"/>
        <w:jc w:val="left"/>
        <w:rPr>
          <w:rFonts w:ascii="黑体" w:eastAsia="黑体" w:hAnsi="黑体" w:hint="eastAsia"/>
          <w:b/>
          <w:sz w:val="24"/>
        </w:rPr>
      </w:pPr>
      <w:r>
        <w:rPr>
          <w:rFonts w:ascii="黑体" w:eastAsia="黑体" w:hAnsi="黑体" w:hint="eastAsia"/>
          <w:b/>
          <w:sz w:val="24"/>
        </w:rPr>
        <w:t>6.1 以统型化平台压缩体系复杂度</w:t>
      </w:r>
    </w:p>
    <w:p w14:paraId="56A192C3" w14:textId="0F883569" w:rsidR="006A170C" w:rsidRDefault="006A170C" w:rsidP="006A170C">
      <w:pPr>
        <w:spacing w:after="80" w:line="320" w:lineRule="exact"/>
        <w:ind w:firstLine="420"/>
        <w:jc w:val="left"/>
        <w:rPr>
          <w:rFonts w:ascii="宋体" w:hAnsi="宋体" w:hint="eastAsia"/>
        </w:rPr>
      </w:pPr>
      <w:r>
        <w:rPr>
          <w:rFonts w:ascii="宋体" w:hAnsi="宋体" w:hint="eastAsia"/>
        </w:rPr>
        <w:t>以少量通用平台覆盖更多弹种场景，推动型号统型和火工品统型，降低重复开发和保障成本。</w:t>
      </w:r>
    </w:p>
    <w:p w14:paraId="77760768" w14:textId="06071DFE" w:rsidR="006A170C" w:rsidRDefault="006A170C" w:rsidP="006A170C">
      <w:pPr>
        <w:spacing w:before="120" w:after="80" w:line="320" w:lineRule="exact"/>
        <w:jc w:val="left"/>
        <w:rPr>
          <w:rFonts w:ascii="黑体" w:eastAsia="黑体" w:hAnsi="黑体" w:hint="eastAsia"/>
          <w:b/>
          <w:sz w:val="24"/>
        </w:rPr>
      </w:pPr>
      <w:r>
        <w:rPr>
          <w:rFonts w:ascii="黑体" w:eastAsia="黑体" w:hAnsi="黑体" w:hint="eastAsia"/>
          <w:b/>
          <w:sz w:val="24"/>
        </w:rPr>
        <w:t>6.2 以增程技术链协同为抓手</w:t>
      </w:r>
    </w:p>
    <w:p w14:paraId="21CDD2FB" w14:textId="7023A24D" w:rsidR="006A170C" w:rsidRDefault="006A170C" w:rsidP="006A170C">
      <w:pPr>
        <w:spacing w:after="80" w:line="320" w:lineRule="exact"/>
        <w:ind w:firstLine="420"/>
        <w:jc w:val="left"/>
        <w:rPr>
          <w:rFonts w:ascii="宋体" w:hAnsi="宋体" w:hint="eastAsia"/>
        </w:rPr>
      </w:pPr>
      <w:r>
        <w:rPr>
          <w:rFonts w:ascii="宋体" w:hAnsi="宋体" w:hint="eastAsia"/>
        </w:rPr>
        <w:t>围绕底排点火一致性、药柱燃烧规律、复合增程协同控制开展联合攻关，避免单点突破后整体收益有限。</w:t>
      </w:r>
    </w:p>
    <w:p w14:paraId="4C1CF16A" w14:textId="0D663D96" w:rsidR="006A170C" w:rsidRDefault="006A170C" w:rsidP="006A170C">
      <w:pPr>
        <w:spacing w:before="120" w:after="80" w:line="320" w:lineRule="exact"/>
        <w:jc w:val="left"/>
        <w:rPr>
          <w:rFonts w:ascii="黑体" w:eastAsia="黑体" w:hAnsi="黑体" w:hint="eastAsia"/>
          <w:b/>
          <w:sz w:val="24"/>
        </w:rPr>
      </w:pPr>
      <w:r>
        <w:rPr>
          <w:rFonts w:ascii="黑体" w:eastAsia="黑体" w:hAnsi="黑体" w:hint="eastAsia"/>
          <w:b/>
          <w:sz w:val="24"/>
        </w:rPr>
        <w:t>6.3 提升激光与复合制导的环境稳健性</w:t>
      </w:r>
    </w:p>
    <w:p w14:paraId="3482E7EB" w14:textId="1D080282" w:rsidR="006A170C" w:rsidRDefault="006A170C" w:rsidP="006A170C">
      <w:pPr>
        <w:spacing w:after="80" w:line="320" w:lineRule="exact"/>
        <w:ind w:firstLine="420"/>
        <w:jc w:val="left"/>
        <w:rPr>
          <w:rFonts w:ascii="宋体" w:hAnsi="宋体" w:hint="eastAsia"/>
        </w:rPr>
      </w:pPr>
      <w:r>
        <w:rPr>
          <w:rFonts w:ascii="宋体" w:hAnsi="宋体" w:hint="eastAsia"/>
        </w:rPr>
        <w:t>针对高原和强干扰场景，重点提升射击诸元解算速度、控制稳健性和抗干扰能力，降低命中率波动。</w:t>
      </w:r>
    </w:p>
    <w:p w14:paraId="6FB23016" w14:textId="21EBA9B0" w:rsidR="006A170C" w:rsidRDefault="006A170C" w:rsidP="006A170C">
      <w:pPr>
        <w:spacing w:before="120" w:after="80" w:line="320" w:lineRule="exact"/>
        <w:jc w:val="left"/>
        <w:rPr>
          <w:rFonts w:ascii="黑体" w:eastAsia="黑体" w:hAnsi="黑体" w:hint="eastAsia"/>
          <w:b/>
          <w:sz w:val="24"/>
        </w:rPr>
      </w:pPr>
      <w:r>
        <w:rPr>
          <w:rFonts w:ascii="黑体" w:eastAsia="黑体" w:hAnsi="黑体" w:hint="eastAsia"/>
          <w:b/>
          <w:sz w:val="24"/>
        </w:rPr>
        <w:t>6.4 建立 155 弹道修正引信系统级验证体系</w:t>
      </w:r>
    </w:p>
    <w:p w14:paraId="7F3A0F22" w14:textId="7163967E" w:rsidR="006A170C" w:rsidRDefault="006A170C" w:rsidP="006A170C">
      <w:pPr>
        <w:spacing w:after="80" w:line="320" w:lineRule="exact"/>
        <w:ind w:firstLine="420"/>
        <w:jc w:val="left"/>
        <w:rPr>
          <w:rFonts w:ascii="宋体" w:hAnsi="宋体" w:hint="eastAsia"/>
        </w:rPr>
      </w:pPr>
      <w:r>
        <w:rPr>
          <w:rFonts w:ascii="宋体" w:hAnsi="宋体" w:hint="eastAsia"/>
        </w:rPr>
        <w:t>将高过载、高旋转工况验证前移，把器件、结构、算法和封装放在同一验证框架内，提升批量应用可靠性。</w:t>
      </w:r>
    </w:p>
    <w:p w14:paraId="2422395A" w14:textId="4FFEECBD" w:rsidR="006A170C" w:rsidRDefault="006A170C" w:rsidP="006A170C">
      <w:pPr>
        <w:spacing w:before="120" w:after="80" w:line="320" w:lineRule="exact"/>
        <w:jc w:val="left"/>
        <w:rPr>
          <w:rFonts w:ascii="黑体" w:eastAsia="黑体" w:hAnsi="黑体" w:hint="eastAsia"/>
          <w:b/>
          <w:sz w:val="24"/>
        </w:rPr>
      </w:pPr>
      <w:r>
        <w:rPr>
          <w:rFonts w:ascii="黑体" w:eastAsia="黑体" w:hAnsi="黑体" w:hint="eastAsia"/>
          <w:b/>
          <w:sz w:val="24"/>
        </w:rPr>
        <w:t>6.5 强化可编程装填标准和在役数据闭环</w:t>
      </w:r>
    </w:p>
    <w:p w14:paraId="2DC3BF61" w14:textId="4991B9F1" w:rsidR="006A170C" w:rsidRDefault="006A170C" w:rsidP="006A170C">
      <w:pPr>
        <w:spacing w:after="80" w:line="320" w:lineRule="exact"/>
        <w:ind w:firstLine="420"/>
        <w:jc w:val="left"/>
        <w:rPr>
          <w:rFonts w:ascii="宋体" w:hAnsi="宋体" w:hint="eastAsia"/>
        </w:rPr>
      </w:pPr>
      <w:r>
        <w:rPr>
          <w:rFonts w:ascii="宋体" w:hAnsi="宋体" w:hint="eastAsia"/>
        </w:rPr>
        <w:t>统一参数定义、版本追溯、权限控制和故障回流机制，实现可配置、可追踪、可维护的工程闭环。</w:t>
      </w:r>
    </w:p>
    <w:p w14:paraId="20554C97" w14:textId="0367F5BB" w:rsidR="006A170C" w:rsidRDefault="006A170C" w:rsidP="006A170C">
      <w:pPr>
        <w:spacing w:before="120" w:after="80" w:line="320" w:lineRule="exact"/>
        <w:jc w:val="left"/>
        <w:rPr>
          <w:rFonts w:ascii="黑体" w:eastAsia="黑体" w:hAnsi="黑体" w:hint="eastAsia"/>
          <w:b/>
          <w:sz w:val="24"/>
        </w:rPr>
      </w:pPr>
      <w:r>
        <w:rPr>
          <w:rFonts w:ascii="黑体" w:eastAsia="黑体" w:hAnsi="黑体" w:hint="eastAsia"/>
          <w:b/>
          <w:sz w:val="24"/>
        </w:rPr>
        <w:t>6.6 兼顾安全指标与新型能源方向</w:t>
      </w:r>
    </w:p>
    <w:p w14:paraId="3B17C8BE" w14:textId="1A7CE3DD" w:rsidR="006A170C" w:rsidRDefault="006A170C" w:rsidP="006A170C">
      <w:pPr>
        <w:spacing w:after="80" w:line="320" w:lineRule="exact"/>
        <w:ind w:firstLine="420"/>
        <w:jc w:val="left"/>
        <w:rPr>
          <w:rFonts w:ascii="宋体" w:hAnsi="宋体" w:hint="eastAsia"/>
        </w:rPr>
      </w:pPr>
      <w:r>
        <w:rPr>
          <w:rFonts w:ascii="宋体" w:hAnsi="宋体" w:hint="eastAsia"/>
        </w:rPr>
        <w:t>在推进新能源电池与分布式嵌入引信方向时，应同步强化安全保险机构设计与失效控制，确保性能升级不以安全边界为代价。</w:t>
      </w:r>
    </w:p>
    <w:p w14:paraId="249CB0F6" w14:textId="2A3D9BAB" w:rsidR="006A170C" w:rsidRDefault="006A170C" w:rsidP="006A170C">
      <w:pPr>
        <w:spacing w:before="240" w:after="120" w:line="320" w:lineRule="exact"/>
        <w:jc w:val="center"/>
        <w:rPr>
          <w:rFonts w:ascii="黑体" w:eastAsia="黑体" w:hAnsi="黑体" w:hint="eastAsia"/>
          <w:b/>
          <w:sz w:val="28"/>
        </w:rPr>
      </w:pPr>
      <w:r>
        <w:rPr>
          <w:rFonts w:ascii="黑体" w:eastAsia="黑体" w:hAnsi="黑体" w:hint="eastAsia"/>
          <w:b/>
          <w:sz w:val="28"/>
        </w:rPr>
        <w:t>7. 结论</w:t>
      </w:r>
    </w:p>
    <w:p w14:paraId="77DE4352" w14:textId="24C9A869" w:rsidR="006A170C" w:rsidRDefault="006A170C" w:rsidP="006A170C">
      <w:pPr>
        <w:spacing w:after="80" w:line="320" w:lineRule="exact"/>
        <w:ind w:firstLine="420"/>
        <w:jc w:val="left"/>
        <w:rPr>
          <w:rFonts w:ascii="宋体" w:hAnsi="宋体" w:hint="eastAsia"/>
        </w:rPr>
      </w:pPr>
      <w:r>
        <w:rPr>
          <w:rFonts w:ascii="宋体" w:hAnsi="宋体" w:hint="eastAsia"/>
        </w:rPr>
        <w:t>本文结合具体示例对我国引信关键技术短板进行了补充分析。结论是：我国已具备继续追赶并在局部并跑的基础，但要形成稳定、可持续的竞争力，必须把工作重点放在统型化、增程链条协同、抗干扰制导、弹道修正高可靠验证和全寿命周期闭环上。未来阶段应坚持平台化与标准化并行，通过数据驱动持续迭代，逐步形成高质量引信技术体系。</w:t>
      </w:r>
    </w:p>
    <w:p w14:paraId="4CC22D38" w14:textId="504DA86A" w:rsidR="006A170C" w:rsidRDefault="006A170C" w:rsidP="006A170C">
      <w:pPr>
        <w:spacing w:before="240" w:after="120" w:line="320" w:lineRule="exact"/>
        <w:jc w:val="left"/>
        <w:rPr>
          <w:rFonts w:ascii="黑体" w:eastAsia="黑体" w:hAnsi="黑体" w:hint="eastAsia"/>
          <w:b/>
          <w:sz w:val="24"/>
        </w:rPr>
      </w:pPr>
      <w:r>
        <w:rPr>
          <w:rFonts w:ascii="黑体" w:eastAsia="黑体" w:hAnsi="黑体" w:hint="eastAsia"/>
          <w:b/>
          <w:sz w:val="24"/>
        </w:rPr>
        <w:t>参考文献</w:t>
      </w:r>
    </w:p>
    <w:p w14:paraId="75B216A0" w14:textId="4C1AF627" w:rsidR="006A170C" w:rsidRDefault="006A170C" w:rsidP="006A170C">
      <w:pPr>
        <w:spacing w:after="40" w:line="320" w:lineRule="exact"/>
        <w:jc w:val="left"/>
        <w:rPr>
          <w:rFonts w:ascii="宋体" w:hAnsi="宋体" w:hint="eastAsia"/>
          <w:sz w:val="18"/>
        </w:rPr>
      </w:pPr>
      <w:r>
        <w:rPr>
          <w:rFonts w:ascii="宋体" w:hAnsi="宋体" w:hint="eastAsia"/>
          <w:sz w:val="18"/>
        </w:rPr>
        <w:t>[1] 国防科技工业相关公开年报与白皮书（公开版）.</w:t>
      </w:r>
    </w:p>
    <w:p w14:paraId="6D0F4BBD" w14:textId="7ED97323" w:rsidR="006A170C" w:rsidRDefault="006A170C" w:rsidP="006A170C">
      <w:pPr>
        <w:spacing w:after="40" w:line="320" w:lineRule="exact"/>
        <w:jc w:val="left"/>
        <w:rPr>
          <w:rFonts w:ascii="宋体" w:hAnsi="宋体" w:hint="eastAsia"/>
          <w:sz w:val="18"/>
        </w:rPr>
      </w:pPr>
      <w:r>
        <w:rPr>
          <w:rFonts w:ascii="宋体" w:hAnsi="宋体" w:hint="eastAsia"/>
          <w:sz w:val="18"/>
        </w:rPr>
        <w:t>[2] 国内弹药与引信工程公开综述文献（待补具体条目）.</w:t>
      </w:r>
    </w:p>
    <w:p w14:paraId="1778852B" w14:textId="0599939F" w:rsidR="006A170C" w:rsidRDefault="006A170C" w:rsidP="006A170C">
      <w:pPr>
        <w:spacing w:after="40" w:line="320" w:lineRule="exact"/>
        <w:jc w:val="left"/>
        <w:rPr>
          <w:rFonts w:ascii="宋体" w:hAnsi="宋体" w:hint="eastAsia"/>
          <w:sz w:val="18"/>
        </w:rPr>
      </w:pPr>
      <w:r>
        <w:rPr>
          <w:rFonts w:ascii="宋体" w:hAnsi="宋体" w:hint="eastAsia"/>
          <w:sz w:val="18"/>
        </w:rPr>
        <w:t>[3] 国外公开防务技术报告与行业综述（待补具体条目）.</w:t>
      </w:r>
    </w:p>
    <w:p w14:paraId="5988B46C" w14:textId="6C7E820D" w:rsidR="006A170C" w:rsidRDefault="006A170C" w:rsidP="006A170C">
      <w:pPr>
        <w:spacing w:after="40" w:line="320" w:lineRule="exact"/>
        <w:jc w:val="left"/>
        <w:rPr>
          <w:rFonts w:ascii="宋体" w:hAnsi="宋体" w:hint="eastAsia"/>
          <w:sz w:val="18"/>
        </w:rPr>
      </w:pPr>
      <w:r>
        <w:rPr>
          <w:rFonts w:ascii="宋体" w:hAnsi="宋体" w:hint="eastAsia"/>
          <w:sz w:val="18"/>
        </w:rPr>
        <w:t>[4] 引信可靠性工程与环境试验相关公开论文（待补具体条目）.</w:t>
      </w:r>
    </w:p>
    <w:p w14:paraId="38D00954" w14:textId="2002AD7D" w:rsidR="006A170C" w:rsidRDefault="006A170C" w:rsidP="006A170C">
      <w:pPr>
        <w:spacing w:after="40" w:line="320" w:lineRule="exact"/>
        <w:jc w:val="left"/>
        <w:rPr>
          <w:rFonts w:ascii="宋体" w:hAnsi="宋体" w:hint="eastAsia"/>
          <w:sz w:val="18"/>
        </w:rPr>
      </w:pPr>
      <w:r>
        <w:rPr>
          <w:rFonts w:ascii="宋体" w:hAnsi="宋体" w:hint="eastAsia"/>
          <w:sz w:val="18"/>
        </w:rPr>
        <w:t>[5] 增程与弹道修正方向公开技术资料（待补具体条目）.</w:t>
      </w:r>
    </w:p>
    <w:p w14:paraId="52DCB1CD" w14:textId="77777777" w:rsidR="006A170C" w:rsidRPr="006A170C" w:rsidRDefault="006A170C" w:rsidP="006A170C">
      <w:pPr>
        <w:spacing w:after="40" w:line="320" w:lineRule="exact"/>
        <w:jc w:val="left"/>
        <w:rPr>
          <w:rFonts w:ascii="宋体" w:hAnsi="宋体" w:hint="eastAsia"/>
          <w:sz w:val="18"/>
        </w:rPr>
      </w:pPr>
    </w:p>
    <w:sectPr w:rsidR="006A170C" w:rsidRPr="006A170C">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5FA8B4" w14:textId="77777777" w:rsidR="006826ED" w:rsidRDefault="006826ED">
      <w:r>
        <w:separator/>
      </w:r>
    </w:p>
  </w:endnote>
  <w:endnote w:type="continuationSeparator" w:id="0">
    <w:p w14:paraId="5F43D2AD" w14:textId="77777777" w:rsidR="006826ED" w:rsidRDefault="006826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A9DA9" w14:textId="77777777" w:rsidR="006A170C" w:rsidRDefault="006A170C">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77295" w14:textId="76591357" w:rsidR="006A170C" w:rsidRPr="006A170C" w:rsidRDefault="006A170C" w:rsidP="006A170C">
    <w:pPr>
      <w:pStyle w:val="a7"/>
      <w:jc w:val="center"/>
    </w:pPr>
    <w:r>
      <w:rPr>
        <w:rFonts w:hint="eastAsia"/>
      </w:rPr>
      <w:t>第</w:t>
    </w:r>
    <w:r>
      <w:rPr>
        <w:rFonts w:hint="eastAsia"/>
      </w:rPr>
      <w:t xml:space="preserve"> </w:t>
    </w:r>
    <w:r>
      <w:fldChar w:fldCharType="begin"/>
    </w:r>
    <w:r>
      <w:instrText xml:space="preserve">  \* MERGEFORMAT </w:instrText>
    </w:r>
    <w:r>
      <w:fldChar w:fldCharType="end"/>
    </w:r>
    <w:r>
      <w:rPr>
        <w:rFonts w:hint="eastAsia"/>
      </w:rPr>
      <w:t xml:space="preserve"> </w:t>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E50C30" w14:textId="77777777" w:rsidR="006A170C" w:rsidRDefault="006A170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1A1F04" w14:textId="77777777" w:rsidR="006826ED" w:rsidRDefault="006826ED">
      <w:r>
        <w:separator/>
      </w:r>
    </w:p>
  </w:footnote>
  <w:footnote w:type="continuationSeparator" w:id="0">
    <w:p w14:paraId="15FC7DBC" w14:textId="77777777" w:rsidR="006826ED" w:rsidRDefault="006826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9A540" w14:textId="77777777" w:rsidR="006A170C" w:rsidRDefault="006A170C">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4E072" w14:textId="77777777" w:rsidR="00042B14" w:rsidRDefault="00042B14" w:rsidP="00042B14">
    <w:pPr>
      <w:pStyle w:val="a6"/>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E40BA" w14:textId="77777777" w:rsidR="006A170C" w:rsidRDefault="006A170C">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512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2363E"/>
    <w:rsid w:val="0000446A"/>
    <w:rsid w:val="0001165D"/>
    <w:rsid w:val="00042B14"/>
    <w:rsid w:val="00060B1A"/>
    <w:rsid w:val="001623EF"/>
    <w:rsid w:val="00176ED8"/>
    <w:rsid w:val="001B76F4"/>
    <w:rsid w:val="002B498D"/>
    <w:rsid w:val="002E52BC"/>
    <w:rsid w:val="002E64EE"/>
    <w:rsid w:val="002F54F7"/>
    <w:rsid w:val="003307EF"/>
    <w:rsid w:val="00371E81"/>
    <w:rsid w:val="00387654"/>
    <w:rsid w:val="003B4D23"/>
    <w:rsid w:val="003D105B"/>
    <w:rsid w:val="003E7199"/>
    <w:rsid w:val="00424331"/>
    <w:rsid w:val="00430089"/>
    <w:rsid w:val="00442D1C"/>
    <w:rsid w:val="004976B2"/>
    <w:rsid w:val="004F6CE2"/>
    <w:rsid w:val="00522945"/>
    <w:rsid w:val="005462A8"/>
    <w:rsid w:val="005761EB"/>
    <w:rsid w:val="00583730"/>
    <w:rsid w:val="00585B30"/>
    <w:rsid w:val="005B331E"/>
    <w:rsid w:val="005E7068"/>
    <w:rsid w:val="00622AF8"/>
    <w:rsid w:val="0062363E"/>
    <w:rsid w:val="00644E4B"/>
    <w:rsid w:val="006826ED"/>
    <w:rsid w:val="006A170C"/>
    <w:rsid w:val="006F547F"/>
    <w:rsid w:val="00734766"/>
    <w:rsid w:val="007C6B81"/>
    <w:rsid w:val="0081412A"/>
    <w:rsid w:val="0082006A"/>
    <w:rsid w:val="00822F08"/>
    <w:rsid w:val="00835141"/>
    <w:rsid w:val="00882E46"/>
    <w:rsid w:val="008B4801"/>
    <w:rsid w:val="00A57976"/>
    <w:rsid w:val="00AC603A"/>
    <w:rsid w:val="00AD352E"/>
    <w:rsid w:val="00B00D3E"/>
    <w:rsid w:val="00B340E0"/>
    <w:rsid w:val="00B63A48"/>
    <w:rsid w:val="00B94544"/>
    <w:rsid w:val="00B94AFA"/>
    <w:rsid w:val="00BB0AA5"/>
    <w:rsid w:val="00C13AD1"/>
    <w:rsid w:val="00C75032"/>
    <w:rsid w:val="00C8460D"/>
    <w:rsid w:val="00CB11C2"/>
    <w:rsid w:val="00CB5B1B"/>
    <w:rsid w:val="00CF240E"/>
    <w:rsid w:val="00D56738"/>
    <w:rsid w:val="00D9206B"/>
    <w:rsid w:val="00DA67F4"/>
    <w:rsid w:val="00DC46D8"/>
    <w:rsid w:val="00E032A0"/>
    <w:rsid w:val="00E906BB"/>
    <w:rsid w:val="00EB6861"/>
    <w:rsid w:val="00F728E3"/>
    <w:rsid w:val="00FA7897"/>
    <w:rsid w:val="00FE26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14:docId w14:val="5BD2F026"/>
  <w15:chartTrackingRefBased/>
  <w15:docId w15:val="{F4952282-2DEC-4B7F-9F41-E6D8290D3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2363E"/>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rsid w:val="0062363E"/>
    <w:pPr>
      <w:snapToGrid w:val="0"/>
      <w:jc w:val="left"/>
    </w:pPr>
    <w:rPr>
      <w:sz w:val="18"/>
      <w:szCs w:val="18"/>
    </w:rPr>
  </w:style>
  <w:style w:type="character" w:styleId="a4">
    <w:name w:val="footnote reference"/>
    <w:rsid w:val="0062363E"/>
    <w:rPr>
      <w:vertAlign w:val="superscript"/>
    </w:rPr>
  </w:style>
  <w:style w:type="paragraph" w:customStyle="1" w:styleId="a5">
    <w:name w:val="正文格式"/>
    <w:basedOn w:val="a"/>
    <w:rsid w:val="00E032A0"/>
    <w:pPr>
      <w:spacing w:line="360" w:lineRule="auto"/>
      <w:ind w:firstLineChars="200" w:firstLine="480"/>
    </w:pPr>
    <w:rPr>
      <w:rFonts w:eastAsia="仿宋_GB2312"/>
      <w:sz w:val="24"/>
    </w:rPr>
  </w:style>
  <w:style w:type="paragraph" w:styleId="a6">
    <w:name w:val="header"/>
    <w:basedOn w:val="a"/>
    <w:rsid w:val="00042B14"/>
    <w:pPr>
      <w:pBdr>
        <w:bottom w:val="single" w:sz="6" w:space="1" w:color="auto"/>
      </w:pBdr>
      <w:tabs>
        <w:tab w:val="center" w:pos="4153"/>
        <w:tab w:val="right" w:pos="8306"/>
      </w:tabs>
      <w:snapToGrid w:val="0"/>
      <w:jc w:val="center"/>
    </w:pPr>
    <w:rPr>
      <w:sz w:val="18"/>
      <w:szCs w:val="18"/>
    </w:rPr>
  </w:style>
  <w:style w:type="paragraph" w:styleId="a7">
    <w:name w:val="footer"/>
    <w:basedOn w:val="a"/>
    <w:rsid w:val="00042B14"/>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19868">
      <w:bodyDiv w:val="1"/>
      <w:marLeft w:val="0"/>
      <w:marRight w:val="0"/>
      <w:marTop w:val="0"/>
      <w:marBottom w:val="0"/>
      <w:divBdr>
        <w:top w:val="none" w:sz="0" w:space="0" w:color="auto"/>
        <w:left w:val="none" w:sz="0" w:space="0" w:color="auto"/>
        <w:bottom w:val="none" w:sz="0" w:space="0" w:color="auto"/>
        <w:right w:val="none" w:sz="0" w:space="0" w:color="auto"/>
      </w:divBdr>
    </w:div>
    <w:div w:id="2103257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533</Words>
  <Characters>3041</Characters>
  <Application>Microsoft Office Word</Application>
  <DocSecurity>0</DocSecurity>
  <Lines>25</Lines>
  <Paragraphs>7</Paragraphs>
  <ScaleCrop>false</ScaleCrop>
  <Company>Microsoft</Company>
  <LinksUpToDate>false</LinksUpToDate>
  <CharactersWithSpaces>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学术论文格式要求</dc:title>
  <dc:subject/>
  <dc:creator>Microsoft</dc:creator>
  <cp:keywords/>
  <dc:description/>
  <cp:lastModifiedBy>秉旭 强</cp:lastModifiedBy>
  <cp:revision>2</cp:revision>
  <dcterms:created xsi:type="dcterms:W3CDTF">2026-04-07T07:34:00Z</dcterms:created>
  <dcterms:modified xsi:type="dcterms:W3CDTF">2026-04-07T07:34:00Z</dcterms:modified>
</cp:coreProperties>
</file>