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5B868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240" w:afterAutospacing="0" w:line="480" w:lineRule="auto"/>
        <w:ind w:left="0" w:right="0"/>
        <w:jc w:val="center"/>
        <w:rPr>
          <w:rFonts w:hint="eastAsia" w:ascii="黑体" w:hAnsi="宋体" w:eastAsia="黑体" w:cs="Times New Roman"/>
          <w:b/>
          <w:bCs w:val="0"/>
          <w:kern w:val="2"/>
          <w:sz w:val="44"/>
          <w:szCs w:val="44"/>
        </w:rPr>
      </w:pPr>
      <w:r>
        <w:rPr>
          <w:rFonts w:hint="eastAsia" w:ascii="黑体" w:hAnsi="宋体" w:eastAsia="黑体" w:cs="黑体"/>
          <w:b/>
          <w:bCs w:val="0"/>
          <w:kern w:val="2"/>
          <w:sz w:val="44"/>
          <w:szCs w:val="44"/>
          <w:lang w:val="en-US" w:eastAsia="zh-CN" w:bidi="ar"/>
          <w14:ligatures w14:val="standardContextual"/>
        </w:rPr>
        <w:t>我国引信关键技术短板及国际比较研究</w:t>
      </w:r>
    </w:p>
    <w:p w14:paraId="711DAB8C">
      <w:pPr>
        <w:keepNext w:val="0"/>
        <w:keepLines w:val="0"/>
        <w:widowControl w:val="0"/>
        <w:suppressLineNumbers w:val="0"/>
        <w:spacing w:before="360" w:beforeAutospacing="0" w:after="240" w:afterAutospacing="0"/>
        <w:ind w:left="0" w:right="0"/>
        <w:jc w:val="center"/>
        <w:rPr>
          <w:rFonts w:hint="default" w:ascii="Times New Roman" w:hAnsi="Times New Roman" w:eastAsia="楷体_GB2312" w:cs="Times New Roman"/>
          <w:kern w:val="2"/>
          <w:sz w:val="24"/>
          <w:szCs w:val="24"/>
          <w:vertAlign w:val="superscript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  <w14:ligatures w14:val="standardContextual"/>
        </w:rPr>
        <w:t>强秉旭</w:t>
      </w:r>
      <w:r>
        <w:rPr>
          <w:rFonts w:hint="eastAsia" w:ascii="黑体" w:hAnsi="宋体" w:eastAsia="黑体" w:cs="黑体"/>
          <w:kern w:val="2"/>
          <w:sz w:val="28"/>
          <w:szCs w:val="28"/>
          <w:vertAlign w:val="superscript"/>
          <w:lang w:val="en-US" w:eastAsia="zh-CN" w:bidi="ar"/>
          <w14:ligatures w14:val="standardContextual"/>
        </w:rPr>
        <w:t>1*</w:t>
      </w:r>
    </w:p>
    <w:p w14:paraId="3A4057BD">
      <w:pPr>
        <w:keepNext w:val="0"/>
        <w:keepLines w:val="0"/>
        <w:widowControl w:val="0"/>
        <w:suppressLineNumbers w:val="0"/>
        <w:spacing w:before="0" w:beforeAutospacing="0" w:after="120" w:afterAutospacing="0" w:line="200" w:lineRule="exact"/>
        <w:ind w:left="0" w:right="0"/>
        <w:jc w:val="center"/>
        <w:rPr>
          <w:rFonts w:hint="default" w:ascii="Times New Roman" w:hAnsi="Times New Roman" w:eastAsia="宋体" w:cs="Times New Roman"/>
          <w:kern w:val="2"/>
          <w:sz w:val="18"/>
          <w:szCs w:val="18"/>
        </w:rPr>
      </w:pP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  <w14:ligatures w14:val="standardContextual"/>
        </w:rPr>
        <w:t>（1.中北大学，山西省太原市 邮编030051 ）</w:t>
      </w:r>
    </w:p>
    <w:p w14:paraId="411B54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kern w:val="2"/>
          <w:sz w:val="18"/>
          <w:szCs w:val="18"/>
          <w:lang w:val="en-US" w:eastAsia="zh-CN" w:bidi="ar"/>
          <w14:ligatures w14:val="standardContextual"/>
        </w:rPr>
        <w:t>摘要：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  <w14:ligatures w14:val="standardContextual"/>
        </w:rPr>
        <w:t>引信是弹药系统中承担安全保险、解保判定、起爆控制和任务适配的核心部件。其技术水平不仅影响单发弹药效能，也直接影响部队体系保障效率。结合现有材料，我国当前引信建设呈现明显的并行特征：约</w:t>
      </w:r>
      <w:r>
        <w:rPr>
          <w:rFonts w:hint="eastAsia" w:ascii="宋体" w:hAnsi="宋体" w:eastAsia="宋体" w:cs="Arial"/>
          <w:kern w:val="2"/>
          <w:sz w:val="18"/>
          <w:szCs w:val="18"/>
          <w:lang w:val="en-US" w:eastAsia="zh-CN" w:bidi="ar"/>
          <w14:ligatures w14:val="standardContextual"/>
        </w:rPr>
        <w:t xml:space="preserve"> 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  <w14:ligatures w14:val="standardContextual"/>
        </w:rPr>
        <w:t>340 种引信与部队 16 类、400 余种弹药并存，部分型号更新较快，但老型号仍需长期保障。在此背景下，本文围绕两个问题展开分析：一是我国引信最需要优先突破的关键技术；二是相对于国外先进水平，我国处于何种阶段。文章重点讨论了增程技术链、电磁发射与液体发射药适配、底排增程一致性、滑翔与复合增程、激光末制导与半主动制导、卫星/惯性复合、某型弹道修正引信、可编程电子时引信等方向。研究认为，我国已具备局部并跑基础，但在统型化深度、批量一致性、抗干扰稳健性与全寿命周期闭环方面仍存在阶段差距。后续应以统型化平台、标准化接口、可靠性优先和数据闭环迭代为主线推进建设。</w:t>
      </w:r>
    </w:p>
    <w:p w14:paraId="331F34B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374"/>
        <w:jc w:val="both"/>
        <w:rPr>
          <w:rFonts w:hint="eastAsia" w:ascii="宋体" w:hAnsi="宋体" w:eastAsia="宋体" w:cs="Times New Roman"/>
          <w:kern w:val="2"/>
          <w:sz w:val="18"/>
          <w:szCs w:val="18"/>
        </w:rPr>
      </w:pPr>
      <w:r>
        <w:rPr>
          <w:rFonts w:hint="eastAsia" w:ascii="宋体" w:hAnsi="宋体" w:eastAsia="宋体" w:cs="宋体"/>
          <w:b/>
          <w:bCs w:val="0"/>
          <w:kern w:val="2"/>
          <w:sz w:val="18"/>
          <w:szCs w:val="18"/>
          <w:lang w:val="en-US" w:eastAsia="zh-CN" w:bidi="ar"/>
          <w14:ligatures w14:val="standardContextual"/>
        </w:rPr>
        <w:t>关键词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  <w14:ligatures w14:val="standardContextual"/>
        </w:rPr>
        <w:t>：引信；关键技术；国际比较；统型化；增程；制导；可靠性</w:t>
      </w:r>
    </w:p>
    <w:p w14:paraId="1DBAF5A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374"/>
        <w:jc w:val="both"/>
        <w:rPr>
          <w:rFonts w:hint="eastAsia" w:ascii="Times New Roman" w:hAnsi="Times New Roman" w:eastAsia="宋体" w:cs="Times New Roman"/>
          <w:kern w:val="2"/>
          <w:sz w:val="18"/>
          <w:szCs w:val="18"/>
        </w:rPr>
      </w:pPr>
      <w:r>
        <w:rPr>
          <w:rFonts w:hint="eastAsia" w:ascii="宋体" w:hAnsi="宋体" w:eastAsia="宋体" w:cs="宋体"/>
          <w:b/>
          <w:bCs w:val="0"/>
          <w:kern w:val="2"/>
          <w:sz w:val="18"/>
          <w:szCs w:val="18"/>
          <w:lang w:val="en-US" w:eastAsia="zh-CN" w:bidi="ar"/>
          <w14:ligatures w14:val="standardContextual"/>
        </w:rPr>
        <w:t>中图分类号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  <w14:ligatures w14:val="standardContextual"/>
        </w:rPr>
        <w:t>：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ab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ab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ab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ab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ab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ab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ab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ab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ab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 xml:space="preserve">          </w:t>
      </w:r>
      <w:r>
        <w:rPr>
          <w:rFonts w:hint="eastAsia" w:ascii="Times New Roman" w:hAnsi="Times New Roman" w:eastAsia="宋体" w:cs="Times New Roman"/>
          <w:b/>
          <w:bCs w:val="0"/>
          <w:kern w:val="2"/>
          <w:sz w:val="18"/>
          <w:szCs w:val="18"/>
          <w:lang w:val="en-US" w:eastAsia="zh-CN" w:bidi="ar"/>
          <w14:ligatures w14:val="standardContextual"/>
        </w:rPr>
        <w:t xml:space="preserve">   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 xml:space="preserve">                        </w:t>
      </w:r>
      <w:r>
        <w:rPr>
          <w:rFonts w:hint="eastAsia" w:ascii="宋体" w:hAnsi="宋体" w:eastAsia="宋体" w:cs="宋体"/>
          <w:b/>
          <w:bCs w:val="0"/>
          <w:kern w:val="2"/>
          <w:sz w:val="18"/>
          <w:szCs w:val="18"/>
          <w:lang w:val="en-US" w:eastAsia="zh-CN" w:bidi="ar"/>
          <w14:ligatures w14:val="standardContextual"/>
        </w:rPr>
        <w:t>文献标识码</w:t>
      </w:r>
      <w:r>
        <w:rPr>
          <w:rFonts w:hint="eastAsia" w:ascii="宋体" w:hAnsi="宋体" w:eastAsia="宋体" w:cs="宋体"/>
          <w:kern w:val="2"/>
          <w:sz w:val="18"/>
          <w:szCs w:val="18"/>
          <w:lang w:val="en-US" w:eastAsia="zh-CN" w:bidi="ar"/>
          <w14:ligatures w14:val="standardContextual"/>
        </w:rPr>
        <w:t>：</w:t>
      </w:r>
      <w:r>
        <w:rPr>
          <w:rFonts w:hint="default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 xml:space="preserve">A            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"/>
          <w14:ligatures w14:val="standardContextual"/>
        </w:rPr>
        <w:t xml:space="preserve"> </w:t>
      </w:r>
    </w:p>
    <w:p w14:paraId="099E7F1B">
      <w:pPr>
        <w:keepNext w:val="0"/>
        <w:keepLines w:val="0"/>
        <w:widowControl w:val="0"/>
        <w:suppressLineNumbers w:val="0"/>
        <w:spacing w:before="0" w:beforeAutospacing="0" w:after="300" w:afterAutospacing="0" w:line="360" w:lineRule="auto"/>
        <w:ind w:left="0" w:right="374"/>
        <w:jc w:val="center"/>
        <w:outlineLvl w:val="0"/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"/>
          <w14:ligatures w14:val="standardContextual"/>
        </w:rPr>
        <w:t>Research on Shortcomings of Key Fuze Technologies in China and International Comparison</w:t>
      </w:r>
    </w:p>
    <w:p w14:paraId="18CED7F5">
      <w:pPr>
        <w:pStyle w:val="11"/>
        <w:widowControl/>
        <w:spacing w:line="360" w:lineRule="auto"/>
        <w:ind w:left="374" w:right="374" w:firstLine="0"/>
        <w:jc w:val="center"/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</w:rPr>
        <w:t>Qiangbingxu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</w:rPr>
        <w:t>1*</w:t>
      </w:r>
    </w:p>
    <w:p w14:paraId="5E772B04">
      <w:pPr>
        <w:pStyle w:val="11"/>
        <w:widowControl/>
        <w:spacing w:after="200" w:afterAutospacing="0" w:line="360" w:lineRule="auto"/>
        <w:ind w:left="374" w:right="374" w:firstLine="0"/>
        <w:jc w:val="center"/>
        <w:rPr>
          <w:rFonts w:hint="default" w:ascii="Times New Roman" w:hAnsi="Times New Roman" w:eastAsia="宋体" w:cs="Times New Roman"/>
          <w:kern w:val="2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2"/>
          <w:sz w:val="18"/>
          <w:szCs w:val="18"/>
        </w:rPr>
        <w:t>(1. North University of China, Taiyuan, Shanxi Province, Zip Code 030051, China;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18"/>
          <w:szCs w:val="18"/>
        </w:rPr>
        <w:t>)</w:t>
      </w:r>
    </w:p>
    <w:p w14:paraId="08F1843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textAlignment w:val="baseline"/>
        <w:rPr>
          <w:rFonts w:hint="eastAsia" w:ascii="Times New Roman" w:hAnsi="Times New Roman" w:eastAsia="宋体" w:cs="Times New Roman"/>
          <w:kern w:val="2"/>
          <w:sz w:val="18"/>
          <w:szCs w:val="18"/>
          <w:vertAlign w:val="baseline"/>
        </w:rPr>
      </w:pPr>
      <w:r>
        <w:rPr>
          <w:rFonts w:hint="default" w:ascii="Times New Roman" w:hAnsi="Times New Roman" w:eastAsia="宋体" w:cs="Times New Roman"/>
          <w:b/>
          <w:bCs w:val="0"/>
          <w:kern w:val="2"/>
          <w:sz w:val="18"/>
          <w:szCs w:val="18"/>
          <w:vertAlign w:val="baseline"/>
          <w:lang w:val="en-US" w:eastAsia="zh-CN" w:bidi="ar"/>
          <w14:ligatures w14:val="standardContextual"/>
        </w:rPr>
        <w:t>Abstract</w:t>
      </w:r>
      <w:r>
        <w:rPr>
          <w:rFonts w:hint="eastAsia" w:ascii="宋体" w:hAnsi="宋体" w:eastAsia="宋体" w:cs="宋体"/>
          <w:kern w:val="2"/>
          <w:sz w:val="18"/>
          <w:szCs w:val="18"/>
          <w:vertAlign w:val="baseline"/>
          <w:lang w:val="en-US" w:eastAsia="zh-CN" w:bidi="ar"/>
          <w14:ligatures w14:val="standardContextual"/>
        </w:rPr>
        <w:t>：</w:t>
      </w:r>
      <w:r>
        <w:rPr>
          <w:rFonts w:hint="default" w:ascii="Times New Roman" w:hAnsi="Times New Roman" w:eastAsia="宋体" w:cs="Times New Roman"/>
          <w:kern w:val="2"/>
          <w:sz w:val="18"/>
          <w:szCs w:val="18"/>
          <w:vertAlign w:val="baseline"/>
          <w:lang w:val="en-US" w:eastAsia="zh-CN" w:bidi="ar"/>
          <w14:ligatures w14:val="standardContextual"/>
        </w:rPr>
        <w:t>The fuze is the core component in the ammunition system responsible for safety arming, arming decision, detonation control, and mission adaptation. Its technical level not only affects the effectiveness of a single round of ammunition, but also directly impacts the efficiency of the troops' system support. Based on existing materials, China's current fuze development exhibits obvious parallel characteristics: about 340 types of fuzes coexist with 16 categories and over 400 types of ammunition in the troops. While some models are updated rapidly, older models still require long-term support. In this context, this paper focuses on analyzing two issues: first, the key technologies that China's fuzes urgently need to prioritize for breakthroughs; second, the current stage of China compared to advanced foreign levels. The article emphasizes discussions on directions such as the extended-range technology chain, adaptation to electromagnetic launch and liquid propellants, consistency in base bleed extended range, gliding and composite extended range, laser terminal guidance and semi-active guidance, satellite/inertial composite, trajectory correction fuzes, and programmable electronic time fuzes. The research concludes that China already possesses a foundation to run parallel in certain areas, but stage gaps remain in the depth of model unification, batch consistency, anti-interference robustness, and the whole-life-cycle closed loop.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vertAlign w:val="baseline"/>
          <w:lang w:val="en-US" w:eastAsia="zh-CN" w:bidi="ar"/>
          <w14:ligatures w14:val="standardContextual"/>
        </w:rPr>
        <w:t xml:space="preserve"> </w:t>
      </w:r>
    </w:p>
    <w:p w14:paraId="1E4DE64F">
      <w:pPr>
        <w:pStyle w:val="11"/>
        <w:widowControl/>
        <w:spacing w:after="240" w:afterAutospacing="0"/>
        <w:ind w:left="0" w:firstLine="0"/>
        <w:textAlignment w:val="baseline"/>
        <w:rPr>
          <w:rFonts w:hint="eastAsia" w:ascii="黑体" w:hAnsi="宋体" w:eastAsia="黑体" w:cs="Times New Roman"/>
          <w:b/>
          <w:bCs w:val="0"/>
          <w:kern w:val="2"/>
          <w:sz w:val="44"/>
          <w:szCs w:val="44"/>
          <w:vertAlign w:val="baseline"/>
        </w:rPr>
      </w:pPr>
      <w:r>
        <w:rPr>
          <w:rFonts w:hint="default" w:ascii="Times New Roman" w:hAnsi="Times New Roman" w:eastAsia="黑体" w:cs="Times New Roman"/>
          <w:b/>
          <w:bCs w:val="0"/>
          <w:kern w:val="2"/>
          <w:sz w:val="18"/>
          <w:szCs w:val="18"/>
          <w:vertAlign w:val="baseline"/>
        </w:rPr>
        <w:t>Keywords</w:t>
      </w:r>
      <w:r>
        <w:rPr>
          <w:rFonts w:hint="eastAsia" w:ascii="宋体" w:hAnsi="宋体" w:eastAsia="宋体" w:cs="宋体"/>
          <w:kern w:val="2"/>
          <w:sz w:val="18"/>
          <w:szCs w:val="18"/>
          <w:vertAlign w:val="baseline"/>
        </w:rPr>
        <w:t>：</w:t>
      </w:r>
      <w:r>
        <w:rPr>
          <w:rFonts w:hint="default" w:ascii="Times New Roman" w:hAnsi="Times New Roman" w:eastAsia="宋体" w:cs="Times New Roman"/>
          <w:kern w:val="2"/>
          <w:sz w:val="18"/>
          <w:szCs w:val="18"/>
          <w:vertAlign w:val="baseline"/>
        </w:rPr>
        <w:t>Fuze; Key technologies; International comparison; Model unification; Extended range; Guidance; Reliability</w:t>
      </w:r>
    </w:p>
    <w:p w14:paraId="616A5F2F">
      <w:pPr>
        <w:spacing w:after="60" w:line="240" w:lineRule="atLeast"/>
        <w:rPr>
          <w:rFonts w:ascii="Times New Roman" w:hAnsi="Times New Roman" w:eastAsia="宋体" w:cs="Times New Roman"/>
          <w:sz w:val="18"/>
        </w:rPr>
        <w:sectPr>
          <w:pgSz w:w="11907" w:h="16839"/>
          <w:pgMar w:top="1247" w:right="1191" w:bottom="1247" w:left="1191" w:header="851" w:footer="992" w:gutter="0"/>
          <w:cols w:space="425" w:num="1"/>
          <w:docGrid w:type="lines" w:linePitch="312" w:charSpace="0"/>
        </w:sectPr>
      </w:pPr>
    </w:p>
    <w:p w14:paraId="26BC2875">
      <w:pPr>
        <w:spacing w:before="160" w:after="60" w:line="240" w:lineRule="atLeast"/>
        <w:rPr>
          <w:rFonts w:hint="eastAsia" w:ascii="黑体" w:hAnsi="黑体" w:eastAsia="黑体" w:cs="Times New Roman"/>
          <w:b/>
          <w:sz w:val="24"/>
        </w:rPr>
      </w:pPr>
      <w:r>
        <w:rPr>
          <w:rFonts w:hint="eastAsia" w:ascii="黑体" w:hAnsi="黑体" w:eastAsia="黑体" w:cs="Times New Roman"/>
          <w:b/>
          <w:sz w:val="24"/>
        </w:rPr>
        <w:t>1 研究背景与问题提出</w:t>
      </w:r>
    </w:p>
    <w:p w14:paraId="1D81A24D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在现代弹药体系中，引信不再是单一触发部件，而是连接安全、发射、飞行、作用全过程的任务控制节点。随着作战环境向高对抗和多域协同发展，引信评价标准已经从能否起爆扩展为能否在复杂条件下稳定判定、精准触发和持续保障。</w:t>
      </w:r>
    </w:p>
    <w:p w14:paraId="1BF777DB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引信体系面临两个并行压力。第一是规模压力，当前约有 340 种引信与 16 类、400 余种弹药并行保障。第二是代际压力，部分型号更新快，但老型号仍不能一次性退出。例如 82 弹相关型号在持续更新，旧型号保障又不能中断。这种状态使一弹一引信模式的成本和复杂度不断上升。</w:t>
      </w:r>
    </w:p>
    <w:p w14:paraId="6F668966">
      <w:pPr>
        <w:spacing w:before="160" w:after="60" w:line="240" w:lineRule="atLeast"/>
        <w:rPr>
          <w:rFonts w:hint="eastAsia" w:ascii="黑体" w:hAnsi="黑体" w:eastAsia="黑体" w:cs="Times New Roman"/>
          <w:b/>
          <w:sz w:val="24"/>
        </w:rPr>
      </w:pPr>
      <w:r>
        <w:rPr>
          <w:rFonts w:hint="eastAsia" w:ascii="黑体" w:hAnsi="黑体" w:eastAsia="黑体" w:cs="Times New Roman"/>
          <w:b/>
          <w:sz w:val="24"/>
        </w:rPr>
        <w:t>2 我国引信建设的现实约束</w:t>
      </w:r>
    </w:p>
    <w:p w14:paraId="506DDC98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第一，型谱结构不够合理。不同型号之间接口、参数、试验流程和保障链条差异较大，重复开发与重复维护问题较突出。</w:t>
      </w:r>
    </w:p>
    <w:p w14:paraId="00601880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第二，增程和制导需求同时抬升。当前任务需求不只强调可靠起爆，还强调远射程与高精度并存，导致推进方式、制导方式、引信控制逻辑需要协同升级。</w:t>
      </w:r>
    </w:p>
    <w:p w14:paraId="17798CB6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第三，高动态环境下可靠性压力增大。高过载、高旋转、强振动、温差冲击和电磁干扰，都会放大引信器件与判据算法的脆弱环节。</w:t>
      </w:r>
    </w:p>
    <w:p w14:paraId="498F2EAB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第四，信息装填和参数管理标准仍不统一。可编程方向是趋势，但如果没有统一的数据格式、版本追溯和权限控制机制，配置效率和安全边界就难以兼得。</w:t>
      </w:r>
    </w:p>
    <w:p w14:paraId="40D2E929">
      <w:pPr>
        <w:spacing w:before="160" w:after="60" w:line="240" w:lineRule="atLeast"/>
        <w:rPr>
          <w:rFonts w:hint="eastAsia" w:ascii="黑体" w:hAnsi="黑体" w:eastAsia="黑体" w:cs="Times New Roman"/>
          <w:b/>
          <w:sz w:val="24"/>
        </w:rPr>
      </w:pPr>
      <w:r>
        <w:rPr>
          <w:rFonts w:hint="eastAsia" w:ascii="黑体" w:hAnsi="黑体" w:eastAsia="黑体" w:cs="Times New Roman"/>
          <w:b/>
          <w:sz w:val="24"/>
        </w:rPr>
        <w:t>3 关键技术短板与具体示例</w:t>
      </w:r>
    </w:p>
    <w:p w14:paraId="7F50D50F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3.1 统型化与火工品统型仍是首要任务</w:t>
      </w:r>
    </w:p>
    <w:p w14:paraId="1807C08A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现阶段最紧迫的不是再增加新型号数量，而是提升通用平台覆盖率。面对 16 类、400 余种弹药并行保障，一弹一引信的代价不只在研发端，更在试验、生产、仓储、训练和战场维护各环节被反复放大。</w:t>
      </w:r>
    </w:p>
    <w:p w14:paraId="4FE69C55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统型化的本质不是简单减少型号，而是把共性的安全逻辑、接口定义、测试规程和装填协议抽取出来，形成一套可跨型号复用的基础平台。火工品统型则更进一步，把不同引信中的点火、传爆、保险机构等关键火工元件统一规格、统一工艺、统一验收标准。</w:t>
      </w:r>
    </w:p>
    <w:p w14:paraId="73AC6222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没有统型化，后续的可编程、抗干扰、数据回流等能力都会被型号碎片化抵消。从工程角度说，统型化是所有升级路线的前置条件，而不是可选项。</w:t>
      </w:r>
    </w:p>
    <w:p w14:paraId="0957252B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3.2 增程技术链存在链路短板</w:t>
      </w:r>
    </w:p>
    <w:p w14:paraId="46ABCB2A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人增程技术、电磁发射、液体发射药、底排增程、滑翔、增程发动机和复合增程，构成一条完整的技术链。增程不是某个动力段的简单叠加，而是从发射条件、弹道环境到引信判据的全链路协同问题。</w:t>
      </w:r>
    </w:p>
    <w:p w14:paraId="1830E2C0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具体短板集中在三点：</w:t>
      </w:r>
    </w:p>
    <w:p w14:paraId="6117388B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底排增程点火一致性方面，底排药柱点火受发射过载、药柱密度、药柱表面状态和点火药分布等多因素影响。点火时序的微小波动，会通过燃烧时间散布传导到外弹道减速段，最终表现为引信解保窗口的偏移。这种偏移在极限射程或低温环境下尤为明显。</w:t>
      </w:r>
    </w:p>
    <w:p w14:paraId="0BED64FB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药柱燃烧规律方面，药柱在不同温度、不同储存周期下的燃烧速率存在可观测差异。但燃烧产物与弹体减速之间的量化模型仍不够精细，导致复合增程模式下引信难以准确预判末段速度剖面，只能采用保守的触发策略，限制了增程收益的完整释放。</w:t>
      </w:r>
    </w:p>
    <w:p w14:paraId="29FB6068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复合增程协同方面，复合增程涉及多个动力段的切换，每个动力段都有其特有的推力曲线和载荷谱。引信的状态机需要在不同段之间平滑过渡，并对飞行时间、攻角、速度等参数做出实时判断。当前联合仿真模型对动力段组合的覆盖仍不完整，误差传播分析也不够细，导致非设计弹道条件下触发可靠性下降。</w:t>
      </w:r>
    </w:p>
    <w:p w14:paraId="4585FBE2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增程短板的根因不在单个元件，而在规律建模、工艺控制和系统验证这三个层面的协同能力不足。</w:t>
      </w:r>
    </w:p>
    <w:p w14:paraId="002020E9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3.3 激光制导相关方向仍有工程瓶颈</w:t>
      </w:r>
    </w:p>
    <w:p w14:paraId="0F6092B0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激光制导在复杂环境下的稳健性，是当前工程上最难闭环的问题之一。材料中提到的掉弹和高原命中率偏低，本质上是探测</w:t>
      </w:r>
      <w:r>
        <w:rPr>
          <w:rFonts w:hint="eastAsia" w:ascii="宋体" w:hAnsi="宋体" w:eastAsia="宋体" w:cs="Times New Roman"/>
          <w:sz w:val="18"/>
          <w:lang w:eastAsia="zh-CN"/>
        </w:rPr>
        <w:t>、</w:t>
      </w:r>
      <w:r>
        <w:rPr>
          <w:rFonts w:hint="eastAsia" w:ascii="宋体" w:hAnsi="宋体" w:eastAsia="宋体" w:cs="Times New Roman"/>
          <w:sz w:val="18"/>
        </w:rPr>
        <w:t>解算</w:t>
      </w:r>
      <w:r>
        <w:rPr>
          <w:rFonts w:hint="eastAsia" w:ascii="宋体" w:hAnsi="宋体" w:eastAsia="宋体" w:cs="Times New Roman"/>
          <w:sz w:val="18"/>
          <w:lang w:eastAsia="zh-CN"/>
        </w:rPr>
        <w:t>、</w:t>
      </w:r>
      <w:r>
        <w:rPr>
          <w:rFonts w:hint="eastAsia" w:ascii="宋体" w:hAnsi="宋体" w:eastAsia="宋体" w:cs="Times New Roman"/>
          <w:sz w:val="18"/>
        </w:rPr>
        <w:t>控制链路在非典型工况下的</w:t>
      </w:r>
      <w:r>
        <w:rPr>
          <w:rFonts w:hint="eastAsia" w:ascii="宋体" w:hAnsi="宋体" w:eastAsia="宋体" w:cs="Times New Roman"/>
          <w:sz w:val="18"/>
          <w:lang w:val="en-US" w:eastAsia="zh-CN"/>
        </w:rPr>
        <w:t>稳定性</w:t>
      </w:r>
      <w:r>
        <w:rPr>
          <w:rFonts w:hint="eastAsia" w:ascii="宋体" w:hAnsi="宋体" w:eastAsia="宋体" w:cs="Times New Roman"/>
          <w:sz w:val="18"/>
        </w:rPr>
        <w:t>不足。</w:t>
      </w:r>
    </w:p>
    <w:p w14:paraId="5133DEF5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激光末制导方面，掉弹往往发生在目标跟踪丢失阶段。高原环境下大气密度低、背景辐射复杂、激光传输衰减大，导引头信噪比下降。同时舵面效率降低，需要更高增益或更大舵偏角，这又会引入额外延迟和能量消耗。对引信而言，末段弹道散布增大直接压缩了解保后的有效作用窗口。</w:t>
      </w:r>
    </w:p>
    <w:p w14:paraId="511A96BA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激光半主动制导方面，主要矛盾是射程与稳定性的平衡。射程增大后，光斑能量密度下降，导引头跟踪精度和抗干扰能力同步下降。若引信的起爆判据过度依赖导引头状态，而不具备独立的弹道估计能力，就很容易在导引头性能下降时出现触发失效。</w:t>
      </w:r>
    </w:p>
    <w:p w14:paraId="10857187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激光驾束制导对直瞄条件依赖强，平台暴露风险高，但弹道相对固定，引信状态机也相对简单。其适用场景正在被图像制导和复合制导逐步挤压，但在特定低成本场景下仍有存在价值。</w:t>
      </w:r>
    </w:p>
    <w:p w14:paraId="3C5CAB47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上述问题的共性出路不是单点提指标，而是让引信具备一定的独立判断和冗余触发能力，降低对导引头状态的绝对依赖。</w:t>
      </w:r>
    </w:p>
    <w:p w14:paraId="7889A572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</w:p>
    <w:p w14:paraId="1A52AEDE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3.4 卫星/惯性复合能力仍需加强抗干扰设计</w:t>
      </w:r>
    </w:p>
    <w:p w14:paraId="5BDBCF1A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卫星/惯性复合是提升中远程精度的主流路径，其工程短板不在原理，而在干扰环境下的稳健性。材料中某型CEP约50m未达预期，背后有多个因素叠加。</w:t>
      </w:r>
    </w:p>
    <w:p w14:paraId="3F81767D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卫星信号在强干扰或遮挡环境下极易丢失。惯导的误差模型若不够精确，或初始对准精度不足，在卫星信号丢失后误差会快速发散。误差传播不只取决于器件精度，还受融合算法、时间同步、动态模型准确性的综合影响。高动态条件下，惯性器件的标度因数误差和随机游走会通过积分被放大，而卫星定位的更新频率有限，难以完全补偿。</w:t>
      </w:r>
    </w:p>
    <w:p w14:paraId="09C91B91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更关键的是，即使导航系统能感知位置误差，若弹体不具备足够的修正能力（舵面、脉冲发动机等），精度也无法提升。这是导航精度与控制能力之间的常见失配。</w:t>
      </w:r>
    </w:p>
    <w:p w14:paraId="063055A6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对引信而言，导航系统的误差直接决定了解保时机和起爆点选择的准确性。加强抗干扰、优化融合算法、并赋予引信一定的独立感知能力，是这个方向真正的工程着力点。</w:t>
      </w:r>
    </w:p>
    <w:p w14:paraId="2C9317FB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 xml:space="preserve">3.5 </w:t>
      </w:r>
      <w:r>
        <w:rPr>
          <w:rFonts w:hint="eastAsia" w:ascii="黑体" w:hAnsi="黑体" w:eastAsia="黑体" w:cs="Times New Roman"/>
          <w:b/>
          <w:sz w:val="18"/>
          <w:lang w:val="en-US" w:eastAsia="zh-CN"/>
        </w:rPr>
        <w:t>某型</w:t>
      </w:r>
      <w:r>
        <w:rPr>
          <w:rFonts w:hint="eastAsia" w:ascii="黑体" w:hAnsi="黑体" w:eastAsia="黑体" w:cs="Times New Roman"/>
          <w:b/>
          <w:sz w:val="18"/>
        </w:rPr>
        <w:t>弹道修正引信面临高过载与高旋转双重约束</w:t>
      </w:r>
    </w:p>
    <w:p w14:paraId="24395AB3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  <w:lang w:val="en-US" w:eastAsia="zh-CN"/>
        </w:rPr>
        <w:t>某型</w:t>
      </w:r>
      <w:r>
        <w:rPr>
          <w:rFonts w:hint="eastAsia" w:ascii="宋体" w:hAnsi="宋体" w:eastAsia="宋体" w:cs="Times New Roman"/>
          <w:sz w:val="18"/>
        </w:rPr>
        <w:t>弹道修正引信的难度在于：在高过载（&gt;10000g）和高旋转（&gt;10000rpm）条件下，同时实现弹道感知、修正解算和执行机构驱动。这不是某一个环节的问题，而是器件、封装、算法、供能和工艺的系统级平衡。</w:t>
      </w:r>
    </w:p>
    <w:p w14:paraId="006B87BE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器件可靠性方面，高过载下焊点、引线键合、芯片内部结构都会承受巨大应力。封装设计或材料选择不当，就会出现开裂、分层或断裂。高旋转带来的离心力还会影响加速度计和陀螺仪的零偏稳定性，需要专门的校准和补偿。</w:t>
      </w:r>
    </w:p>
    <w:p w14:paraId="465371AE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封装强度方面，外壳和内部结构不仅要扛住发射冲击，还要在飞行中保持密封和完整。工艺缺陷（气孔、夹杂、焊接不良）在极端环境下会被放大。</w:t>
      </w:r>
    </w:p>
    <w:p w14:paraId="0E00BFF4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控制算法方面，算法需要根据实时弹道参数与预定弹道的偏差，生成修正指令并驱动执行机构。高动态条件下，算法的实时性、鲁棒性和收敛性直接决定修正效果。</w:t>
      </w:r>
    </w:p>
    <w:p w14:paraId="5162B9C0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供能系统方面，弹道修正引信比传统引信需要更多电能。高旋转下电池的化学反应速率、内阻和输出特性都会变化，需要专门设计。</w:t>
      </w:r>
    </w:p>
    <w:p w14:paraId="4A507709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实际工程中最怕木桶效应：只要有一个环节略弱，就会在批产阶段被放大。因此这个方向的开发必须采用系统级验证，而不是逐个环节优化。</w:t>
      </w:r>
    </w:p>
    <w:p w14:paraId="1D7000AB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3.6 可编程电子时引信与可控杀伤能力仍需补可靠性</w:t>
      </w:r>
    </w:p>
    <w:p w14:paraId="1A793B1C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可编程电子时引信代表了从固定起爆向任务可控起爆的演进。</w:t>
      </w:r>
    </w:p>
    <w:p w14:paraId="2D286BF7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参数装填标准化方面，不同型号、不同批次的引信若使用不同的参数定义、装填接口或数据格式，现场配置就会成为新的出错源。统一参数模型、装填协议和版本标识，是规模应用的前提。</w:t>
      </w:r>
    </w:p>
    <w:p w14:paraId="616DC632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安全机制方面，可编程带来的灵活性也带来了安全风险。若缺乏权限控制、操作确认和状态回读机制，误操作或参数篡改可能导致引信在错误时机起爆。这在体系使用层面是不可接受的。</w:t>
      </w:r>
    </w:p>
    <w:p w14:paraId="15818D72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威力与起爆点可控方面，时引精度有基础，但起爆回路的可靠性和预制破片的定向一致性仍有波动。威力可控不是简单的</w:t>
      </w:r>
      <w:r>
        <w:rPr>
          <w:rFonts w:hint="eastAsia" w:ascii="宋体" w:hAnsi="宋体" w:eastAsia="宋体" w:cs="Times New Roman"/>
          <w:sz w:val="18"/>
          <w:lang w:val="en-US" w:eastAsia="zh-CN"/>
        </w:rPr>
        <w:t>威力</w:t>
      </w:r>
      <w:r>
        <w:rPr>
          <w:rFonts w:hint="eastAsia" w:ascii="宋体" w:hAnsi="宋体" w:eastAsia="宋体" w:cs="Times New Roman"/>
          <w:sz w:val="18"/>
        </w:rPr>
        <w:t>三档切换，而是要在不同目标、不同距离、不同入射角下都能稳定输出预期毁伤效果。</w:t>
      </w:r>
    </w:p>
    <w:p w14:paraId="2E75BFC2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从体系角度看，可编程引信的推广必须配套完整的装填标准、配置流程和审计机制。否则可编程反而会成为新的不确定性来源。</w:t>
      </w:r>
    </w:p>
    <w:p w14:paraId="618CE1DC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3.7 装填输入、自主判据与新场景适配</w:t>
      </w:r>
    </w:p>
    <w:p w14:paraId="799E0BEA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侦察</w:t>
      </w:r>
      <w:r>
        <w:rPr>
          <w:rFonts w:hint="eastAsia" w:ascii="宋体" w:hAnsi="宋体" w:eastAsia="宋体" w:cs="Times New Roman"/>
          <w:sz w:val="18"/>
          <w:lang w:eastAsia="zh-CN"/>
        </w:rPr>
        <w:t>、</w:t>
      </w:r>
      <w:r>
        <w:rPr>
          <w:rFonts w:hint="eastAsia" w:ascii="宋体" w:hAnsi="宋体" w:eastAsia="宋体" w:cs="Times New Roman"/>
          <w:sz w:val="18"/>
        </w:rPr>
        <w:t>打击</w:t>
      </w:r>
      <w:r>
        <w:rPr>
          <w:rFonts w:hint="eastAsia" w:ascii="宋体" w:hAnsi="宋体" w:eastAsia="宋体" w:cs="Times New Roman"/>
          <w:sz w:val="18"/>
          <w:lang w:eastAsia="zh-CN"/>
        </w:rPr>
        <w:t>、</w:t>
      </w:r>
      <w:r>
        <w:rPr>
          <w:rFonts w:hint="eastAsia" w:ascii="宋体" w:hAnsi="宋体" w:eastAsia="宋体" w:cs="Times New Roman"/>
          <w:sz w:val="18"/>
        </w:rPr>
        <w:t>评估一体化</w:t>
      </w:r>
      <w:r>
        <w:rPr>
          <w:rFonts w:hint="eastAsia" w:ascii="宋体" w:hAnsi="宋体" w:eastAsia="宋体" w:cs="Times New Roman"/>
          <w:sz w:val="18"/>
          <w:lang w:eastAsia="zh-CN"/>
        </w:rPr>
        <w:t>，</w:t>
      </w:r>
      <w:r>
        <w:rPr>
          <w:rFonts w:hint="eastAsia" w:ascii="宋体" w:hAnsi="宋体" w:eastAsia="宋体" w:cs="Times New Roman"/>
          <w:sz w:val="18"/>
        </w:rPr>
        <w:t>巡飞弹</w:t>
      </w:r>
      <w:r>
        <w:rPr>
          <w:rFonts w:hint="eastAsia" w:ascii="宋体" w:hAnsi="宋体" w:eastAsia="宋体" w:cs="Times New Roman"/>
          <w:sz w:val="18"/>
          <w:lang w:eastAsia="zh-CN"/>
        </w:rPr>
        <w:t>，</w:t>
      </w:r>
      <w:r>
        <w:rPr>
          <w:rFonts w:hint="eastAsia" w:ascii="宋体" w:hAnsi="宋体" w:eastAsia="宋体" w:cs="Times New Roman"/>
          <w:sz w:val="18"/>
        </w:rPr>
        <w:t>蜂群等新场景，把引信从执行器推向了任务控制节点。这对信息输入、自主判据和场景适配提出了新要求。</w:t>
      </w:r>
    </w:p>
    <w:p w14:paraId="7300EC56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信息输入与装填方面，传统装填是一次性的、发射前完成的。新场景下引信需要在飞行中接收目标更新、任务变更、协同时序等动态信息。这要求可靠的数据链接口、统一的协议栈和足够的数据处理能力。若装填技术不统一，体系协同效率会直接受限。</w:t>
      </w:r>
    </w:p>
    <w:p w14:paraId="3BB7B95E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自主判据方面，在通信中断或强干扰环境下，引信需要具备一定的独立判断能力，包括目标识别、环境感知和起爆决策。当前传感器融合、嵌入式计算和轻量化算法仍有提升空间。自主判据不足时，系统面对非预期情况就会出现决策延迟或错误。</w:t>
      </w:r>
    </w:p>
    <w:p w14:paraId="61AD961A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新场景适配方面，巡飞弹需要长时待机（数小时甚至数天），引信必须支持低功耗模式并随时响应指令。蜂群则需要多弹之间的时序协同和目标分配。这对供能、通信和计算架构都是新挑战。</w:t>
      </w:r>
    </w:p>
    <w:p w14:paraId="118E4104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此外，新能源电池和分布式嵌入引信代表了更长远的方向：引信不再是独立模块，而是深度嵌入弹体，传感器、处理器和执行机构分散布置，通过高速总线连接。这条路前景明确，但安全边界、热管理和失效控制仍需大量验证。</w:t>
      </w:r>
    </w:p>
    <w:p w14:paraId="3B77B5C1">
      <w:pPr>
        <w:spacing w:before="160" w:after="60" w:line="240" w:lineRule="atLeast"/>
        <w:rPr>
          <w:rFonts w:hint="eastAsia" w:ascii="黑体" w:hAnsi="黑体" w:eastAsia="黑体" w:cs="Times New Roman"/>
          <w:b/>
          <w:sz w:val="24"/>
        </w:rPr>
      </w:pPr>
      <w:r>
        <w:rPr>
          <w:rFonts w:hint="eastAsia" w:ascii="黑体" w:hAnsi="黑体" w:eastAsia="黑体" w:cs="Times New Roman"/>
          <w:b/>
          <w:sz w:val="24"/>
        </w:rPr>
        <w:t>4 国外先进水平对比</w:t>
      </w:r>
    </w:p>
    <w:p w14:paraId="4E1A3479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4.1 对比维度</w:t>
      </w:r>
    </w:p>
    <w:p w14:paraId="7BEDE129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本文从四个维度比较我国与国外先进水平：</w:t>
      </w:r>
    </w:p>
    <w:p w14:paraId="1DBABFF1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（1）体系化程度：跨平台复用和模块化能力；</w:t>
      </w:r>
    </w:p>
    <w:p w14:paraId="03CF3EAF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（2）工程成熟度：批量一致性和可靠性验证深度；</w:t>
      </w:r>
    </w:p>
    <w:p w14:paraId="29AD6883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（3）信息化水平：可编程配置、参数管理和抗干扰；</w:t>
      </w:r>
    </w:p>
    <w:p w14:paraId="79E93444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（4）保障能力：在役维护、升级和数据回流效率。</w:t>
      </w:r>
    </w:p>
    <w:p w14:paraId="0A5B29E1">
      <w:pPr>
        <w:spacing w:before="120" w:after="40" w:line="240" w:lineRule="atLeast"/>
        <w:ind w:firstLine="420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4.2 国外先进体系的共性</w:t>
      </w:r>
    </w:p>
    <w:p w14:paraId="3C0EEA04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公开资料显示，国外先进体系的优势不仅是某项指标领先，更重要的是工程组织能力较完整，具体体现在：标准体系成熟，接口和试验规范统一度高；平台化程度高，跨型号复用效率较好；可靠性工程扎实，批产一致性控制更稳定；在役数据回流机制较完善，问题修复与迭代节奏更快。</w:t>
      </w:r>
    </w:p>
    <w:p w14:paraId="66030179">
      <w:pPr>
        <w:spacing w:before="120" w:after="40" w:line="240" w:lineRule="atLeast"/>
        <w:ind w:firstLine="420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4.3 我国差距与基础</w:t>
      </w:r>
    </w:p>
    <w:p w14:paraId="6E534898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我国在电子化、可编程化和任务适配方向已有明显进展，局部方向具备并跑基础。但仍存在阶段差距：通用平台覆盖率仍偏低；批量一致性与长期稳定性仍需提升；在役问题到设计改进的闭环效率仍需增强。同时，我国具有需求牵引强、应用场景多、工程迭代快的优势，这些条件对后续追赶非常关键。</w:t>
      </w:r>
    </w:p>
    <w:p w14:paraId="464C4537">
      <w:pPr>
        <w:spacing w:before="160" w:after="60" w:line="240" w:lineRule="atLeast"/>
        <w:rPr>
          <w:rFonts w:hint="eastAsia" w:ascii="黑体" w:hAnsi="黑体" w:eastAsia="黑体" w:cs="Times New Roman"/>
          <w:b/>
          <w:sz w:val="24"/>
        </w:rPr>
      </w:pPr>
      <w:r>
        <w:rPr>
          <w:rFonts w:hint="eastAsia" w:ascii="黑体" w:hAnsi="黑体" w:eastAsia="黑体" w:cs="Times New Roman"/>
          <w:b/>
          <w:sz w:val="24"/>
        </w:rPr>
        <w:t>5 我国所处地位判断</w:t>
      </w:r>
    </w:p>
    <w:p w14:paraId="66008A29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综合判断，我国引信总体处于由追赶向并跑过渡阶段。若以单项技术看，部分方向差距已明显缩小；若以体系能力看，标准化深度、可靠性工程和闭环保障能力仍是决定性短板。</w:t>
      </w:r>
    </w:p>
    <w:p w14:paraId="65D6377A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我国在关键链条上仍有阶段差距，且差距更多体现在工程化和体系化层面，而非单点技术绝对空白。</w:t>
      </w:r>
    </w:p>
    <w:p w14:paraId="33A3E0F2">
      <w:pPr>
        <w:spacing w:before="160" w:after="60" w:line="240" w:lineRule="atLeast"/>
        <w:rPr>
          <w:rFonts w:hint="eastAsia" w:ascii="黑体" w:hAnsi="黑体" w:eastAsia="黑体" w:cs="Times New Roman"/>
          <w:b/>
          <w:sz w:val="24"/>
        </w:rPr>
      </w:pPr>
      <w:r>
        <w:rPr>
          <w:rFonts w:hint="eastAsia" w:ascii="黑体" w:hAnsi="黑体" w:eastAsia="黑体" w:cs="Times New Roman"/>
          <w:b/>
          <w:sz w:val="24"/>
        </w:rPr>
        <w:t>6 发展建议</w:t>
      </w:r>
      <w:bookmarkStart w:id="0" w:name="_GoBack"/>
      <w:bookmarkEnd w:id="0"/>
    </w:p>
    <w:p w14:paraId="5F1CB2B9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6.1 以统型化平台压缩体系复杂度</w:t>
      </w:r>
    </w:p>
    <w:p w14:paraId="7445F7E3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以少量通用平台覆盖更多弹种场景，推动型号统型和火工品统型，降低重复开发和保障成本。</w:t>
      </w:r>
    </w:p>
    <w:p w14:paraId="7FBD0EC8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6.2 以增程技术链协同为抓手</w:t>
      </w:r>
    </w:p>
    <w:p w14:paraId="00872413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围绕底排点火一致性、药柱燃烧规律、复合增程协同控制开展联合攻关，避免单点突破后整体收益有限。</w:t>
      </w:r>
    </w:p>
    <w:p w14:paraId="151E2F71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6.3 提升激光与复合制导的环境稳健性</w:t>
      </w:r>
    </w:p>
    <w:p w14:paraId="6C94A538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针对高原和强干扰场景，重点提升射击诸元解算速度、控制稳健性和抗干扰能力，降低命中率波动。</w:t>
      </w:r>
    </w:p>
    <w:p w14:paraId="7A28A633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6.4 建立</w:t>
      </w:r>
      <w:r>
        <w:rPr>
          <w:rFonts w:hint="eastAsia" w:ascii="黑体" w:hAnsi="黑体" w:eastAsia="黑体" w:cs="Times New Roman"/>
          <w:b/>
          <w:sz w:val="18"/>
          <w:lang w:val="en-US" w:eastAsia="zh-CN"/>
        </w:rPr>
        <w:t>某型</w:t>
      </w:r>
      <w:r>
        <w:rPr>
          <w:rFonts w:hint="eastAsia" w:ascii="黑体" w:hAnsi="黑体" w:eastAsia="黑体" w:cs="Times New Roman"/>
          <w:b/>
          <w:sz w:val="18"/>
        </w:rPr>
        <w:t>弹道修正引信系统级验证体系</w:t>
      </w:r>
    </w:p>
    <w:p w14:paraId="3C8220E8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将高过载、高旋转工况验证前移，把器件、结构、算法和封装放在同一验证框架内，提升批量应用可靠性。</w:t>
      </w:r>
    </w:p>
    <w:p w14:paraId="29B83AE6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6.5 强化可编程装填标准和在役数据闭环</w:t>
      </w:r>
    </w:p>
    <w:p w14:paraId="3B475473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统一参数定义、版本追溯、权限控制和故障回流机制，实现可配置、可追踪、可维护的工程闭环。</w:t>
      </w:r>
    </w:p>
    <w:p w14:paraId="5B062047">
      <w:pPr>
        <w:spacing w:before="120" w:after="40" w:line="240" w:lineRule="atLeast"/>
        <w:rPr>
          <w:rFonts w:hint="eastAsia" w:ascii="黑体" w:hAnsi="黑体" w:eastAsia="黑体" w:cs="Times New Roman"/>
          <w:b/>
          <w:sz w:val="18"/>
        </w:rPr>
      </w:pPr>
      <w:r>
        <w:rPr>
          <w:rFonts w:hint="eastAsia" w:ascii="黑体" w:hAnsi="黑体" w:eastAsia="黑体" w:cs="Times New Roman"/>
          <w:b/>
          <w:sz w:val="18"/>
        </w:rPr>
        <w:t>6.6 兼顾安全指标与新型能源方向</w:t>
      </w:r>
    </w:p>
    <w:p w14:paraId="196C37D4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在推进新能源电池与分布式嵌入引信方向时，应同步强化安全保险机构设计与失效控制，确保性能升级不以安全边界为代价。</w:t>
      </w:r>
    </w:p>
    <w:p w14:paraId="7C615B83">
      <w:pPr>
        <w:spacing w:before="160" w:after="60" w:line="240" w:lineRule="atLeast"/>
        <w:rPr>
          <w:rFonts w:hint="eastAsia" w:ascii="黑体" w:hAnsi="黑体" w:eastAsia="黑体" w:cs="Times New Roman"/>
          <w:b/>
          <w:sz w:val="24"/>
        </w:rPr>
      </w:pPr>
      <w:r>
        <w:rPr>
          <w:rFonts w:hint="eastAsia" w:ascii="黑体" w:hAnsi="黑体" w:eastAsia="黑体" w:cs="Times New Roman"/>
          <w:b/>
          <w:sz w:val="24"/>
        </w:rPr>
        <w:t>7 结论</w:t>
      </w:r>
    </w:p>
    <w:p w14:paraId="268EC761">
      <w:pPr>
        <w:spacing w:after="40" w:line="240" w:lineRule="atLeast"/>
        <w:ind w:firstLine="420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本文结合具体示例对我国引信关键技术短板进行了补充分析。结论是：我国已具备继续追赶并在局部并跑的基础，但要形成稳定、可持续的竞争力，必须把工作重点放在统型化、增程链条协同、抗干扰制导、弹道修正高可靠验证和全寿命周期闭环上。未来阶段应坚持平台化与标准化并行，通过数据驱动持续迭代，逐步形成高质量引信技术体系。</w:t>
      </w:r>
    </w:p>
    <w:p w14:paraId="54B246C9">
      <w:pPr>
        <w:spacing w:before="160" w:after="60" w:line="240" w:lineRule="atLeast"/>
        <w:rPr>
          <w:rFonts w:hint="eastAsia" w:ascii="黑体" w:hAnsi="黑体" w:eastAsia="黑体" w:cs="Times New Roman"/>
          <w:b/>
          <w:sz w:val="21"/>
        </w:rPr>
      </w:pPr>
      <w:r>
        <w:rPr>
          <w:rFonts w:hint="eastAsia" w:ascii="黑体" w:hAnsi="黑体" w:eastAsia="黑体" w:cs="Times New Roman"/>
          <w:b/>
          <w:sz w:val="21"/>
        </w:rPr>
        <w:t>参考文献</w:t>
      </w:r>
    </w:p>
    <w:p w14:paraId="4D8F0986">
      <w:pPr>
        <w:spacing w:after="20" w:line="240" w:lineRule="atLeast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 xml:space="preserve">[1] 李文生,车文刚. 通用弹药供应保障业务流程评价指标体系研究[J]. 物流科技,2009,32(11):105-107. </w:t>
      </w:r>
    </w:p>
    <w:p w14:paraId="53650A0C">
      <w:pPr>
        <w:spacing w:after="20" w:line="240" w:lineRule="atLeast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[</w:t>
      </w:r>
      <w:r>
        <w:rPr>
          <w:rFonts w:hint="eastAsia" w:ascii="宋体" w:hAnsi="宋体" w:eastAsia="宋体" w:cs="Times New Roman"/>
          <w:sz w:val="18"/>
          <w:lang w:val="en-US" w:eastAsia="zh-CN"/>
        </w:rPr>
        <w:t>2</w:t>
      </w:r>
      <w:r>
        <w:rPr>
          <w:rFonts w:hint="eastAsia" w:ascii="宋体" w:hAnsi="宋体" w:eastAsia="宋体" w:cs="Times New Roman"/>
          <w:sz w:val="18"/>
        </w:rPr>
        <w:t>] 贺金金. 37mm榴弹底排增程技术研究[D]. 山西:中北大学,2020.</w:t>
      </w:r>
    </w:p>
    <w:p w14:paraId="681D7BB3">
      <w:pPr>
        <w:spacing w:after="20" w:line="240" w:lineRule="atLeast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[</w:t>
      </w:r>
      <w:r>
        <w:rPr>
          <w:rFonts w:hint="eastAsia" w:ascii="宋体" w:hAnsi="宋体" w:eastAsia="宋体" w:cs="Times New Roman"/>
          <w:sz w:val="18"/>
          <w:lang w:val="en-US" w:eastAsia="zh-CN"/>
        </w:rPr>
        <w:t>3</w:t>
      </w:r>
      <w:r>
        <w:rPr>
          <w:rFonts w:hint="eastAsia" w:ascii="宋体" w:hAnsi="宋体" w:eastAsia="宋体" w:cs="Times New Roman"/>
          <w:sz w:val="18"/>
        </w:rPr>
        <w:t xml:space="preserve">] 付朝新,乔华,艾庆祝,等. 复合增程炮弹用低烧蚀ST推进剂研究[J]. 火炸药学报,2006,29(2):37-40. </w:t>
      </w:r>
    </w:p>
    <w:p w14:paraId="1E34D144">
      <w:pPr>
        <w:spacing w:after="20" w:line="240" w:lineRule="atLeast"/>
        <w:rPr>
          <w:rFonts w:hint="eastAsia" w:ascii="宋体" w:hAnsi="宋体" w:eastAsia="宋体" w:cs="Times New Roman"/>
          <w:sz w:val="18"/>
        </w:rPr>
      </w:pPr>
      <w:r>
        <w:rPr>
          <w:rFonts w:hint="eastAsia" w:ascii="宋体" w:hAnsi="宋体" w:eastAsia="宋体" w:cs="Times New Roman"/>
          <w:sz w:val="18"/>
        </w:rPr>
        <w:t>[</w:t>
      </w:r>
      <w:r>
        <w:rPr>
          <w:rFonts w:hint="eastAsia" w:ascii="宋体" w:hAnsi="宋体" w:eastAsia="宋体" w:cs="Times New Roman"/>
          <w:sz w:val="18"/>
          <w:lang w:val="en-US" w:eastAsia="zh-CN"/>
        </w:rPr>
        <w:t>4</w:t>
      </w:r>
      <w:r>
        <w:rPr>
          <w:rFonts w:hint="eastAsia" w:ascii="宋体" w:hAnsi="宋体" w:eastAsia="宋体" w:cs="Times New Roman"/>
          <w:sz w:val="18"/>
        </w:rPr>
        <w:t>] 李晓,刘志国,郭杨,等. 半主动激光制导武器的发展现状和趋势[J]. 兵工学报,2025,46(z1):80-93.</w:t>
      </w:r>
    </w:p>
    <w:p w14:paraId="027AA685">
      <w:pPr>
        <w:spacing w:after="20" w:line="240" w:lineRule="atLeast"/>
        <w:rPr>
          <w:rFonts w:hint="eastAsia" w:ascii="宋体" w:hAnsi="宋体" w:eastAsia="宋体" w:cs="Times New Roman"/>
          <w:sz w:val="18"/>
        </w:rPr>
      </w:pPr>
    </w:p>
    <w:sectPr>
      <w:pgSz w:w="11907" w:h="16839"/>
      <w:pgMar w:top="1247" w:right="1191" w:bottom="1247" w:left="1191" w:header="851" w:footer="992" w:gutter="0"/>
      <w:cols w:space="425" w:num="2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DC3"/>
    <w:rsid w:val="008B2DC3"/>
    <w:rsid w:val="008D49B9"/>
    <w:rsid w:val="00F607F2"/>
    <w:rsid w:val="00F72BDD"/>
    <w:rsid w:val="01B012F5"/>
    <w:rsid w:val="0BA650B0"/>
    <w:rsid w:val="0BC82C56"/>
    <w:rsid w:val="17405F16"/>
    <w:rsid w:val="24847203"/>
    <w:rsid w:val="2B115E43"/>
    <w:rsid w:val="2D18228B"/>
    <w:rsid w:val="32A926F9"/>
    <w:rsid w:val="3E831550"/>
    <w:rsid w:val="41F95E50"/>
    <w:rsid w:val="44AD6E84"/>
    <w:rsid w:val="56192E4E"/>
    <w:rsid w:val="5B2A0564"/>
    <w:rsid w:val="612D023B"/>
    <w:rsid w:val="6D2D3750"/>
    <w:rsid w:val="6D5B1DC3"/>
    <w:rsid w:val="75F776FF"/>
    <w:rsid w:val="7693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/>
      <w:jc w:val="both"/>
    </w:pPr>
    <w:rPr>
      <w:rFonts w:hint="default" w:ascii="Times New Roman" w:hAnsi="Times New Roman" w:eastAsia="宋体" w:cs="Times New Roman"/>
      <w:kern w:val="2"/>
      <w:sz w:val="21"/>
      <w:szCs w:val="21"/>
      <w:lang w:val="en-US" w:eastAsia="zh-CN" w:bidi="ar"/>
    </w:r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5335</Words>
  <Characters>6770</Characters>
  <Lines>1</Lines>
  <Paragraphs>1</Paragraphs>
  <TotalTime>14</TotalTime>
  <ScaleCrop>false</ScaleCrop>
  <LinksUpToDate>false</LinksUpToDate>
  <CharactersWithSpaces>7118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2026-04-08T07:38:00Z</dcterms:created>
  <dc:creator>秉旭 强</dc:creator>
  <cp:lastModifiedBy>强秉旭</cp:lastModifiedBy>
  <dcterms:modified xsi:type="dcterms:W3CDTF">2026-04-08T10:08:05Z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eyJoZGlkIjoiYmJlMTM1OTQzNjc4MDU2M2Q4N2QwZWU0ZjYyZTMyZmIiLCJ1c2VySWQiOiIxNzg2NTMwOTA4In0=</vt:lpwstr>
  </property>
  <property fmtid="{D5CDD505-2E9C-101B-9397-08002B2CF9AE}" pid="3" name="KSOProductBuildVer">
    <vt:lpwstr>2052-12.1.0.23542</vt:lpwstr>
  </property>
  <property fmtid="{D5CDD505-2E9C-101B-9397-08002B2CF9AE}" pid="4" name="ICV">
    <vt:lpwstr>FF7848C16B7042D19DC3BDA3D52D0E34_12</vt:lpwstr>
  </property>
</Properties>
</file>